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1C5" w:rsidRPr="00D13792" w:rsidRDefault="007251C5" w:rsidP="00EC148C">
      <w:pPr>
        <w:spacing w:line="240" w:lineRule="auto"/>
        <w:rPr>
          <w:rFonts w:eastAsia="Calibri" w:cs="Calibri"/>
          <w:b/>
          <w:spacing w:val="-2"/>
          <w:sz w:val="20"/>
          <w:szCs w:val="20"/>
        </w:rPr>
      </w:pPr>
    </w:p>
    <w:p w:rsidR="000033C7" w:rsidRPr="00D13792" w:rsidRDefault="000033C7" w:rsidP="00EC148C">
      <w:pPr>
        <w:spacing w:line="240" w:lineRule="auto"/>
        <w:jc w:val="center"/>
        <w:rPr>
          <w:rFonts w:eastAsia="Calibri" w:cs="Calibri"/>
          <w:b/>
          <w:spacing w:val="-2"/>
          <w:sz w:val="20"/>
          <w:szCs w:val="20"/>
        </w:rPr>
      </w:pPr>
    </w:p>
    <w:p w:rsidR="002D2FB1" w:rsidRPr="00D13792" w:rsidRDefault="002D2FB1" w:rsidP="00EC148C">
      <w:pPr>
        <w:spacing w:line="240" w:lineRule="auto"/>
        <w:jc w:val="center"/>
        <w:rPr>
          <w:rFonts w:eastAsia="Calibri" w:cs="Calibri"/>
          <w:b/>
          <w:spacing w:val="-2"/>
          <w:sz w:val="20"/>
          <w:szCs w:val="20"/>
        </w:rPr>
      </w:pPr>
    </w:p>
    <w:p w:rsidR="00D32B0A" w:rsidRPr="00D13792" w:rsidRDefault="00D32B0A" w:rsidP="00EC148C">
      <w:pPr>
        <w:spacing w:line="240" w:lineRule="auto"/>
        <w:jc w:val="center"/>
        <w:rPr>
          <w:rFonts w:eastAsia="Calibri" w:cs="Calibri"/>
          <w:b/>
          <w:spacing w:val="-2"/>
          <w:sz w:val="20"/>
          <w:szCs w:val="20"/>
        </w:rPr>
      </w:pPr>
    </w:p>
    <w:p w:rsidR="00D32B0A" w:rsidRPr="00D13792" w:rsidRDefault="00D32B0A" w:rsidP="00EC148C">
      <w:pPr>
        <w:spacing w:line="240" w:lineRule="auto"/>
        <w:jc w:val="center"/>
        <w:rPr>
          <w:rFonts w:eastAsia="Calibri" w:cs="Calibri"/>
          <w:b/>
          <w:spacing w:val="-2"/>
          <w:sz w:val="20"/>
          <w:szCs w:val="20"/>
        </w:rPr>
      </w:pPr>
    </w:p>
    <w:p w:rsidR="006A0E1C" w:rsidRPr="00D13792" w:rsidRDefault="006A0E1C" w:rsidP="006A0E1C">
      <w:pPr>
        <w:spacing w:line="240" w:lineRule="auto"/>
        <w:jc w:val="center"/>
        <w:rPr>
          <w:rFonts w:eastAsia="Calibri" w:cs="Calibri"/>
          <w:b/>
          <w:spacing w:val="-2"/>
          <w:sz w:val="20"/>
          <w:szCs w:val="20"/>
        </w:rPr>
      </w:pPr>
      <w:r w:rsidRPr="00D13792">
        <w:rPr>
          <w:rFonts w:eastAsia="Calibri" w:cs="Calibri"/>
          <w:b/>
          <w:spacing w:val="-2"/>
          <w:sz w:val="20"/>
          <w:szCs w:val="20"/>
        </w:rPr>
        <w:t>CORTE INTERAMERICANA DE DERECHOS HUMANOS</w:t>
      </w:r>
    </w:p>
    <w:p w:rsidR="006A0E1C" w:rsidRPr="00D13792" w:rsidRDefault="006A0E1C" w:rsidP="006A0E1C">
      <w:pPr>
        <w:tabs>
          <w:tab w:val="left" w:pos="720"/>
        </w:tabs>
        <w:spacing w:line="240" w:lineRule="auto"/>
        <w:jc w:val="center"/>
        <w:rPr>
          <w:rFonts w:eastAsia="Calibri" w:cs="Verdana"/>
          <w:b/>
          <w:bCs/>
          <w:caps/>
          <w:snapToGrid w:val="0"/>
          <w:spacing w:val="-2"/>
          <w:sz w:val="20"/>
          <w:szCs w:val="20"/>
          <w:lang w:eastAsia="es-ES"/>
        </w:rPr>
      </w:pPr>
    </w:p>
    <w:p w:rsidR="006A0E1C" w:rsidRPr="00D13792" w:rsidRDefault="006A0E1C" w:rsidP="006A0E1C">
      <w:pPr>
        <w:tabs>
          <w:tab w:val="left" w:pos="720"/>
        </w:tabs>
        <w:spacing w:line="240" w:lineRule="auto"/>
        <w:jc w:val="center"/>
        <w:rPr>
          <w:rFonts w:eastAsia="Calibri" w:cs="Verdana"/>
          <w:b/>
          <w:bCs/>
          <w:caps/>
          <w:snapToGrid w:val="0"/>
          <w:spacing w:val="-2"/>
          <w:sz w:val="20"/>
          <w:szCs w:val="20"/>
          <w:lang w:eastAsia="es-ES"/>
        </w:rPr>
      </w:pPr>
    </w:p>
    <w:p w:rsidR="006A0E1C" w:rsidRPr="00D13792" w:rsidRDefault="006A0E1C" w:rsidP="006A0E1C">
      <w:pPr>
        <w:tabs>
          <w:tab w:val="left" w:pos="720"/>
        </w:tabs>
        <w:spacing w:line="240" w:lineRule="auto"/>
        <w:jc w:val="center"/>
        <w:rPr>
          <w:rFonts w:eastAsia="Calibri" w:cs="Calibri"/>
          <w:b/>
          <w:spacing w:val="-2"/>
          <w:sz w:val="20"/>
          <w:szCs w:val="20"/>
        </w:rPr>
      </w:pPr>
      <w:r w:rsidRPr="00D13792">
        <w:rPr>
          <w:rFonts w:eastAsia="Calibri" w:cs="Calibri"/>
          <w:b/>
          <w:spacing w:val="-2"/>
          <w:sz w:val="20"/>
          <w:szCs w:val="20"/>
        </w:rPr>
        <w:t>CASO MIEMBROS DE LA ALDEA CHICHUPAC Y COMUNIDADES VECINAS DEL MUNICIPIO DE RABINAL VS. GUATEMALA</w:t>
      </w:r>
    </w:p>
    <w:p w:rsidR="006A0E1C" w:rsidRPr="00D13792" w:rsidRDefault="006A0E1C" w:rsidP="006A0E1C">
      <w:pPr>
        <w:tabs>
          <w:tab w:val="left" w:pos="720"/>
        </w:tabs>
        <w:spacing w:line="240" w:lineRule="auto"/>
        <w:jc w:val="center"/>
        <w:rPr>
          <w:rFonts w:eastAsia="Calibri" w:cs="Verdana"/>
          <w:b/>
          <w:bCs/>
          <w:snapToGrid w:val="0"/>
          <w:spacing w:val="-2"/>
          <w:sz w:val="20"/>
          <w:szCs w:val="20"/>
          <w:lang w:eastAsia="es-ES"/>
        </w:rPr>
      </w:pPr>
      <w:r w:rsidRPr="00D13792">
        <w:rPr>
          <w:rFonts w:eastAsia="Calibri" w:cs="Verdana"/>
          <w:b/>
          <w:bCs/>
          <w:snapToGrid w:val="0"/>
          <w:spacing w:val="-2"/>
          <w:sz w:val="20"/>
          <w:szCs w:val="20"/>
          <w:lang w:eastAsia="es-ES"/>
        </w:rPr>
        <w:t>SENTENCIA DE 30 DE NOVIEMBRE DE 2016</w:t>
      </w:r>
    </w:p>
    <w:p w:rsidR="006A0E1C" w:rsidRPr="00D13792" w:rsidRDefault="006A0E1C" w:rsidP="006A0E1C">
      <w:pPr>
        <w:tabs>
          <w:tab w:val="left" w:pos="720"/>
        </w:tabs>
        <w:spacing w:line="240" w:lineRule="auto"/>
        <w:jc w:val="center"/>
        <w:rPr>
          <w:rFonts w:eastAsia="Calibri" w:cs="Verdana"/>
          <w:b/>
          <w:bCs/>
          <w:caps/>
          <w:snapToGrid w:val="0"/>
          <w:spacing w:val="-2"/>
          <w:sz w:val="20"/>
          <w:szCs w:val="20"/>
          <w:lang w:eastAsia="es-ES"/>
        </w:rPr>
      </w:pPr>
    </w:p>
    <w:p w:rsidR="006A0E1C" w:rsidRPr="00D13792" w:rsidRDefault="006A0E1C" w:rsidP="006A0E1C">
      <w:pPr>
        <w:tabs>
          <w:tab w:val="left" w:pos="720"/>
        </w:tabs>
        <w:spacing w:line="240" w:lineRule="auto"/>
        <w:jc w:val="center"/>
        <w:rPr>
          <w:rFonts w:eastAsia="Calibri" w:cs="Verdana"/>
          <w:b/>
          <w:bCs/>
          <w:caps/>
          <w:snapToGrid w:val="0"/>
          <w:spacing w:val="-2"/>
          <w:sz w:val="20"/>
          <w:szCs w:val="20"/>
          <w:lang w:eastAsia="es-ES"/>
        </w:rPr>
      </w:pPr>
      <w:r w:rsidRPr="00D13792">
        <w:rPr>
          <w:rFonts w:eastAsia="Calibri" w:cs="Verdana"/>
          <w:b/>
          <w:bCs/>
          <w:i/>
          <w:iCs/>
          <w:snapToGrid w:val="0"/>
          <w:spacing w:val="-2"/>
          <w:sz w:val="20"/>
          <w:szCs w:val="20"/>
          <w:lang w:eastAsia="es-ES"/>
        </w:rPr>
        <w:t>(Excepciones Preliminares, Fondo, Reparaciones y Costas)</w:t>
      </w:r>
    </w:p>
    <w:p w:rsidR="006A0E1C" w:rsidRPr="00D13792" w:rsidRDefault="006A0E1C" w:rsidP="006A0E1C">
      <w:pPr>
        <w:tabs>
          <w:tab w:val="left" w:pos="720"/>
        </w:tabs>
        <w:spacing w:line="240" w:lineRule="auto"/>
        <w:rPr>
          <w:rFonts w:eastAsia="Calibri" w:cs="Verdana"/>
          <w:b/>
          <w:bCs/>
          <w:smallCaps/>
          <w:spacing w:val="-2"/>
          <w:sz w:val="20"/>
          <w:szCs w:val="20"/>
        </w:rPr>
      </w:pPr>
    </w:p>
    <w:p w:rsidR="006A0E1C" w:rsidRPr="00D13792" w:rsidRDefault="006A0E1C" w:rsidP="006A0E1C">
      <w:pPr>
        <w:tabs>
          <w:tab w:val="left" w:pos="720"/>
        </w:tabs>
        <w:spacing w:line="240" w:lineRule="auto"/>
        <w:rPr>
          <w:rFonts w:eastAsia="Calibri" w:cs="Verdana"/>
          <w:b/>
          <w:bCs/>
          <w:smallCaps/>
          <w:spacing w:val="-2"/>
          <w:sz w:val="20"/>
          <w:szCs w:val="20"/>
        </w:rPr>
      </w:pPr>
    </w:p>
    <w:p w:rsidR="006A0E1C" w:rsidRPr="00D13792" w:rsidRDefault="006A0E1C" w:rsidP="006A0E1C">
      <w:pPr>
        <w:tabs>
          <w:tab w:val="left" w:pos="720"/>
        </w:tabs>
        <w:spacing w:line="240" w:lineRule="auto"/>
        <w:rPr>
          <w:rFonts w:eastAsia="Calibri" w:cs="Verdana"/>
          <w:spacing w:val="-2"/>
          <w:sz w:val="20"/>
          <w:szCs w:val="20"/>
        </w:rPr>
      </w:pPr>
    </w:p>
    <w:p w:rsidR="006A0E1C" w:rsidRPr="00D13792" w:rsidRDefault="006A0E1C" w:rsidP="006A0E1C">
      <w:pPr>
        <w:tabs>
          <w:tab w:val="left" w:pos="720"/>
        </w:tabs>
        <w:spacing w:line="240" w:lineRule="auto"/>
        <w:rPr>
          <w:rFonts w:eastAsia="Calibri" w:cs="Verdana"/>
          <w:i/>
          <w:iCs/>
          <w:spacing w:val="-2"/>
          <w:sz w:val="20"/>
          <w:szCs w:val="20"/>
        </w:rPr>
      </w:pPr>
      <w:r w:rsidRPr="00D13792">
        <w:rPr>
          <w:rFonts w:eastAsia="Calibri" w:cs="Verdana"/>
          <w:spacing w:val="-2"/>
          <w:sz w:val="20"/>
          <w:szCs w:val="20"/>
        </w:rPr>
        <w:t>En el caso</w:t>
      </w:r>
      <w:r w:rsidRPr="00D13792">
        <w:rPr>
          <w:rFonts w:eastAsia="Calibri" w:cs="Verdana"/>
          <w:i/>
          <w:iCs/>
          <w:spacing w:val="-2"/>
          <w:sz w:val="20"/>
          <w:szCs w:val="20"/>
        </w:rPr>
        <w:t xml:space="preserve"> Miembros de la Aldea Chichupac y Comunidades Vecinas del Municipio de Rabinal,</w:t>
      </w:r>
    </w:p>
    <w:p w:rsidR="006A0E1C" w:rsidRPr="00D13792" w:rsidRDefault="006A0E1C" w:rsidP="006A0E1C">
      <w:pPr>
        <w:tabs>
          <w:tab w:val="left" w:pos="720"/>
        </w:tabs>
        <w:spacing w:line="240" w:lineRule="auto"/>
        <w:rPr>
          <w:rFonts w:eastAsia="Calibri" w:cs="Verdana"/>
          <w:spacing w:val="-2"/>
          <w:sz w:val="20"/>
          <w:szCs w:val="20"/>
        </w:rPr>
      </w:pPr>
    </w:p>
    <w:p w:rsidR="006A0E1C" w:rsidRPr="00D13792" w:rsidRDefault="006A0E1C" w:rsidP="006A0E1C">
      <w:pPr>
        <w:tabs>
          <w:tab w:val="left" w:pos="720"/>
        </w:tabs>
        <w:spacing w:line="240" w:lineRule="auto"/>
        <w:rPr>
          <w:rFonts w:eastAsia="Calibri" w:cs="Verdana"/>
          <w:spacing w:val="-2"/>
          <w:sz w:val="20"/>
          <w:szCs w:val="20"/>
        </w:rPr>
      </w:pPr>
      <w:r w:rsidRPr="00D13792">
        <w:rPr>
          <w:rFonts w:eastAsia="Calibri" w:cs="Verdana"/>
          <w:spacing w:val="-2"/>
          <w:sz w:val="20"/>
          <w:szCs w:val="20"/>
        </w:rPr>
        <w:t>la Corte Interamericana de Derechos Humanos (en adelante la “Corte Interamericana”, la “Corte” o el “Tribunal”), integrada por los siguientes jueces:</w:t>
      </w:r>
    </w:p>
    <w:p w:rsidR="006A0E1C" w:rsidRPr="00D13792" w:rsidRDefault="006A0E1C" w:rsidP="006A0E1C">
      <w:pPr>
        <w:tabs>
          <w:tab w:val="left" w:pos="720"/>
        </w:tabs>
        <w:spacing w:line="240" w:lineRule="auto"/>
        <w:rPr>
          <w:rFonts w:eastAsia="Calibri" w:cs="Verdana"/>
          <w:spacing w:val="-2"/>
          <w:sz w:val="20"/>
          <w:szCs w:val="20"/>
        </w:rPr>
      </w:pPr>
    </w:p>
    <w:p w:rsidR="006A0E1C" w:rsidRPr="00D149F7" w:rsidRDefault="006A0E1C" w:rsidP="006A0E1C">
      <w:pPr>
        <w:tabs>
          <w:tab w:val="left" w:pos="720"/>
        </w:tabs>
        <w:spacing w:line="240" w:lineRule="auto"/>
        <w:rPr>
          <w:rFonts w:eastAsia="Calibri" w:cs="Verdana"/>
          <w:spacing w:val="-2"/>
          <w:sz w:val="20"/>
          <w:szCs w:val="20"/>
          <w:lang w:val="pt-BR"/>
        </w:rPr>
      </w:pPr>
      <w:r w:rsidRPr="00D149F7">
        <w:rPr>
          <w:rFonts w:eastAsia="Calibri" w:cs="Verdana"/>
          <w:spacing w:val="-2"/>
          <w:sz w:val="20"/>
          <w:szCs w:val="20"/>
          <w:lang w:val="pt-BR"/>
        </w:rPr>
        <w:t>Roberto F. Caldas, Presidente;</w:t>
      </w:r>
    </w:p>
    <w:p w:rsidR="006A0E1C" w:rsidRPr="00D149F7" w:rsidRDefault="006A0E1C" w:rsidP="006A0E1C">
      <w:pPr>
        <w:tabs>
          <w:tab w:val="left" w:pos="720"/>
        </w:tabs>
        <w:spacing w:line="240" w:lineRule="auto"/>
        <w:rPr>
          <w:rFonts w:eastAsia="Calibri" w:cs="Verdana"/>
          <w:spacing w:val="-2"/>
          <w:sz w:val="20"/>
          <w:szCs w:val="20"/>
          <w:lang w:val="pt-BR"/>
        </w:rPr>
      </w:pPr>
      <w:r w:rsidRPr="00D149F7">
        <w:rPr>
          <w:rFonts w:eastAsia="Calibri" w:cs="Verdana"/>
          <w:spacing w:val="-2"/>
          <w:sz w:val="20"/>
          <w:szCs w:val="20"/>
          <w:lang w:val="pt-BR"/>
        </w:rPr>
        <w:t>Eduardo Ferrer Mac-Gregor Poisot, Vicepresidente;</w:t>
      </w:r>
    </w:p>
    <w:p w:rsidR="006A0E1C" w:rsidRPr="00D13792" w:rsidRDefault="006A0E1C" w:rsidP="006A0E1C">
      <w:pPr>
        <w:tabs>
          <w:tab w:val="left" w:pos="720"/>
        </w:tabs>
        <w:spacing w:line="240" w:lineRule="auto"/>
        <w:rPr>
          <w:rFonts w:eastAsia="Calibri" w:cs="Verdana"/>
          <w:spacing w:val="-2"/>
          <w:sz w:val="20"/>
          <w:szCs w:val="20"/>
        </w:rPr>
      </w:pPr>
      <w:r w:rsidRPr="00D13792">
        <w:rPr>
          <w:rFonts w:eastAsia="Calibri" w:cs="Verdana"/>
          <w:spacing w:val="-2"/>
          <w:sz w:val="20"/>
          <w:szCs w:val="20"/>
        </w:rPr>
        <w:t xml:space="preserve">Eduardo Vio Grossi, Juez, </w:t>
      </w:r>
    </w:p>
    <w:p w:rsidR="006A0E1C" w:rsidRPr="00D13792" w:rsidRDefault="006A0E1C" w:rsidP="006A0E1C">
      <w:pPr>
        <w:tabs>
          <w:tab w:val="left" w:pos="720"/>
        </w:tabs>
        <w:spacing w:line="240" w:lineRule="auto"/>
        <w:rPr>
          <w:rFonts w:eastAsia="Calibri" w:cs="Verdana"/>
          <w:spacing w:val="-2"/>
          <w:sz w:val="20"/>
          <w:szCs w:val="20"/>
        </w:rPr>
      </w:pPr>
      <w:r w:rsidRPr="00D13792">
        <w:rPr>
          <w:rFonts w:eastAsia="Calibri" w:cs="Verdana"/>
          <w:spacing w:val="-2"/>
          <w:sz w:val="20"/>
          <w:szCs w:val="20"/>
        </w:rPr>
        <w:t xml:space="preserve">Humberto Antonio Sierra Porto, Juez; </w:t>
      </w:r>
    </w:p>
    <w:p w:rsidR="006A0E1C" w:rsidRPr="00D13792" w:rsidRDefault="006A0E1C" w:rsidP="006A0E1C">
      <w:pPr>
        <w:tabs>
          <w:tab w:val="left" w:pos="720"/>
        </w:tabs>
        <w:spacing w:line="240" w:lineRule="auto"/>
        <w:rPr>
          <w:rFonts w:eastAsia="Calibri" w:cs="Verdana"/>
          <w:spacing w:val="-2"/>
          <w:sz w:val="20"/>
          <w:szCs w:val="20"/>
        </w:rPr>
      </w:pPr>
      <w:r w:rsidRPr="00D13792">
        <w:rPr>
          <w:rFonts w:eastAsia="Calibri" w:cs="Verdana"/>
          <w:spacing w:val="-2"/>
          <w:sz w:val="20"/>
          <w:szCs w:val="20"/>
        </w:rPr>
        <w:t>Elizabeth Odio Benito; Jueza;</w:t>
      </w:r>
    </w:p>
    <w:p w:rsidR="006A0E1C" w:rsidRPr="00D13792" w:rsidRDefault="006A0E1C" w:rsidP="006A0E1C">
      <w:pPr>
        <w:tabs>
          <w:tab w:val="left" w:pos="720"/>
        </w:tabs>
        <w:spacing w:line="240" w:lineRule="auto"/>
        <w:rPr>
          <w:rFonts w:eastAsia="Calibri" w:cs="Verdana"/>
          <w:spacing w:val="-2"/>
          <w:sz w:val="20"/>
          <w:szCs w:val="20"/>
        </w:rPr>
      </w:pPr>
      <w:r w:rsidRPr="00D13792">
        <w:rPr>
          <w:rFonts w:eastAsia="Calibri" w:cs="Verdana"/>
          <w:spacing w:val="-2"/>
          <w:sz w:val="20"/>
          <w:szCs w:val="20"/>
        </w:rPr>
        <w:t>Eugenio Raúl Zaffaroni, Juez, y</w:t>
      </w:r>
    </w:p>
    <w:p w:rsidR="006A0E1C" w:rsidRPr="00D13792" w:rsidRDefault="006A0E1C" w:rsidP="006A0E1C">
      <w:pPr>
        <w:tabs>
          <w:tab w:val="left" w:pos="720"/>
        </w:tabs>
        <w:spacing w:line="240" w:lineRule="auto"/>
        <w:rPr>
          <w:rFonts w:eastAsia="Calibri" w:cs="Verdana"/>
          <w:spacing w:val="-2"/>
          <w:sz w:val="20"/>
          <w:szCs w:val="20"/>
        </w:rPr>
      </w:pPr>
      <w:r w:rsidRPr="00D13792">
        <w:rPr>
          <w:rFonts w:eastAsia="Calibri" w:cs="Verdana"/>
          <w:spacing w:val="-2"/>
          <w:sz w:val="20"/>
          <w:szCs w:val="20"/>
        </w:rPr>
        <w:t>L. Patricio Pazmiño Freire, Juez;</w:t>
      </w:r>
    </w:p>
    <w:p w:rsidR="006A0E1C" w:rsidRPr="00D13792" w:rsidRDefault="006A0E1C" w:rsidP="006A0E1C">
      <w:pPr>
        <w:tabs>
          <w:tab w:val="left" w:pos="720"/>
        </w:tabs>
        <w:spacing w:line="240" w:lineRule="auto"/>
        <w:rPr>
          <w:rFonts w:eastAsia="Calibri" w:cs="Verdana"/>
          <w:spacing w:val="-2"/>
          <w:sz w:val="20"/>
          <w:szCs w:val="20"/>
        </w:rPr>
      </w:pPr>
    </w:p>
    <w:p w:rsidR="006A0E1C" w:rsidRPr="00D13792" w:rsidRDefault="006A0E1C" w:rsidP="006A0E1C">
      <w:pPr>
        <w:tabs>
          <w:tab w:val="left" w:pos="720"/>
        </w:tabs>
        <w:spacing w:line="240" w:lineRule="auto"/>
        <w:rPr>
          <w:rFonts w:eastAsia="Calibri" w:cs="Verdana"/>
          <w:spacing w:val="-2"/>
          <w:sz w:val="20"/>
          <w:szCs w:val="20"/>
        </w:rPr>
      </w:pPr>
      <w:r w:rsidRPr="00D13792">
        <w:rPr>
          <w:rFonts w:eastAsia="Calibri" w:cs="Verdana"/>
          <w:spacing w:val="-2"/>
          <w:sz w:val="20"/>
          <w:szCs w:val="20"/>
        </w:rPr>
        <w:t>presentes además,</w:t>
      </w:r>
    </w:p>
    <w:p w:rsidR="006A0E1C" w:rsidRPr="00D13792" w:rsidRDefault="006A0E1C" w:rsidP="006A0E1C">
      <w:pPr>
        <w:tabs>
          <w:tab w:val="left" w:pos="720"/>
        </w:tabs>
        <w:spacing w:line="240" w:lineRule="auto"/>
        <w:rPr>
          <w:rFonts w:eastAsia="Calibri" w:cs="Verdana"/>
          <w:spacing w:val="-2"/>
          <w:sz w:val="20"/>
          <w:szCs w:val="20"/>
        </w:rPr>
      </w:pPr>
    </w:p>
    <w:p w:rsidR="006A0E1C" w:rsidRPr="00D13792" w:rsidRDefault="006A0E1C" w:rsidP="006A0E1C">
      <w:pPr>
        <w:tabs>
          <w:tab w:val="left" w:pos="720"/>
        </w:tabs>
        <w:spacing w:line="240" w:lineRule="auto"/>
        <w:rPr>
          <w:rFonts w:eastAsia="Calibri" w:cs="Verdana"/>
          <w:spacing w:val="-2"/>
          <w:sz w:val="20"/>
          <w:szCs w:val="20"/>
        </w:rPr>
      </w:pPr>
      <w:r w:rsidRPr="00D13792">
        <w:rPr>
          <w:rFonts w:eastAsia="Calibri" w:cs="Verdana"/>
          <w:spacing w:val="-2"/>
          <w:sz w:val="20"/>
          <w:szCs w:val="20"/>
        </w:rPr>
        <w:t xml:space="preserve">Pablo Saavedra Alessandri, Secretario, y </w:t>
      </w:r>
    </w:p>
    <w:p w:rsidR="006A0E1C" w:rsidRPr="00D13792" w:rsidRDefault="006A0E1C" w:rsidP="006A0E1C">
      <w:pPr>
        <w:tabs>
          <w:tab w:val="left" w:pos="720"/>
        </w:tabs>
        <w:spacing w:line="240" w:lineRule="auto"/>
        <w:rPr>
          <w:rFonts w:eastAsia="Calibri" w:cs="Verdana"/>
          <w:spacing w:val="-2"/>
          <w:sz w:val="20"/>
          <w:szCs w:val="20"/>
        </w:rPr>
      </w:pPr>
      <w:r w:rsidRPr="00D13792">
        <w:rPr>
          <w:rFonts w:eastAsia="Calibri" w:cs="Verdana"/>
          <w:spacing w:val="-2"/>
          <w:sz w:val="20"/>
          <w:szCs w:val="20"/>
          <w:lang w:eastAsia="es-MX"/>
        </w:rPr>
        <w:t>Emilia Segares Rodríguez, Secretaria Adjunta,</w:t>
      </w:r>
    </w:p>
    <w:p w:rsidR="006A0E1C" w:rsidRPr="00D13792" w:rsidRDefault="006A0E1C" w:rsidP="006A0E1C">
      <w:pPr>
        <w:tabs>
          <w:tab w:val="left" w:pos="720"/>
        </w:tabs>
        <w:spacing w:line="240" w:lineRule="auto"/>
        <w:rPr>
          <w:rFonts w:eastAsia="Calibri" w:cs="Verdana"/>
          <w:spacing w:val="-2"/>
          <w:sz w:val="20"/>
          <w:szCs w:val="20"/>
        </w:rPr>
      </w:pPr>
    </w:p>
    <w:p w:rsidR="006A0E1C" w:rsidRPr="00D13792" w:rsidRDefault="006A0E1C" w:rsidP="006A0E1C">
      <w:pPr>
        <w:tabs>
          <w:tab w:val="left" w:pos="720"/>
        </w:tabs>
        <w:spacing w:line="240" w:lineRule="auto"/>
        <w:rPr>
          <w:rFonts w:eastAsia="Calibri" w:cs="Verdana"/>
          <w:spacing w:val="-2"/>
          <w:sz w:val="20"/>
          <w:szCs w:val="20"/>
        </w:rPr>
      </w:pPr>
      <w:r w:rsidRPr="00D13792">
        <w:rPr>
          <w:rFonts w:eastAsia="Calibri" w:cs="Verdana"/>
          <w:spacing w:val="-2"/>
          <w:sz w:val="20"/>
          <w:szCs w:val="20"/>
        </w:rPr>
        <w:t>de conformidad con los artículos 62.3 y 63.1 de la Convención Americana sobre Derechos Humanos (en adelante “la Convención Americana” o “la Convención”) y con los artículos 31, 32, 42, 65 y 67 del Reglamento de la Corte (en adelante “el Reglamento” o “Reglamento de la Corte”), dicta la presente Sentencia que se estructura en el siguiente orden:</w:t>
      </w:r>
    </w:p>
    <w:p w:rsidR="006A0E1C" w:rsidRPr="00D13792" w:rsidRDefault="006A0E1C" w:rsidP="006A0E1C">
      <w:pPr>
        <w:tabs>
          <w:tab w:val="left" w:pos="720"/>
        </w:tabs>
        <w:spacing w:line="240" w:lineRule="auto"/>
        <w:rPr>
          <w:rFonts w:eastAsia="Calibri" w:cs="Verdana"/>
          <w:spacing w:val="-2"/>
          <w:sz w:val="20"/>
          <w:szCs w:val="20"/>
        </w:rPr>
      </w:pPr>
    </w:p>
    <w:p w:rsidR="006A0E1C" w:rsidRPr="00D13792" w:rsidRDefault="006A0E1C" w:rsidP="006A0E1C">
      <w:pPr>
        <w:pStyle w:val="Heading1"/>
        <w:rPr>
          <w:lang w:val="es-CR"/>
        </w:rPr>
      </w:pPr>
      <w:bookmarkStart w:id="0" w:name="_Toc373093233"/>
      <w:bookmarkStart w:id="1" w:name="_Toc373350045"/>
      <w:bookmarkStart w:id="2" w:name="_Toc375560891"/>
      <w:bookmarkStart w:id="3" w:name="_Toc401931877"/>
      <w:bookmarkStart w:id="4" w:name="_Toc428369976"/>
      <w:bookmarkStart w:id="5" w:name="_Ref305145750"/>
      <w:r w:rsidRPr="00D13792">
        <w:rPr>
          <w:lang w:val="es-CR"/>
        </w:rPr>
        <w:br w:type="page"/>
      </w:r>
    </w:p>
    <w:p w:rsidR="006A0E1C" w:rsidRPr="00D13792" w:rsidRDefault="006A0E1C" w:rsidP="006A0E1C">
      <w:pPr>
        <w:rPr>
          <w:lang w:eastAsia="es-ES"/>
        </w:rPr>
      </w:pPr>
    </w:p>
    <w:p w:rsidR="006A0E1C" w:rsidRPr="00D13792" w:rsidRDefault="006A0E1C" w:rsidP="006A0E1C">
      <w:pPr>
        <w:pStyle w:val="TOCHeading"/>
        <w:jc w:val="center"/>
        <w:rPr>
          <w:rFonts w:ascii="Verdana" w:hAnsi="Verdana"/>
          <w:color w:val="auto"/>
          <w:sz w:val="20"/>
          <w:lang w:val="es-CR"/>
        </w:rPr>
      </w:pPr>
      <w:r w:rsidRPr="00D13792">
        <w:rPr>
          <w:rFonts w:ascii="Verdana" w:hAnsi="Verdana"/>
          <w:color w:val="auto"/>
          <w:sz w:val="20"/>
          <w:lang w:val="es-CR"/>
        </w:rPr>
        <w:t>TABLA DE CONTENIDO</w:t>
      </w:r>
    </w:p>
    <w:p w:rsidR="006A0E1C" w:rsidRPr="00D13792" w:rsidRDefault="006A0E1C" w:rsidP="006A0E1C">
      <w:pPr>
        <w:pStyle w:val="TOC1"/>
        <w:rPr>
          <w:rFonts w:asciiTheme="minorHAnsi" w:eastAsiaTheme="minorEastAsia" w:hAnsiTheme="minorHAnsi" w:cstheme="minorBidi"/>
          <w:sz w:val="22"/>
          <w:szCs w:val="22"/>
          <w:lang w:val="es-CR"/>
        </w:rPr>
      </w:pPr>
      <w:r w:rsidRPr="00D13792">
        <w:rPr>
          <w:lang w:val="es-CR"/>
        </w:rPr>
        <w:fldChar w:fldCharType="begin"/>
      </w:r>
      <w:r w:rsidRPr="00D13792">
        <w:rPr>
          <w:lang w:val="es-CR"/>
        </w:rPr>
        <w:instrText xml:space="preserve"> TOC \o "1-3" \h \z \u </w:instrText>
      </w:r>
      <w:r w:rsidRPr="00D13792">
        <w:rPr>
          <w:lang w:val="es-CR"/>
        </w:rPr>
        <w:fldChar w:fldCharType="separate"/>
      </w:r>
      <w:hyperlink w:anchor="_Toc469669987" w:history="1">
        <w:r w:rsidRPr="00D13792">
          <w:rPr>
            <w:rStyle w:val="Hyperlink"/>
            <w:lang w:val="es-CR"/>
          </w:rPr>
          <w:t>I. INTRODUCCIÓN DE LA CAUSA Y OBJETO DE LA CONTROVERSIA</w:t>
        </w:r>
        <w:r w:rsidRPr="00D13792">
          <w:rPr>
            <w:webHidden/>
            <w:lang w:val="es-CR"/>
          </w:rPr>
          <w:tab/>
        </w:r>
        <w:r w:rsidRPr="00D13792">
          <w:rPr>
            <w:webHidden/>
            <w:lang w:val="es-CR"/>
          </w:rPr>
          <w:fldChar w:fldCharType="begin"/>
        </w:r>
        <w:r w:rsidRPr="00D13792">
          <w:rPr>
            <w:webHidden/>
            <w:lang w:val="es-CR"/>
          </w:rPr>
          <w:instrText xml:space="preserve"> PAGEREF _Toc469669987 \h </w:instrText>
        </w:r>
        <w:r w:rsidRPr="00D13792">
          <w:rPr>
            <w:webHidden/>
            <w:lang w:val="es-CR"/>
          </w:rPr>
        </w:r>
        <w:r w:rsidRPr="00D13792">
          <w:rPr>
            <w:webHidden/>
            <w:lang w:val="es-CR"/>
          </w:rPr>
          <w:fldChar w:fldCharType="separate"/>
        </w:r>
        <w:r>
          <w:rPr>
            <w:webHidden/>
            <w:lang w:val="es-CR"/>
          </w:rPr>
          <w:t>5</w:t>
        </w:r>
        <w:r w:rsidRPr="00D13792">
          <w:rPr>
            <w:webHidden/>
            <w:lang w:val="es-CR"/>
          </w:rPr>
          <w:fldChar w:fldCharType="end"/>
        </w:r>
      </w:hyperlink>
    </w:p>
    <w:p w:rsidR="006A0E1C" w:rsidRPr="00D13792" w:rsidRDefault="006A0E1C" w:rsidP="006A0E1C">
      <w:pPr>
        <w:pStyle w:val="TOC1"/>
        <w:rPr>
          <w:rFonts w:asciiTheme="minorHAnsi" w:eastAsiaTheme="minorEastAsia" w:hAnsiTheme="minorHAnsi" w:cstheme="minorBidi"/>
          <w:sz w:val="22"/>
          <w:szCs w:val="22"/>
          <w:lang w:val="es-CR"/>
        </w:rPr>
      </w:pPr>
      <w:hyperlink w:anchor="_Toc469669988" w:history="1">
        <w:r w:rsidRPr="00D13792">
          <w:rPr>
            <w:rStyle w:val="Hyperlink"/>
            <w:lang w:val="es-CR"/>
          </w:rPr>
          <w:t>II. PROCEDIMIENTO ANTE LA CORTE</w:t>
        </w:r>
        <w:r w:rsidRPr="00D13792">
          <w:rPr>
            <w:webHidden/>
            <w:lang w:val="es-CR"/>
          </w:rPr>
          <w:tab/>
        </w:r>
        <w:r w:rsidRPr="00D13792">
          <w:rPr>
            <w:webHidden/>
            <w:lang w:val="es-CR"/>
          </w:rPr>
          <w:fldChar w:fldCharType="begin"/>
        </w:r>
        <w:r w:rsidRPr="00D13792">
          <w:rPr>
            <w:webHidden/>
            <w:lang w:val="es-CR"/>
          </w:rPr>
          <w:instrText xml:space="preserve"> PAGEREF _Toc469669988 \h </w:instrText>
        </w:r>
        <w:r w:rsidRPr="00D13792">
          <w:rPr>
            <w:webHidden/>
            <w:lang w:val="es-CR"/>
          </w:rPr>
        </w:r>
        <w:r w:rsidRPr="00D13792">
          <w:rPr>
            <w:webHidden/>
            <w:lang w:val="es-CR"/>
          </w:rPr>
          <w:fldChar w:fldCharType="separate"/>
        </w:r>
        <w:r>
          <w:rPr>
            <w:webHidden/>
            <w:lang w:val="es-CR"/>
          </w:rPr>
          <w:t>6</w:t>
        </w:r>
        <w:r w:rsidRPr="00D13792">
          <w:rPr>
            <w:webHidden/>
            <w:lang w:val="es-CR"/>
          </w:rPr>
          <w:fldChar w:fldCharType="end"/>
        </w:r>
      </w:hyperlink>
    </w:p>
    <w:p w:rsidR="006A0E1C" w:rsidRPr="00D13792" w:rsidRDefault="006A0E1C" w:rsidP="006A0E1C">
      <w:pPr>
        <w:pStyle w:val="TOC1"/>
        <w:rPr>
          <w:rFonts w:asciiTheme="minorHAnsi" w:eastAsiaTheme="minorEastAsia" w:hAnsiTheme="minorHAnsi" w:cstheme="minorBidi"/>
          <w:sz w:val="22"/>
          <w:szCs w:val="22"/>
          <w:lang w:val="es-CR"/>
        </w:rPr>
      </w:pPr>
      <w:hyperlink w:anchor="_Toc469669989" w:history="1">
        <w:r w:rsidRPr="00D13792">
          <w:rPr>
            <w:rStyle w:val="Hyperlink"/>
            <w:lang w:val="es-CR"/>
          </w:rPr>
          <w:t>III. COMPETENCIA</w:t>
        </w:r>
        <w:r w:rsidRPr="00D13792">
          <w:rPr>
            <w:webHidden/>
            <w:lang w:val="es-CR"/>
          </w:rPr>
          <w:tab/>
        </w:r>
        <w:r w:rsidRPr="00D13792">
          <w:rPr>
            <w:webHidden/>
            <w:lang w:val="es-CR"/>
          </w:rPr>
          <w:fldChar w:fldCharType="begin"/>
        </w:r>
        <w:r w:rsidRPr="00D13792">
          <w:rPr>
            <w:webHidden/>
            <w:lang w:val="es-CR"/>
          </w:rPr>
          <w:instrText xml:space="preserve"> PAGEREF _Toc469669989 \h </w:instrText>
        </w:r>
        <w:r w:rsidRPr="00D13792">
          <w:rPr>
            <w:webHidden/>
            <w:lang w:val="es-CR"/>
          </w:rPr>
        </w:r>
        <w:r w:rsidRPr="00D13792">
          <w:rPr>
            <w:webHidden/>
            <w:lang w:val="es-CR"/>
          </w:rPr>
          <w:fldChar w:fldCharType="separate"/>
        </w:r>
        <w:r>
          <w:rPr>
            <w:webHidden/>
            <w:lang w:val="es-CR"/>
          </w:rPr>
          <w:t>8</w:t>
        </w:r>
        <w:r w:rsidRPr="00D13792">
          <w:rPr>
            <w:webHidden/>
            <w:lang w:val="es-CR"/>
          </w:rPr>
          <w:fldChar w:fldCharType="end"/>
        </w:r>
      </w:hyperlink>
    </w:p>
    <w:p w:rsidR="006A0E1C" w:rsidRPr="00D13792" w:rsidRDefault="006A0E1C" w:rsidP="006A0E1C">
      <w:pPr>
        <w:pStyle w:val="TOC1"/>
        <w:rPr>
          <w:rFonts w:asciiTheme="minorHAnsi" w:eastAsiaTheme="minorEastAsia" w:hAnsiTheme="minorHAnsi" w:cstheme="minorBidi"/>
          <w:sz w:val="22"/>
          <w:szCs w:val="22"/>
          <w:lang w:val="es-CR"/>
        </w:rPr>
      </w:pPr>
      <w:r w:rsidRPr="00D13792">
        <w:rPr>
          <w:rStyle w:val="Hyperlink"/>
          <w:color w:val="000000" w:themeColor="text1"/>
          <w:u w:val="none"/>
          <w:lang w:val="es-CR"/>
        </w:rPr>
        <w:t xml:space="preserve">IV. </w:t>
      </w:r>
      <w:hyperlink w:anchor="_Toc469669991" w:history="1">
        <w:r w:rsidRPr="00D13792">
          <w:rPr>
            <w:rStyle w:val="Hyperlink"/>
            <w:lang w:val="es-CR"/>
          </w:rPr>
          <w:t>EXCEPCIONES PRELIMINARES</w:t>
        </w:r>
        <w:r w:rsidRPr="00D13792">
          <w:rPr>
            <w:webHidden/>
            <w:lang w:val="es-CR"/>
          </w:rPr>
          <w:tab/>
        </w:r>
        <w:r w:rsidRPr="00D13792">
          <w:rPr>
            <w:webHidden/>
            <w:lang w:val="es-CR"/>
          </w:rPr>
          <w:fldChar w:fldCharType="begin"/>
        </w:r>
        <w:r w:rsidRPr="00D13792">
          <w:rPr>
            <w:webHidden/>
            <w:lang w:val="es-CR"/>
          </w:rPr>
          <w:instrText xml:space="preserve"> PAGEREF _Toc469669991 \h </w:instrText>
        </w:r>
        <w:r w:rsidRPr="00D13792">
          <w:rPr>
            <w:webHidden/>
            <w:lang w:val="es-CR"/>
          </w:rPr>
        </w:r>
        <w:r w:rsidRPr="00D13792">
          <w:rPr>
            <w:webHidden/>
            <w:lang w:val="es-CR"/>
          </w:rPr>
          <w:fldChar w:fldCharType="separate"/>
        </w:r>
        <w:r>
          <w:rPr>
            <w:webHidden/>
            <w:lang w:val="es-CR"/>
          </w:rPr>
          <w:t>8</w:t>
        </w:r>
        <w:r w:rsidRPr="00D13792">
          <w:rPr>
            <w:webHidden/>
            <w:lang w:val="es-CR"/>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69992" w:history="1">
        <w:r w:rsidRPr="00D13792">
          <w:rPr>
            <w:rStyle w:val="Hyperlink"/>
            <w:rFonts w:eastAsia="Batang"/>
            <w:noProof/>
          </w:rPr>
          <w:t>A. Excepción de falta de competencia ratione temporis</w:t>
        </w:r>
        <w:r w:rsidRPr="00D13792">
          <w:rPr>
            <w:noProof/>
            <w:webHidden/>
          </w:rPr>
          <w:tab/>
        </w:r>
        <w:r w:rsidRPr="00D13792">
          <w:rPr>
            <w:noProof/>
            <w:webHidden/>
          </w:rPr>
          <w:fldChar w:fldCharType="begin"/>
        </w:r>
        <w:r w:rsidRPr="00D13792">
          <w:rPr>
            <w:noProof/>
            <w:webHidden/>
          </w:rPr>
          <w:instrText xml:space="preserve"> PAGEREF _Toc469669992 \h </w:instrText>
        </w:r>
        <w:r w:rsidRPr="00D13792">
          <w:rPr>
            <w:noProof/>
            <w:webHidden/>
          </w:rPr>
        </w:r>
        <w:r w:rsidRPr="00D13792">
          <w:rPr>
            <w:noProof/>
            <w:webHidden/>
          </w:rPr>
          <w:fldChar w:fldCharType="separate"/>
        </w:r>
        <w:r>
          <w:rPr>
            <w:noProof/>
            <w:webHidden/>
          </w:rPr>
          <w:t>9</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69993" w:history="1">
        <w:r w:rsidRPr="00D13792">
          <w:rPr>
            <w:rStyle w:val="Hyperlink"/>
            <w:rFonts w:eastAsia="ヒラギノ角ゴ Pro W3"/>
            <w:noProof/>
          </w:rPr>
          <w:t>B. Excepción de falta de competencia ratione materiae</w:t>
        </w:r>
        <w:r w:rsidRPr="00D13792">
          <w:rPr>
            <w:noProof/>
            <w:webHidden/>
          </w:rPr>
          <w:tab/>
        </w:r>
        <w:r w:rsidRPr="00D13792">
          <w:rPr>
            <w:noProof/>
            <w:webHidden/>
          </w:rPr>
          <w:fldChar w:fldCharType="begin"/>
        </w:r>
        <w:r w:rsidRPr="00D13792">
          <w:rPr>
            <w:noProof/>
            <w:webHidden/>
          </w:rPr>
          <w:instrText xml:space="preserve"> PAGEREF _Toc469669993 \h </w:instrText>
        </w:r>
        <w:r w:rsidRPr="00D13792">
          <w:rPr>
            <w:noProof/>
            <w:webHidden/>
          </w:rPr>
        </w:r>
        <w:r w:rsidRPr="00D13792">
          <w:rPr>
            <w:noProof/>
            <w:webHidden/>
          </w:rPr>
          <w:fldChar w:fldCharType="separate"/>
        </w:r>
        <w:r>
          <w:rPr>
            <w:noProof/>
            <w:webHidden/>
          </w:rPr>
          <w:t>12</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69994" w:history="1">
        <w:r w:rsidRPr="00D13792">
          <w:rPr>
            <w:rStyle w:val="Hyperlink"/>
            <w:rFonts w:eastAsia="ヒラギノ角ゴ Pro W3"/>
            <w:noProof/>
          </w:rPr>
          <w:t>B.1. Alegada falta de competencia de la Corte para conocer de supuestas violaciones a la CIDFP, a la Convención de Belém do Pará y a la Convención para la Prevención y la Sanción del Delito de Genocidio</w:t>
        </w:r>
        <w:r w:rsidRPr="00D13792">
          <w:rPr>
            <w:noProof/>
            <w:webHidden/>
          </w:rPr>
          <w:tab/>
        </w:r>
        <w:r w:rsidRPr="00D13792">
          <w:rPr>
            <w:noProof/>
            <w:webHidden/>
          </w:rPr>
          <w:fldChar w:fldCharType="begin"/>
        </w:r>
        <w:r w:rsidRPr="00D13792">
          <w:rPr>
            <w:noProof/>
            <w:webHidden/>
          </w:rPr>
          <w:instrText xml:space="preserve"> PAGEREF _Toc469669994 \h </w:instrText>
        </w:r>
        <w:r w:rsidRPr="00D13792">
          <w:rPr>
            <w:noProof/>
            <w:webHidden/>
          </w:rPr>
        </w:r>
        <w:r w:rsidRPr="00D13792">
          <w:rPr>
            <w:noProof/>
            <w:webHidden/>
          </w:rPr>
          <w:fldChar w:fldCharType="separate"/>
        </w:r>
        <w:r>
          <w:rPr>
            <w:noProof/>
            <w:webHidden/>
          </w:rPr>
          <w:t>12</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69995" w:history="1">
        <w:r w:rsidRPr="00D13792">
          <w:rPr>
            <w:rStyle w:val="Hyperlink"/>
            <w:rFonts w:eastAsia="ヒラギノ角ゴ Pro W3"/>
            <w:noProof/>
          </w:rPr>
          <w:t>B.2. Alegada falta de competencia para determinar la comisión de delitos</w:t>
        </w:r>
        <w:r w:rsidRPr="00D13792">
          <w:rPr>
            <w:noProof/>
            <w:webHidden/>
          </w:rPr>
          <w:tab/>
        </w:r>
        <w:r w:rsidRPr="00D13792">
          <w:rPr>
            <w:noProof/>
            <w:webHidden/>
          </w:rPr>
          <w:fldChar w:fldCharType="begin"/>
        </w:r>
        <w:r w:rsidRPr="00D13792">
          <w:rPr>
            <w:noProof/>
            <w:webHidden/>
          </w:rPr>
          <w:instrText xml:space="preserve"> PAGEREF _Toc469669995 \h </w:instrText>
        </w:r>
        <w:r w:rsidRPr="00D13792">
          <w:rPr>
            <w:noProof/>
            <w:webHidden/>
          </w:rPr>
        </w:r>
        <w:r w:rsidRPr="00D13792">
          <w:rPr>
            <w:noProof/>
            <w:webHidden/>
          </w:rPr>
          <w:fldChar w:fldCharType="separate"/>
        </w:r>
        <w:r>
          <w:rPr>
            <w:noProof/>
            <w:webHidden/>
          </w:rPr>
          <w:t>14</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69996" w:history="1">
        <w:r w:rsidRPr="00D13792">
          <w:rPr>
            <w:rStyle w:val="Hyperlink"/>
            <w:rFonts w:eastAsia="ヒラギノ角ゴ Pro W3"/>
            <w:noProof/>
          </w:rPr>
          <w:t>B.3. Alegada falta de competencia para decretar la invalidez de la amnistía</w:t>
        </w:r>
        <w:r w:rsidRPr="00D13792">
          <w:rPr>
            <w:noProof/>
            <w:webHidden/>
          </w:rPr>
          <w:tab/>
        </w:r>
        <w:r w:rsidRPr="00D13792">
          <w:rPr>
            <w:noProof/>
            <w:webHidden/>
          </w:rPr>
          <w:fldChar w:fldCharType="begin"/>
        </w:r>
        <w:r w:rsidRPr="00D13792">
          <w:rPr>
            <w:noProof/>
            <w:webHidden/>
          </w:rPr>
          <w:instrText xml:space="preserve"> PAGEREF _Toc469669996 \h </w:instrText>
        </w:r>
        <w:r w:rsidRPr="00D13792">
          <w:rPr>
            <w:noProof/>
            <w:webHidden/>
          </w:rPr>
        </w:r>
        <w:r w:rsidRPr="00D13792">
          <w:rPr>
            <w:noProof/>
            <w:webHidden/>
          </w:rPr>
          <w:fldChar w:fldCharType="separate"/>
        </w:r>
        <w:r>
          <w:rPr>
            <w:noProof/>
            <w:webHidden/>
          </w:rPr>
          <w:t>14</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69997" w:history="1">
        <w:r w:rsidRPr="00D13792">
          <w:rPr>
            <w:rStyle w:val="Hyperlink"/>
            <w:rFonts w:eastAsia="ヒラギノ角ゴ Pro W3"/>
            <w:noProof/>
          </w:rPr>
          <w:t>C. Excepción de falta de agotamiento de recursos internos</w:t>
        </w:r>
        <w:r w:rsidRPr="00D13792">
          <w:rPr>
            <w:noProof/>
            <w:webHidden/>
          </w:rPr>
          <w:tab/>
        </w:r>
        <w:r w:rsidRPr="00D13792">
          <w:rPr>
            <w:noProof/>
            <w:webHidden/>
          </w:rPr>
          <w:fldChar w:fldCharType="begin"/>
        </w:r>
        <w:r w:rsidRPr="00D13792">
          <w:rPr>
            <w:noProof/>
            <w:webHidden/>
          </w:rPr>
          <w:instrText xml:space="preserve"> PAGEREF _Toc469669997 \h </w:instrText>
        </w:r>
        <w:r w:rsidRPr="00D13792">
          <w:rPr>
            <w:noProof/>
            <w:webHidden/>
          </w:rPr>
        </w:r>
        <w:r w:rsidRPr="00D13792">
          <w:rPr>
            <w:noProof/>
            <w:webHidden/>
          </w:rPr>
          <w:fldChar w:fldCharType="separate"/>
        </w:r>
        <w:r>
          <w:rPr>
            <w:noProof/>
            <w:webHidden/>
          </w:rPr>
          <w:t>15</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69999" w:history="1">
        <w:r w:rsidRPr="00D13792">
          <w:rPr>
            <w:rStyle w:val="Hyperlink"/>
            <w:rFonts w:eastAsia="ヒラギノ角ゴ Pro W3"/>
            <w:noProof/>
          </w:rPr>
          <w:t>D. Excepción de “carencia de la facultad para presentar otra reclamación por los mismos hechos”</w:t>
        </w:r>
        <w:r w:rsidRPr="00D13792">
          <w:rPr>
            <w:noProof/>
            <w:webHidden/>
          </w:rPr>
          <w:tab/>
        </w:r>
        <w:r w:rsidRPr="00D13792">
          <w:rPr>
            <w:noProof/>
            <w:webHidden/>
          </w:rPr>
          <w:fldChar w:fldCharType="begin"/>
        </w:r>
        <w:r w:rsidRPr="00D13792">
          <w:rPr>
            <w:noProof/>
            <w:webHidden/>
          </w:rPr>
          <w:instrText xml:space="preserve"> PAGEREF _Toc469669999 \h </w:instrText>
        </w:r>
        <w:r w:rsidRPr="00D13792">
          <w:rPr>
            <w:noProof/>
            <w:webHidden/>
          </w:rPr>
        </w:r>
        <w:r w:rsidRPr="00D13792">
          <w:rPr>
            <w:noProof/>
            <w:webHidden/>
          </w:rPr>
          <w:fldChar w:fldCharType="separate"/>
        </w:r>
        <w:r>
          <w:rPr>
            <w:noProof/>
            <w:webHidden/>
          </w:rPr>
          <w:t>17</w:t>
        </w:r>
        <w:r w:rsidRPr="00D13792">
          <w:rPr>
            <w:noProof/>
            <w:webHidden/>
          </w:rPr>
          <w:fldChar w:fldCharType="end"/>
        </w:r>
      </w:hyperlink>
    </w:p>
    <w:p w:rsidR="006A0E1C" w:rsidRPr="00D13792" w:rsidRDefault="006A0E1C" w:rsidP="006A0E1C">
      <w:pPr>
        <w:pStyle w:val="TOC1"/>
        <w:rPr>
          <w:rFonts w:asciiTheme="minorHAnsi" w:eastAsiaTheme="minorEastAsia" w:hAnsiTheme="minorHAnsi" w:cstheme="minorBidi"/>
          <w:sz w:val="22"/>
          <w:szCs w:val="22"/>
          <w:lang w:val="es-CR"/>
        </w:rPr>
      </w:pPr>
      <w:hyperlink w:anchor="_Toc469670001" w:history="1">
        <w:r w:rsidRPr="00D13792">
          <w:rPr>
            <w:rStyle w:val="Hyperlink"/>
            <w:lang w:val="es-CR"/>
          </w:rPr>
          <w:t>V. RECONOCIMIENTO PARCIAL DE RESPONSABILIDAD</w:t>
        </w:r>
        <w:r w:rsidRPr="00D13792">
          <w:rPr>
            <w:webHidden/>
            <w:lang w:val="es-CR"/>
          </w:rPr>
          <w:tab/>
        </w:r>
        <w:r w:rsidRPr="00D13792">
          <w:rPr>
            <w:webHidden/>
            <w:lang w:val="es-CR"/>
          </w:rPr>
          <w:fldChar w:fldCharType="begin"/>
        </w:r>
        <w:r w:rsidRPr="00D13792">
          <w:rPr>
            <w:webHidden/>
            <w:lang w:val="es-CR"/>
          </w:rPr>
          <w:instrText xml:space="preserve"> PAGEREF _Toc469670001 \h </w:instrText>
        </w:r>
        <w:r w:rsidRPr="00D13792">
          <w:rPr>
            <w:webHidden/>
            <w:lang w:val="es-CR"/>
          </w:rPr>
        </w:r>
        <w:r w:rsidRPr="00D13792">
          <w:rPr>
            <w:webHidden/>
            <w:lang w:val="es-CR"/>
          </w:rPr>
          <w:fldChar w:fldCharType="separate"/>
        </w:r>
        <w:r>
          <w:rPr>
            <w:webHidden/>
            <w:lang w:val="es-CR"/>
          </w:rPr>
          <w:t>18</w:t>
        </w:r>
        <w:r w:rsidRPr="00D13792">
          <w:rPr>
            <w:webHidden/>
            <w:lang w:val="es-CR"/>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02" w:history="1">
        <w:r w:rsidRPr="00D13792">
          <w:rPr>
            <w:rStyle w:val="Hyperlink"/>
            <w:rFonts w:eastAsia="ヒラギノ角ゴ Pro W3"/>
            <w:noProof/>
          </w:rPr>
          <w:t>A.</w:t>
        </w:r>
        <w:r w:rsidRPr="00D13792">
          <w:rPr>
            <w:rFonts w:asciiTheme="minorHAnsi" w:eastAsiaTheme="minorEastAsia" w:hAnsiTheme="minorHAnsi" w:cstheme="minorBidi"/>
            <w:noProof/>
            <w:sz w:val="22"/>
            <w:szCs w:val="22"/>
          </w:rPr>
          <w:tab/>
        </w:r>
        <w:r w:rsidRPr="00D13792">
          <w:rPr>
            <w:rStyle w:val="Hyperlink"/>
            <w:rFonts w:eastAsia="ヒラギノ角ゴ Pro W3"/>
            <w:noProof/>
          </w:rPr>
          <w:t>Reconocimiento parcial de responsabilidad del Estado y observaciones de la Comisión y de los representantes</w:t>
        </w:r>
        <w:r w:rsidRPr="00D13792">
          <w:rPr>
            <w:noProof/>
            <w:webHidden/>
          </w:rPr>
          <w:tab/>
        </w:r>
        <w:r w:rsidRPr="00D13792">
          <w:rPr>
            <w:noProof/>
            <w:webHidden/>
          </w:rPr>
          <w:fldChar w:fldCharType="begin"/>
        </w:r>
        <w:r w:rsidRPr="00D13792">
          <w:rPr>
            <w:noProof/>
            <w:webHidden/>
          </w:rPr>
          <w:instrText xml:space="preserve"> PAGEREF _Toc469670002 \h </w:instrText>
        </w:r>
        <w:r w:rsidRPr="00D13792">
          <w:rPr>
            <w:noProof/>
            <w:webHidden/>
          </w:rPr>
        </w:r>
        <w:r w:rsidRPr="00D13792">
          <w:rPr>
            <w:noProof/>
            <w:webHidden/>
          </w:rPr>
          <w:fldChar w:fldCharType="separate"/>
        </w:r>
        <w:r>
          <w:rPr>
            <w:noProof/>
            <w:webHidden/>
          </w:rPr>
          <w:t>18</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03" w:history="1">
        <w:r w:rsidRPr="00D13792">
          <w:rPr>
            <w:rStyle w:val="Hyperlink"/>
            <w:rFonts w:eastAsia="ヒラギノ角ゴ Pro W3"/>
            <w:noProof/>
          </w:rPr>
          <w:t>B.</w:t>
        </w:r>
        <w:r w:rsidRPr="00D13792">
          <w:rPr>
            <w:rFonts w:asciiTheme="minorHAnsi" w:eastAsiaTheme="minorEastAsia" w:hAnsiTheme="minorHAnsi" w:cstheme="minorBidi"/>
            <w:noProof/>
            <w:sz w:val="22"/>
            <w:szCs w:val="22"/>
          </w:rPr>
          <w:tab/>
        </w:r>
        <w:r w:rsidRPr="00D13792">
          <w:rPr>
            <w:rStyle w:val="Hyperlink"/>
            <w:rFonts w:eastAsia="ヒラギノ角ゴ Pro W3"/>
            <w:noProof/>
          </w:rPr>
          <w:t>Consideraciones de la Corte</w:t>
        </w:r>
        <w:r w:rsidRPr="00D13792">
          <w:rPr>
            <w:noProof/>
            <w:webHidden/>
          </w:rPr>
          <w:tab/>
        </w:r>
        <w:r w:rsidRPr="00D13792">
          <w:rPr>
            <w:noProof/>
            <w:webHidden/>
          </w:rPr>
          <w:fldChar w:fldCharType="begin"/>
        </w:r>
        <w:r w:rsidRPr="00D13792">
          <w:rPr>
            <w:noProof/>
            <w:webHidden/>
          </w:rPr>
          <w:instrText xml:space="preserve"> PAGEREF _Toc469670003 \h </w:instrText>
        </w:r>
        <w:r w:rsidRPr="00D13792">
          <w:rPr>
            <w:noProof/>
            <w:webHidden/>
          </w:rPr>
        </w:r>
        <w:r w:rsidRPr="00D13792">
          <w:rPr>
            <w:noProof/>
            <w:webHidden/>
          </w:rPr>
          <w:fldChar w:fldCharType="separate"/>
        </w:r>
        <w:r>
          <w:rPr>
            <w:noProof/>
            <w:webHidden/>
          </w:rPr>
          <w:t>18</w:t>
        </w:r>
        <w:r w:rsidRPr="00D13792">
          <w:rPr>
            <w:noProof/>
            <w:webHidden/>
          </w:rPr>
          <w:fldChar w:fldCharType="end"/>
        </w:r>
      </w:hyperlink>
    </w:p>
    <w:p w:rsidR="006A0E1C" w:rsidRPr="00D13792" w:rsidRDefault="006A0E1C" w:rsidP="006A0E1C">
      <w:pPr>
        <w:pStyle w:val="TOC1"/>
        <w:rPr>
          <w:rFonts w:asciiTheme="minorHAnsi" w:eastAsiaTheme="minorEastAsia" w:hAnsiTheme="minorHAnsi" w:cstheme="minorBidi"/>
          <w:sz w:val="22"/>
          <w:szCs w:val="22"/>
          <w:lang w:val="es-CR"/>
        </w:rPr>
      </w:pPr>
      <w:hyperlink w:anchor="_Toc469670004" w:history="1">
        <w:r w:rsidRPr="00D13792">
          <w:rPr>
            <w:rStyle w:val="Hyperlink"/>
            <w:lang w:val="es-CR"/>
          </w:rPr>
          <w:t>VI. CONSIDERACIÓN PREVIA</w:t>
        </w:r>
        <w:r w:rsidRPr="00D13792">
          <w:rPr>
            <w:webHidden/>
            <w:lang w:val="es-CR"/>
          </w:rPr>
          <w:tab/>
        </w:r>
        <w:r w:rsidRPr="00D13792">
          <w:rPr>
            <w:webHidden/>
            <w:lang w:val="es-CR"/>
          </w:rPr>
          <w:fldChar w:fldCharType="begin"/>
        </w:r>
        <w:r w:rsidRPr="00D13792">
          <w:rPr>
            <w:webHidden/>
            <w:lang w:val="es-CR"/>
          </w:rPr>
          <w:instrText xml:space="preserve"> PAGEREF _Toc469670004 \h </w:instrText>
        </w:r>
        <w:r w:rsidRPr="00D13792">
          <w:rPr>
            <w:webHidden/>
            <w:lang w:val="es-CR"/>
          </w:rPr>
        </w:r>
        <w:r w:rsidRPr="00D13792">
          <w:rPr>
            <w:webHidden/>
            <w:lang w:val="es-CR"/>
          </w:rPr>
          <w:fldChar w:fldCharType="separate"/>
        </w:r>
        <w:r>
          <w:rPr>
            <w:webHidden/>
            <w:lang w:val="es-CR"/>
          </w:rPr>
          <w:t>19</w:t>
        </w:r>
        <w:r w:rsidRPr="00D13792">
          <w:rPr>
            <w:webHidden/>
            <w:lang w:val="es-CR"/>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05" w:history="1">
        <w:r w:rsidRPr="00D13792">
          <w:rPr>
            <w:rStyle w:val="Hyperlink"/>
            <w:rFonts w:eastAsia="ヒラギノ角ゴ Pro W3"/>
            <w:noProof/>
          </w:rPr>
          <w:t>A.</w:t>
        </w:r>
        <w:r w:rsidRPr="00D13792">
          <w:rPr>
            <w:rFonts w:asciiTheme="minorHAnsi" w:eastAsiaTheme="minorEastAsia" w:hAnsiTheme="minorHAnsi" w:cstheme="minorBidi"/>
            <w:noProof/>
            <w:sz w:val="22"/>
            <w:szCs w:val="22"/>
          </w:rPr>
          <w:tab/>
        </w:r>
        <w:r w:rsidRPr="00D13792">
          <w:rPr>
            <w:rStyle w:val="Hyperlink"/>
            <w:rFonts w:eastAsia="ヒラギノ角ゴ Pro W3"/>
            <w:noProof/>
          </w:rPr>
          <w:t>Argumentos de la Comisión y de las partes</w:t>
        </w:r>
        <w:r w:rsidRPr="00D13792">
          <w:rPr>
            <w:noProof/>
            <w:webHidden/>
          </w:rPr>
          <w:tab/>
        </w:r>
        <w:r w:rsidRPr="00D13792">
          <w:rPr>
            <w:noProof/>
            <w:webHidden/>
          </w:rPr>
          <w:fldChar w:fldCharType="begin"/>
        </w:r>
        <w:r w:rsidRPr="00D13792">
          <w:rPr>
            <w:noProof/>
            <w:webHidden/>
          </w:rPr>
          <w:instrText xml:space="preserve"> PAGEREF _Toc469670005 \h </w:instrText>
        </w:r>
        <w:r w:rsidRPr="00D13792">
          <w:rPr>
            <w:noProof/>
            <w:webHidden/>
          </w:rPr>
        </w:r>
        <w:r w:rsidRPr="00D13792">
          <w:rPr>
            <w:noProof/>
            <w:webHidden/>
          </w:rPr>
          <w:fldChar w:fldCharType="separate"/>
        </w:r>
        <w:r>
          <w:rPr>
            <w:noProof/>
            <w:webHidden/>
          </w:rPr>
          <w:t>19</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06" w:history="1">
        <w:r w:rsidRPr="00D13792">
          <w:rPr>
            <w:rStyle w:val="Hyperlink"/>
            <w:rFonts w:eastAsia="ヒラギノ角ゴ Pro W3"/>
            <w:noProof/>
          </w:rPr>
          <w:t>B.</w:t>
        </w:r>
        <w:r w:rsidRPr="00D13792">
          <w:rPr>
            <w:rFonts w:asciiTheme="minorHAnsi" w:eastAsiaTheme="minorEastAsia" w:hAnsiTheme="minorHAnsi" w:cstheme="minorBidi"/>
            <w:noProof/>
            <w:sz w:val="22"/>
            <w:szCs w:val="22"/>
          </w:rPr>
          <w:tab/>
        </w:r>
        <w:r w:rsidRPr="00D13792">
          <w:rPr>
            <w:rStyle w:val="Hyperlink"/>
            <w:rFonts w:eastAsia="ヒラギノ角ゴ Pro W3"/>
            <w:noProof/>
          </w:rPr>
          <w:t>Consideraciones de la Corte</w:t>
        </w:r>
        <w:r w:rsidRPr="00D13792">
          <w:rPr>
            <w:noProof/>
            <w:webHidden/>
          </w:rPr>
          <w:tab/>
        </w:r>
        <w:r w:rsidRPr="00D13792">
          <w:rPr>
            <w:noProof/>
            <w:webHidden/>
          </w:rPr>
          <w:fldChar w:fldCharType="begin"/>
        </w:r>
        <w:r w:rsidRPr="00D13792">
          <w:rPr>
            <w:noProof/>
            <w:webHidden/>
          </w:rPr>
          <w:instrText xml:space="preserve"> PAGEREF _Toc469670006 \h </w:instrText>
        </w:r>
        <w:r w:rsidRPr="00D13792">
          <w:rPr>
            <w:noProof/>
            <w:webHidden/>
          </w:rPr>
        </w:r>
        <w:r w:rsidRPr="00D13792">
          <w:rPr>
            <w:noProof/>
            <w:webHidden/>
          </w:rPr>
          <w:fldChar w:fldCharType="separate"/>
        </w:r>
        <w:r>
          <w:rPr>
            <w:noProof/>
            <w:webHidden/>
          </w:rPr>
          <w:t>20</w:t>
        </w:r>
        <w:r w:rsidRPr="00D13792">
          <w:rPr>
            <w:noProof/>
            <w:webHidden/>
          </w:rPr>
          <w:fldChar w:fldCharType="end"/>
        </w:r>
      </w:hyperlink>
    </w:p>
    <w:p w:rsidR="006A0E1C" w:rsidRPr="00D13792" w:rsidRDefault="006A0E1C" w:rsidP="006A0E1C">
      <w:pPr>
        <w:pStyle w:val="TOC1"/>
        <w:rPr>
          <w:rFonts w:asciiTheme="minorHAnsi" w:eastAsiaTheme="minorEastAsia" w:hAnsiTheme="minorHAnsi" w:cstheme="minorBidi"/>
          <w:sz w:val="22"/>
          <w:szCs w:val="22"/>
          <w:lang w:val="es-CR"/>
        </w:rPr>
      </w:pPr>
      <w:hyperlink w:anchor="_Toc469670007" w:history="1">
        <w:r w:rsidRPr="00D13792">
          <w:rPr>
            <w:rStyle w:val="Hyperlink"/>
            <w:lang w:val="es-CR"/>
          </w:rPr>
          <w:t>VII. PRUEBA</w:t>
        </w:r>
        <w:r w:rsidRPr="00D13792">
          <w:rPr>
            <w:webHidden/>
            <w:lang w:val="es-CR"/>
          </w:rPr>
          <w:tab/>
        </w:r>
        <w:r w:rsidRPr="00D13792">
          <w:rPr>
            <w:webHidden/>
            <w:lang w:val="es-CR"/>
          </w:rPr>
          <w:fldChar w:fldCharType="begin"/>
        </w:r>
        <w:r w:rsidRPr="00D13792">
          <w:rPr>
            <w:webHidden/>
            <w:lang w:val="es-CR"/>
          </w:rPr>
          <w:instrText xml:space="preserve"> PAGEREF _Toc469670007 \h </w:instrText>
        </w:r>
        <w:r w:rsidRPr="00D13792">
          <w:rPr>
            <w:webHidden/>
            <w:lang w:val="es-CR"/>
          </w:rPr>
        </w:r>
        <w:r w:rsidRPr="00D13792">
          <w:rPr>
            <w:webHidden/>
            <w:lang w:val="es-CR"/>
          </w:rPr>
          <w:fldChar w:fldCharType="separate"/>
        </w:r>
        <w:r>
          <w:rPr>
            <w:webHidden/>
            <w:lang w:val="es-CR"/>
          </w:rPr>
          <w:t>21</w:t>
        </w:r>
        <w:r w:rsidRPr="00D13792">
          <w:rPr>
            <w:webHidden/>
            <w:lang w:val="es-CR"/>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08" w:history="1">
        <w:r w:rsidRPr="00D13792">
          <w:rPr>
            <w:rStyle w:val="Hyperlink"/>
            <w:rFonts w:eastAsia="ヒラギノ角ゴ Pro W3"/>
            <w:noProof/>
          </w:rPr>
          <w:t>A.</w:t>
        </w:r>
        <w:r w:rsidRPr="00D13792">
          <w:rPr>
            <w:rFonts w:asciiTheme="minorHAnsi" w:eastAsiaTheme="minorEastAsia" w:hAnsiTheme="minorHAnsi" w:cstheme="minorBidi"/>
            <w:noProof/>
            <w:sz w:val="22"/>
            <w:szCs w:val="22"/>
          </w:rPr>
          <w:tab/>
        </w:r>
        <w:r w:rsidRPr="00D13792">
          <w:rPr>
            <w:rStyle w:val="Hyperlink"/>
            <w:rFonts w:eastAsia="ヒラギノ角ゴ Pro W3"/>
            <w:noProof/>
          </w:rPr>
          <w:t>Prueba documental, testimonial y pericial</w:t>
        </w:r>
        <w:r w:rsidRPr="00D13792">
          <w:rPr>
            <w:noProof/>
            <w:webHidden/>
          </w:rPr>
          <w:tab/>
        </w:r>
        <w:r w:rsidRPr="00D13792">
          <w:rPr>
            <w:noProof/>
            <w:webHidden/>
          </w:rPr>
          <w:fldChar w:fldCharType="begin"/>
        </w:r>
        <w:r w:rsidRPr="00D13792">
          <w:rPr>
            <w:noProof/>
            <w:webHidden/>
          </w:rPr>
          <w:instrText xml:space="preserve"> PAGEREF _Toc469670008 \h </w:instrText>
        </w:r>
        <w:r w:rsidRPr="00D13792">
          <w:rPr>
            <w:noProof/>
            <w:webHidden/>
          </w:rPr>
        </w:r>
        <w:r w:rsidRPr="00D13792">
          <w:rPr>
            <w:noProof/>
            <w:webHidden/>
          </w:rPr>
          <w:fldChar w:fldCharType="separate"/>
        </w:r>
        <w:r>
          <w:rPr>
            <w:noProof/>
            <w:webHidden/>
          </w:rPr>
          <w:t>21</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09" w:history="1">
        <w:r w:rsidRPr="00D13792">
          <w:rPr>
            <w:rStyle w:val="Hyperlink"/>
            <w:rFonts w:eastAsia="ヒラギノ角ゴ Pro W3"/>
            <w:noProof/>
          </w:rPr>
          <w:t>B.</w:t>
        </w:r>
        <w:r w:rsidRPr="00D13792">
          <w:rPr>
            <w:rFonts w:asciiTheme="minorHAnsi" w:eastAsiaTheme="minorEastAsia" w:hAnsiTheme="minorHAnsi" w:cstheme="minorBidi"/>
            <w:noProof/>
            <w:sz w:val="22"/>
            <w:szCs w:val="22"/>
          </w:rPr>
          <w:tab/>
        </w:r>
        <w:r w:rsidRPr="00D13792">
          <w:rPr>
            <w:rStyle w:val="Hyperlink"/>
            <w:rFonts w:eastAsia="ヒラギノ角ゴ Pro W3"/>
            <w:noProof/>
          </w:rPr>
          <w:t>Admisión de la prueba</w:t>
        </w:r>
        <w:r w:rsidRPr="00D13792">
          <w:rPr>
            <w:noProof/>
            <w:webHidden/>
          </w:rPr>
          <w:tab/>
        </w:r>
        <w:r w:rsidRPr="00D13792">
          <w:rPr>
            <w:noProof/>
            <w:webHidden/>
          </w:rPr>
          <w:fldChar w:fldCharType="begin"/>
        </w:r>
        <w:r w:rsidRPr="00D13792">
          <w:rPr>
            <w:noProof/>
            <w:webHidden/>
          </w:rPr>
          <w:instrText xml:space="preserve"> PAGEREF _Toc469670009 \h </w:instrText>
        </w:r>
        <w:r w:rsidRPr="00D13792">
          <w:rPr>
            <w:noProof/>
            <w:webHidden/>
          </w:rPr>
        </w:r>
        <w:r w:rsidRPr="00D13792">
          <w:rPr>
            <w:noProof/>
            <w:webHidden/>
          </w:rPr>
          <w:fldChar w:fldCharType="separate"/>
        </w:r>
        <w:r>
          <w:rPr>
            <w:noProof/>
            <w:webHidden/>
          </w:rPr>
          <w:t>22</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10" w:history="1">
        <w:r w:rsidRPr="00D13792">
          <w:rPr>
            <w:rStyle w:val="Hyperlink"/>
            <w:rFonts w:eastAsia="ヒラギノ角ゴ Pro W3"/>
            <w:noProof/>
          </w:rPr>
          <w:t>C.</w:t>
        </w:r>
        <w:r w:rsidRPr="00D13792">
          <w:rPr>
            <w:rFonts w:asciiTheme="minorHAnsi" w:eastAsiaTheme="minorEastAsia" w:hAnsiTheme="minorHAnsi" w:cstheme="minorBidi"/>
            <w:noProof/>
            <w:sz w:val="22"/>
            <w:szCs w:val="22"/>
          </w:rPr>
          <w:tab/>
        </w:r>
        <w:r w:rsidRPr="00D13792">
          <w:rPr>
            <w:rStyle w:val="Hyperlink"/>
            <w:rFonts w:eastAsia="ヒラギノ角ゴ Pro W3"/>
            <w:noProof/>
          </w:rPr>
          <w:t>Valoración de la prueba</w:t>
        </w:r>
        <w:r w:rsidRPr="00D13792">
          <w:rPr>
            <w:noProof/>
            <w:webHidden/>
          </w:rPr>
          <w:tab/>
        </w:r>
        <w:r w:rsidRPr="00D13792">
          <w:rPr>
            <w:noProof/>
            <w:webHidden/>
          </w:rPr>
          <w:fldChar w:fldCharType="begin"/>
        </w:r>
        <w:r w:rsidRPr="00D13792">
          <w:rPr>
            <w:noProof/>
            <w:webHidden/>
          </w:rPr>
          <w:instrText xml:space="preserve"> PAGEREF _Toc469670010 \h </w:instrText>
        </w:r>
        <w:r w:rsidRPr="00D13792">
          <w:rPr>
            <w:noProof/>
            <w:webHidden/>
          </w:rPr>
        </w:r>
        <w:r w:rsidRPr="00D13792">
          <w:rPr>
            <w:noProof/>
            <w:webHidden/>
          </w:rPr>
          <w:fldChar w:fldCharType="separate"/>
        </w:r>
        <w:r>
          <w:rPr>
            <w:noProof/>
            <w:webHidden/>
          </w:rPr>
          <w:t>23</w:t>
        </w:r>
        <w:r w:rsidRPr="00D13792">
          <w:rPr>
            <w:noProof/>
            <w:webHidden/>
          </w:rPr>
          <w:fldChar w:fldCharType="end"/>
        </w:r>
      </w:hyperlink>
    </w:p>
    <w:p w:rsidR="006A0E1C" w:rsidRPr="00D13792" w:rsidRDefault="006A0E1C" w:rsidP="006A0E1C">
      <w:pPr>
        <w:pStyle w:val="TOC1"/>
        <w:rPr>
          <w:rFonts w:asciiTheme="minorHAnsi" w:eastAsiaTheme="minorEastAsia" w:hAnsiTheme="minorHAnsi" w:cstheme="minorBidi"/>
          <w:sz w:val="22"/>
          <w:szCs w:val="22"/>
          <w:lang w:val="es-CR"/>
        </w:rPr>
      </w:pPr>
      <w:hyperlink w:anchor="_Toc469670011" w:history="1">
        <w:r w:rsidRPr="00D13792">
          <w:rPr>
            <w:rStyle w:val="Hyperlink"/>
            <w:lang w:val="es-CR"/>
          </w:rPr>
          <w:t>VIII. HECHOS</w:t>
        </w:r>
        <w:r w:rsidRPr="00D13792">
          <w:rPr>
            <w:webHidden/>
            <w:lang w:val="es-CR"/>
          </w:rPr>
          <w:tab/>
        </w:r>
        <w:r w:rsidRPr="00D13792">
          <w:rPr>
            <w:webHidden/>
            <w:lang w:val="es-CR"/>
          </w:rPr>
          <w:fldChar w:fldCharType="begin"/>
        </w:r>
        <w:r w:rsidRPr="00D13792">
          <w:rPr>
            <w:webHidden/>
            <w:lang w:val="es-CR"/>
          </w:rPr>
          <w:instrText xml:space="preserve"> PAGEREF _Toc469670011 \h </w:instrText>
        </w:r>
        <w:r w:rsidRPr="00D13792">
          <w:rPr>
            <w:webHidden/>
            <w:lang w:val="es-CR"/>
          </w:rPr>
        </w:r>
        <w:r w:rsidRPr="00D13792">
          <w:rPr>
            <w:webHidden/>
            <w:lang w:val="es-CR"/>
          </w:rPr>
          <w:fldChar w:fldCharType="separate"/>
        </w:r>
        <w:r>
          <w:rPr>
            <w:webHidden/>
            <w:lang w:val="es-CR"/>
          </w:rPr>
          <w:t>24</w:t>
        </w:r>
        <w:r w:rsidRPr="00D13792">
          <w:rPr>
            <w:webHidden/>
            <w:lang w:val="es-CR"/>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12" w:history="1">
        <w:r w:rsidRPr="00D13792">
          <w:rPr>
            <w:rStyle w:val="Hyperlink"/>
            <w:rFonts w:eastAsia="ヒラギノ角ゴ Pro W3"/>
            <w:noProof/>
          </w:rPr>
          <w:t>A.</w:t>
        </w:r>
        <w:r w:rsidRPr="00D13792">
          <w:rPr>
            <w:rFonts w:asciiTheme="minorHAnsi" w:eastAsiaTheme="minorEastAsia" w:hAnsiTheme="minorHAnsi" w:cstheme="minorBidi"/>
            <w:noProof/>
            <w:sz w:val="22"/>
            <w:szCs w:val="22"/>
          </w:rPr>
          <w:tab/>
        </w:r>
        <w:r w:rsidRPr="00D13792">
          <w:rPr>
            <w:rStyle w:val="Hyperlink"/>
            <w:rFonts w:eastAsia="ヒラギノ角ゴ Pro W3"/>
            <w:noProof/>
          </w:rPr>
          <w:t>Antecedentes del caso</w:t>
        </w:r>
        <w:r w:rsidRPr="00D13792">
          <w:rPr>
            <w:noProof/>
            <w:webHidden/>
          </w:rPr>
          <w:tab/>
        </w:r>
        <w:r w:rsidRPr="00D13792">
          <w:rPr>
            <w:noProof/>
            <w:webHidden/>
          </w:rPr>
          <w:fldChar w:fldCharType="begin"/>
        </w:r>
        <w:r w:rsidRPr="00D13792">
          <w:rPr>
            <w:noProof/>
            <w:webHidden/>
          </w:rPr>
          <w:instrText xml:space="preserve"> PAGEREF _Toc469670012 \h </w:instrText>
        </w:r>
        <w:r w:rsidRPr="00D13792">
          <w:rPr>
            <w:noProof/>
            <w:webHidden/>
          </w:rPr>
        </w:r>
        <w:r w:rsidRPr="00D13792">
          <w:rPr>
            <w:noProof/>
            <w:webHidden/>
          </w:rPr>
          <w:fldChar w:fldCharType="separate"/>
        </w:r>
        <w:r>
          <w:rPr>
            <w:noProof/>
            <w:webHidden/>
          </w:rPr>
          <w:t>25</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13" w:history="1">
        <w:r w:rsidRPr="00D13792">
          <w:rPr>
            <w:rStyle w:val="Hyperlink"/>
            <w:rFonts w:eastAsia="ヒラギノ角ゴ Pro W3"/>
            <w:noProof/>
          </w:rPr>
          <w:t>B.</w:t>
        </w:r>
        <w:r w:rsidRPr="00D13792">
          <w:rPr>
            <w:rFonts w:asciiTheme="minorHAnsi" w:eastAsiaTheme="minorEastAsia" w:hAnsiTheme="minorHAnsi" w:cstheme="minorBidi"/>
            <w:noProof/>
            <w:sz w:val="22"/>
            <w:szCs w:val="22"/>
          </w:rPr>
          <w:tab/>
        </w:r>
        <w:r w:rsidRPr="00D13792">
          <w:rPr>
            <w:rStyle w:val="Hyperlink"/>
            <w:rFonts w:eastAsia="ヒラギノ角ゴ Pro W3"/>
            <w:noProof/>
          </w:rPr>
          <w:t>La aldea Chichupac y comunidades vecinas del municipio de Rabinal</w:t>
        </w:r>
        <w:r w:rsidRPr="00D13792">
          <w:rPr>
            <w:noProof/>
            <w:webHidden/>
          </w:rPr>
          <w:tab/>
        </w:r>
        <w:r w:rsidRPr="00D13792">
          <w:rPr>
            <w:noProof/>
            <w:webHidden/>
          </w:rPr>
          <w:fldChar w:fldCharType="begin"/>
        </w:r>
        <w:r w:rsidRPr="00D13792">
          <w:rPr>
            <w:noProof/>
            <w:webHidden/>
          </w:rPr>
          <w:instrText xml:space="preserve"> PAGEREF _Toc469670013 \h </w:instrText>
        </w:r>
        <w:r w:rsidRPr="00D13792">
          <w:rPr>
            <w:noProof/>
            <w:webHidden/>
          </w:rPr>
        </w:r>
        <w:r w:rsidRPr="00D13792">
          <w:rPr>
            <w:noProof/>
            <w:webHidden/>
          </w:rPr>
          <w:fldChar w:fldCharType="separate"/>
        </w:r>
        <w:r>
          <w:rPr>
            <w:noProof/>
            <w:webHidden/>
          </w:rPr>
          <w:t>28</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14" w:history="1">
        <w:r w:rsidRPr="00D13792">
          <w:rPr>
            <w:rStyle w:val="Hyperlink"/>
            <w:rFonts w:eastAsia="ヒラギノ角ゴ Pro W3"/>
            <w:bCs/>
            <w:iCs/>
            <w:noProof/>
          </w:rPr>
          <w:t xml:space="preserve">B.1. </w:t>
        </w:r>
        <w:r w:rsidRPr="00D13792">
          <w:rPr>
            <w:rStyle w:val="Hyperlink"/>
            <w:rFonts w:eastAsia="ヒラギノ角ゴ Pro W3"/>
            <w:noProof/>
          </w:rPr>
          <w:t>Ejecución de Juan Alvarado Grave, Mateo Grave y Pedro Depaz Ciprián, y desaparición de Pedro Siana entre el 23 y 24 de agosto de 1981</w:t>
        </w:r>
        <w:r w:rsidRPr="00D13792">
          <w:rPr>
            <w:noProof/>
            <w:webHidden/>
          </w:rPr>
          <w:tab/>
        </w:r>
        <w:r w:rsidRPr="00D13792">
          <w:rPr>
            <w:noProof/>
            <w:webHidden/>
          </w:rPr>
          <w:fldChar w:fldCharType="begin"/>
        </w:r>
        <w:r w:rsidRPr="00D13792">
          <w:rPr>
            <w:noProof/>
            <w:webHidden/>
          </w:rPr>
          <w:instrText xml:space="preserve"> PAGEREF _Toc469670014 \h </w:instrText>
        </w:r>
        <w:r w:rsidRPr="00D13792">
          <w:rPr>
            <w:noProof/>
            <w:webHidden/>
          </w:rPr>
        </w:r>
        <w:r w:rsidRPr="00D13792">
          <w:rPr>
            <w:noProof/>
            <w:webHidden/>
          </w:rPr>
          <w:fldChar w:fldCharType="separate"/>
        </w:r>
        <w:r>
          <w:rPr>
            <w:noProof/>
            <w:webHidden/>
          </w:rPr>
          <w:t>28</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15" w:history="1">
        <w:r w:rsidRPr="00D13792">
          <w:rPr>
            <w:rStyle w:val="Hyperlink"/>
            <w:rFonts w:eastAsia="ヒラギノ角ゴ Pro W3"/>
            <w:bCs/>
            <w:iCs/>
            <w:noProof/>
          </w:rPr>
          <w:t xml:space="preserve">B.2. </w:t>
        </w:r>
        <w:r w:rsidRPr="00D13792">
          <w:rPr>
            <w:rStyle w:val="Hyperlink"/>
            <w:rFonts w:eastAsia="ヒラギノ角ゴ Pro W3"/>
            <w:noProof/>
          </w:rPr>
          <w:t>Ejecución de tres miembros de la familia Alvarado y tres miembros de la familia Reyes el 1 de enero de 1982</w:t>
        </w:r>
        <w:r w:rsidRPr="00D13792">
          <w:rPr>
            <w:noProof/>
            <w:webHidden/>
          </w:rPr>
          <w:tab/>
        </w:r>
        <w:r w:rsidRPr="00D13792">
          <w:rPr>
            <w:noProof/>
            <w:webHidden/>
          </w:rPr>
          <w:fldChar w:fldCharType="begin"/>
        </w:r>
        <w:r w:rsidRPr="00D13792">
          <w:rPr>
            <w:noProof/>
            <w:webHidden/>
          </w:rPr>
          <w:instrText xml:space="preserve"> PAGEREF _Toc469670015 \h </w:instrText>
        </w:r>
        <w:r w:rsidRPr="00D13792">
          <w:rPr>
            <w:noProof/>
            <w:webHidden/>
          </w:rPr>
        </w:r>
        <w:r w:rsidRPr="00D13792">
          <w:rPr>
            <w:noProof/>
            <w:webHidden/>
          </w:rPr>
          <w:fldChar w:fldCharType="separate"/>
        </w:r>
        <w:r>
          <w:rPr>
            <w:noProof/>
            <w:webHidden/>
          </w:rPr>
          <w:t>29</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16" w:history="1">
        <w:r w:rsidRPr="00D13792">
          <w:rPr>
            <w:rStyle w:val="Hyperlink"/>
            <w:rFonts w:eastAsia="ヒラギノ角ゴ Pro W3"/>
            <w:bCs/>
            <w:iCs/>
            <w:noProof/>
          </w:rPr>
          <w:t xml:space="preserve">B.3. </w:t>
        </w:r>
        <w:r w:rsidRPr="00D13792">
          <w:rPr>
            <w:rStyle w:val="Hyperlink"/>
            <w:rFonts w:eastAsia="ヒラギノ角ゴ Pro W3"/>
            <w:noProof/>
          </w:rPr>
          <w:t>Detención de Ciriaco Galiego López y desaparición de Lorenzo Depaz Siprian desde el 8 de enero de 1982</w:t>
        </w:r>
        <w:r w:rsidRPr="00D13792">
          <w:rPr>
            <w:noProof/>
            <w:webHidden/>
          </w:rPr>
          <w:tab/>
        </w:r>
        <w:r w:rsidRPr="00D13792">
          <w:rPr>
            <w:noProof/>
            <w:webHidden/>
          </w:rPr>
          <w:fldChar w:fldCharType="begin"/>
        </w:r>
        <w:r w:rsidRPr="00D13792">
          <w:rPr>
            <w:noProof/>
            <w:webHidden/>
          </w:rPr>
          <w:instrText xml:space="preserve"> PAGEREF _Toc469670016 \h </w:instrText>
        </w:r>
        <w:r w:rsidRPr="00D13792">
          <w:rPr>
            <w:noProof/>
            <w:webHidden/>
          </w:rPr>
        </w:r>
        <w:r w:rsidRPr="00D13792">
          <w:rPr>
            <w:noProof/>
            <w:webHidden/>
          </w:rPr>
          <w:fldChar w:fldCharType="separate"/>
        </w:r>
        <w:r>
          <w:rPr>
            <w:noProof/>
            <w:webHidden/>
          </w:rPr>
          <w:t>29</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17" w:history="1">
        <w:r w:rsidRPr="00D13792">
          <w:rPr>
            <w:rStyle w:val="Hyperlink"/>
            <w:rFonts w:eastAsia="ヒラギノ角ゴ Pro W3"/>
            <w:noProof/>
          </w:rPr>
          <w:t>B.4. Masacre de la Clínica de la aldea Chichupac el 8 de enero de 1982</w:t>
        </w:r>
        <w:r w:rsidRPr="00D13792">
          <w:rPr>
            <w:noProof/>
            <w:webHidden/>
          </w:rPr>
          <w:tab/>
        </w:r>
        <w:r w:rsidRPr="00D13792">
          <w:rPr>
            <w:noProof/>
            <w:webHidden/>
          </w:rPr>
          <w:fldChar w:fldCharType="begin"/>
        </w:r>
        <w:r w:rsidRPr="00D13792">
          <w:rPr>
            <w:noProof/>
            <w:webHidden/>
          </w:rPr>
          <w:instrText xml:space="preserve"> PAGEREF _Toc469670017 \h </w:instrText>
        </w:r>
        <w:r w:rsidRPr="00D13792">
          <w:rPr>
            <w:noProof/>
            <w:webHidden/>
          </w:rPr>
        </w:r>
        <w:r w:rsidRPr="00D13792">
          <w:rPr>
            <w:noProof/>
            <w:webHidden/>
          </w:rPr>
          <w:fldChar w:fldCharType="separate"/>
        </w:r>
        <w:r>
          <w:rPr>
            <w:noProof/>
            <w:webHidden/>
          </w:rPr>
          <w:t>30</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18" w:history="1">
        <w:r w:rsidRPr="00D13792">
          <w:rPr>
            <w:rStyle w:val="Hyperlink"/>
            <w:rFonts w:eastAsia="ヒラギノ角ゴ Pro W3"/>
            <w:bCs/>
            <w:iCs/>
            <w:noProof/>
          </w:rPr>
          <w:t xml:space="preserve">B.5. Violación sexual de </w:t>
        </w:r>
        <w:r w:rsidRPr="00D13792">
          <w:rPr>
            <w:rStyle w:val="Hyperlink"/>
            <w:rFonts w:eastAsia="ヒラギノ角ゴ Pro W3" w:cs="Arial"/>
            <w:noProof/>
          </w:rPr>
          <w:t>Máxima Emiliana García Valey el 8 de enero de 1982</w:t>
        </w:r>
        <w:r w:rsidRPr="00D13792">
          <w:rPr>
            <w:noProof/>
            <w:webHidden/>
          </w:rPr>
          <w:tab/>
        </w:r>
        <w:r w:rsidRPr="00D13792">
          <w:rPr>
            <w:noProof/>
            <w:webHidden/>
          </w:rPr>
          <w:fldChar w:fldCharType="begin"/>
        </w:r>
        <w:r w:rsidRPr="00D13792">
          <w:rPr>
            <w:noProof/>
            <w:webHidden/>
          </w:rPr>
          <w:instrText xml:space="preserve"> PAGEREF _Toc469670018 \h </w:instrText>
        </w:r>
        <w:r w:rsidRPr="00D13792">
          <w:rPr>
            <w:noProof/>
            <w:webHidden/>
          </w:rPr>
        </w:r>
        <w:r w:rsidRPr="00D13792">
          <w:rPr>
            <w:noProof/>
            <w:webHidden/>
          </w:rPr>
          <w:fldChar w:fldCharType="separate"/>
        </w:r>
        <w:r>
          <w:rPr>
            <w:noProof/>
            <w:webHidden/>
          </w:rPr>
          <w:t>31</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19" w:history="1">
        <w:r w:rsidRPr="00D13792">
          <w:rPr>
            <w:rStyle w:val="Hyperlink"/>
            <w:rFonts w:eastAsia="ヒラギノ角ゴ Pro W3"/>
            <w:bCs/>
            <w:noProof/>
          </w:rPr>
          <w:t>B.6. Violencia imperante en la zona, desplazamiento de los habitantes</w:t>
        </w:r>
        <w:r w:rsidRPr="00D13792">
          <w:rPr>
            <w:rStyle w:val="Hyperlink"/>
            <w:rFonts w:eastAsia="ヒラギノ角ゴ Pro W3"/>
            <w:noProof/>
          </w:rPr>
          <w:t>, destrucción de las comunidades y la aldea modelo o la colonia en Chichupac</w:t>
        </w:r>
        <w:r w:rsidRPr="00D13792">
          <w:rPr>
            <w:noProof/>
            <w:webHidden/>
          </w:rPr>
          <w:tab/>
        </w:r>
        <w:r w:rsidRPr="00D13792">
          <w:rPr>
            <w:noProof/>
            <w:webHidden/>
          </w:rPr>
          <w:fldChar w:fldCharType="begin"/>
        </w:r>
        <w:r w:rsidRPr="00D13792">
          <w:rPr>
            <w:noProof/>
            <w:webHidden/>
          </w:rPr>
          <w:instrText xml:space="preserve"> PAGEREF _Toc469670019 \h </w:instrText>
        </w:r>
        <w:r w:rsidRPr="00D13792">
          <w:rPr>
            <w:noProof/>
            <w:webHidden/>
          </w:rPr>
        </w:r>
        <w:r w:rsidRPr="00D13792">
          <w:rPr>
            <w:noProof/>
            <w:webHidden/>
          </w:rPr>
          <w:fldChar w:fldCharType="separate"/>
        </w:r>
        <w:r>
          <w:rPr>
            <w:noProof/>
            <w:webHidden/>
          </w:rPr>
          <w:t>31</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20" w:history="1">
        <w:r w:rsidRPr="00D13792">
          <w:rPr>
            <w:rStyle w:val="Hyperlink"/>
            <w:rFonts w:eastAsia="ヒラギノ角ゴ Pro W3"/>
            <w:bCs/>
            <w:iCs/>
            <w:noProof/>
          </w:rPr>
          <w:t>B.7.</w:t>
        </w:r>
        <w:r w:rsidRPr="00D13792">
          <w:rPr>
            <w:rStyle w:val="Hyperlink"/>
            <w:rFonts w:eastAsia="ヒラギノ角ゴ Pro W3" w:cs="Arial"/>
            <w:noProof/>
          </w:rPr>
          <w:t xml:space="preserve"> Desaparición e identificación de Hugo García</w:t>
        </w:r>
        <w:r w:rsidRPr="00D13792">
          <w:rPr>
            <w:rStyle w:val="Hyperlink"/>
            <w:rFonts w:eastAsia="ヒラギノ角ゴ Pro W3"/>
            <w:iCs/>
            <w:noProof/>
          </w:rPr>
          <w:t xml:space="preserve"> </w:t>
        </w:r>
        <w:r w:rsidRPr="00D13792">
          <w:rPr>
            <w:rStyle w:val="Hyperlink"/>
            <w:rFonts w:eastAsia="ヒラギノ角ゴ Pro W3" w:cs="Arial"/>
            <w:noProof/>
          </w:rPr>
          <w:t xml:space="preserve">Depaz, Abraham Alvarado, Manuel de Jesús Alarcón Morente y </w:t>
        </w:r>
        <w:r w:rsidRPr="00D13792">
          <w:rPr>
            <w:rStyle w:val="Hyperlink"/>
            <w:rFonts w:eastAsia="Arial" w:cs="Arial"/>
            <w:noProof/>
          </w:rPr>
          <w:t xml:space="preserve">Edmundo </w:t>
        </w:r>
        <w:r w:rsidRPr="00D13792">
          <w:rPr>
            <w:rStyle w:val="Hyperlink"/>
            <w:rFonts w:eastAsia="ヒラギノ角ゴ Pro W3" w:cs="Arial"/>
            <w:noProof/>
          </w:rPr>
          <w:t xml:space="preserve">Alarcón Morente, desaparición de Adrián García Manuel y </w:t>
        </w:r>
        <w:r w:rsidRPr="00D13792">
          <w:rPr>
            <w:rStyle w:val="Hyperlink"/>
            <w:rFonts w:eastAsia="ヒラギノ角ゴ Pro W3"/>
            <w:noProof/>
          </w:rPr>
          <w:t>Leonardo Cahuec González</w:t>
        </w:r>
        <w:r w:rsidRPr="00D13792">
          <w:rPr>
            <w:rStyle w:val="Hyperlink"/>
            <w:rFonts w:eastAsia="ヒラギノ角ゴ Pro W3"/>
            <w:iCs/>
            <w:noProof/>
          </w:rPr>
          <w:t xml:space="preserve">, </w:t>
        </w:r>
        <w:r w:rsidRPr="00D13792">
          <w:rPr>
            <w:rStyle w:val="Hyperlink"/>
            <w:rFonts w:eastAsia="ヒラギノ角ゴ Pro W3" w:cs="Arial"/>
            <w:noProof/>
          </w:rPr>
          <w:t xml:space="preserve">y </w:t>
        </w:r>
        <w:r w:rsidRPr="00D13792">
          <w:rPr>
            <w:rStyle w:val="Hyperlink"/>
            <w:rFonts w:eastAsia="ヒラギノ角ゴ Pro W3"/>
            <w:noProof/>
          </w:rPr>
          <w:t xml:space="preserve">detención de Miguel Chen Tahuico </w:t>
        </w:r>
        <w:r w:rsidRPr="00D13792">
          <w:rPr>
            <w:rStyle w:val="Hyperlink"/>
            <w:rFonts w:eastAsia="ヒラギノ角ゴ Pro W3" w:cs="Arial"/>
            <w:noProof/>
          </w:rPr>
          <w:t>el 18 de enero de 1982</w:t>
        </w:r>
        <w:r w:rsidRPr="00D13792">
          <w:rPr>
            <w:noProof/>
            <w:webHidden/>
          </w:rPr>
          <w:tab/>
        </w:r>
        <w:r w:rsidRPr="00D13792">
          <w:rPr>
            <w:noProof/>
            <w:webHidden/>
          </w:rPr>
          <w:fldChar w:fldCharType="begin"/>
        </w:r>
        <w:r w:rsidRPr="00D13792">
          <w:rPr>
            <w:noProof/>
            <w:webHidden/>
          </w:rPr>
          <w:instrText xml:space="preserve"> PAGEREF _Toc469670020 \h </w:instrText>
        </w:r>
        <w:r w:rsidRPr="00D13792">
          <w:rPr>
            <w:noProof/>
            <w:webHidden/>
          </w:rPr>
        </w:r>
        <w:r w:rsidRPr="00D13792">
          <w:rPr>
            <w:noProof/>
            <w:webHidden/>
          </w:rPr>
          <w:fldChar w:fldCharType="separate"/>
        </w:r>
        <w:r>
          <w:rPr>
            <w:noProof/>
            <w:webHidden/>
          </w:rPr>
          <w:t>33</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21" w:history="1">
        <w:r w:rsidRPr="00D13792">
          <w:rPr>
            <w:rStyle w:val="Hyperlink"/>
            <w:rFonts w:eastAsia="ヒラギノ角ゴ Pro W3"/>
            <w:bCs/>
            <w:iCs/>
            <w:noProof/>
          </w:rPr>
          <w:t>B.8.</w:t>
        </w:r>
        <w:r w:rsidRPr="00D13792">
          <w:rPr>
            <w:rStyle w:val="Hyperlink"/>
            <w:rFonts w:eastAsia="ヒラギノ角ゴ Pro W3"/>
            <w:iCs/>
            <w:noProof/>
          </w:rPr>
          <w:t xml:space="preserve"> </w:t>
        </w:r>
        <w:r w:rsidRPr="00D13792">
          <w:rPr>
            <w:rStyle w:val="Hyperlink"/>
            <w:rFonts w:eastAsia="ヒラギノ角ゴ Pro W3"/>
            <w:noProof/>
          </w:rPr>
          <w:t>Desaparición de Juan Mendoza Alvarado y José Cruz Mendoza Sucup desde el 31 de enero de 1982</w:t>
        </w:r>
        <w:r w:rsidRPr="00D13792">
          <w:rPr>
            <w:noProof/>
            <w:webHidden/>
          </w:rPr>
          <w:tab/>
        </w:r>
        <w:r w:rsidRPr="00D13792">
          <w:rPr>
            <w:noProof/>
            <w:webHidden/>
          </w:rPr>
          <w:fldChar w:fldCharType="begin"/>
        </w:r>
        <w:r w:rsidRPr="00D13792">
          <w:rPr>
            <w:noProof/>
            <w:webHidden/>
          </w:rPr>
          <w:instrText xml:space="preserve"> PAGEREF _Toc469670021 \h </w:instrText>
        </w:r>
        <w:r w:rsidRPr="00D13792">
          <w:rPr>
            <w:noProof/>
            <w:webHidden/>
          </w:rPr>
        </w:r>
        <w:r w:rsidRPr="00D13792">
          <w:rPr>
            <w:noProof/>
            <w:webHidden/>
          </w:rPr>
          <w:fldChar w:fldCharType="separate"/>
        </w:r>
        <w:r>
          <w:rPr>
            <w:noProof/>
            <w:webHidden/>
          </w:rPr>
          <w:t>35</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22" w:history="1">
        <w:r w:rsidRPr="00D13792">
          <w:rPr>
            <w:rStyle w:val="Hyperlink"/>
            <w:rFonts w:eastAsia="ヒラギノ角ゴ Pro W3"/>
            <w:bCs/>
            <w:iCs/>
            <w:noProof/>
          </w:rPr>
          <w:t>B.9.</w:t>
        </w:r>
        <w:r w:rsidRPr="00D13792">
          <w:rPr>
            <w:rStyle w:val="Hyperlink"/>
            <w:rFonts w:eastAsia="ヒラギノ角ゴ Pro W3"/>
            <w:iCs/>
            <w:noProof/>
          </w:rPr>
          <w:t xml:space="preserve"> </w:t>
        </w:r>
        <w:r w:rsidRPr="00D13792">
          <w:rPr>
            <w:rStyle w:val="Hyperlink"/>
            <w:rFonts w:eastAsia="ヒラギノ角ゴ Pro W3"/>
            <w:noProof/>
          </w:rPr>
          <w:t>Desaparición de María Concepción Chen Sic y Casimiro Siana desde el 12 de febrero de 1982</w:t>
        </w:r>
        <w:r w:rsidRPr="00D13792">
          <w:rPr>
            <w:noProof/>
            <w:webHidden/>
          </w:rPr>
          <w:tab/>
        </w:r>
        <w:r w:rsidRPr="00D13792">
          <w:rPr>
            <w:noProof/>
            <w:webHidden/>
          </w:rPr>
          <w:fldChar w:fldCharType="begin"/>
        </w:r>
        <w:r w:rsidRPr="00D13792">
          <w:rPr>
            <w:noProof/>
            <w:webHidden/>
          </w:rPr>
          <w:instrText xml:space="preserve"> PAGEREF _Toc469670022 \h </w:instrText>
        </w:r>
        <w:r w:rsidRPr="00D13792">
          <w:rPr>
            <w:noProof/>
            <w:webHidden/>
          </w:rPr>
        </w:r>
        <w:r w:rsidRPr="00D13792">
          <w:rPr>
            <w:noProof/>
            <w:webHidden/>
          </w:rPr>
          <w:fldChar w:fldCharType="separate"/>
        </w:r>
        <w:r>
          <w:rPr>
            <w:noProof/>
            <w:webHidden/>
          </w:rPr>
          <w:t>35</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23" w:history="1">
        <w:r w:rsidRPr="00D13792">
          <w:rPr>
            <w:rStyle w:val="Hyperlink"/>
            <w:rFonts w:eastAsia="ヒラギノ角ゴ Pro W3"/>
            <w:bCs/>
            <w:iCs/>
            <w:noProof/>
          </w:rPr>
          <w:t xml:space="preserve">B.10. </w:t>
        </w:r>
        <w:r w:rsidRPr="00D13792">
          <w:rPr>
            <w:rStyle w:val="Hyperlink"/>
            <w:rFonts w:eastAsia="ヒラギノ角ゴ Pro W3"/>
            <w:noProof/>
          </w:rPr>
          <w:t>Ejecución de Andrea Osorio Galeano el 19 de febrero de 1982</w:t>
        </w:r>
        <w:r w:rsidRPr="00D13792">
          <w:rPr>
            <w:noProof/>
            <w:webHidden/>
          </w:rPr>
          <w:tab/>
        </w:r>
        <w:r w:rsidRPr="00D13792">
          <w:rPr>
            <w:noProof/>
            <w:webHidden/>
          </w:rPr>
          <w:fldChar w:fldCharType="begin"/>
        </w:r>
        <w:r w:rsidRPr="00D13792">
          <w:rPr>
            <w:noProof/>
            <w:webHidden/>
          </w:rPr>
          <w:instrText xml:space="preserve"> PAGEREF _Toc469670023 \h </w:instrText>
        </w:r>
        <w:r w:rsidRPr="00D13792">
          <w:rPr>
            <w:noProof/>
            <w:webHidden/>
          </w:rPr>
        </w:r>
        <w:r w:rsidRPr="00D13792">
          <w:rPr>
            <w:noProof/>
            <w:webHidden/>
          </w:rPr>
          <w:fldChar w:fldCharType="separate"/>
        </w:r>
        <w:r>
          <w:rPr>
            <w:noProof/>
            <w:webHidden/>
          </w:rPr>
          <w:t>35</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24" w:history="1">
        <w:r w:rsidRPr="00D13792">
          <w:rPr>
            <w:rStyle w:val="Hyperlink"/>
            <w:rFonts w:eastAsia="ヒラギノ角ゴ Pro W3"/>
            <w:bCs/>
            <w:iCs/>
            <w:noProof/>
          </w:rPr>
          <w:t xml:space="preserve">B.11. </w:t>
        </w:r>
        <w:r w:rsidRPr="00D13792">
          <w:rPr>
            <w:rStyle w:val="Hyperlink"/>
            <w:rFonts w:eastAsia="ヒラギノ角ゴ Pro W3"/>
            <w:noProof/>
          </w:rPr>
          <w:t>Ejecución de Elías Milián González y Amelia Milián Morales el 23 de marzo y 20 de abril de 1982</w:t>
        </w:r>
        <w:r w:rsidRPr="00D13792">
          <w:rPr>
            <w:noProof/>
            <w:webHidden/>
          </w:rPr>
          <w:tab/>
        </w:r>
        <w:r w:rsidRPr="00D13792">
          <w:rPr>
            <w:noProof/>
            <w:webHidden/>
          </w:rPr>
          <w:fldChar w:fldCharType="begin"/>
        </w:r>
        <w:r w:rsidRPr="00D13792">
          <w:rPr>
            <w:noProof/>
            <w:webHidden/>
          </w:rPr>
          <w:instrText xml:space="preserve"> PAGEREF _Toc469670024 \h </w:instrText>
        </w:r>
        <w:r w:rsidRPr="00D13792">
          <w:rPr>
            <w:noProof/>
            <w:webHidden/>
          </w:rPr>
        </w:r>
        <w:r w:rsidRPr="00D13792">
          <w:rPr>
            <w:noProof/>
            <w:webHidden/>
          </w:rPr>
          <w:fldChar w:fldCharType="separate"/>
        </w:r>
        <w:r>
          <w:rPr>
            <w:noProof/>
            <w:webHidden/>
          </w:rPr>
          <w:t>35</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25" w:history="1">
        <w:r w:rsidRPr="00D13792">
          <w:rPr>
            <w:rStyle w:val="Hyperlink"/>
            <w:rFonts w:eastAsia="ヒラギノ角ゴ Pro W3"/>
            <w:bCs/>
            <w:iCs/>
            <w:noProof/>
          </w:rPr>
          <w:t>B.12. V</w:t>
        </w:r>
        <w:r w:rsidRPr="00D13792">
          <w:rPr>
            <w:rStyle w:val="Hyperlink"/>
            <w:rFonts w:eastAsia="ヒラギノ角ゴ Pro W3"/>
            <w:noProof/>
          </w:rPr>
          <w:t>iolación sexual y ejecución de Gregoria Valey lxtecoc el 22 de noviembre de 1982</w:t>
        </w:r>
        <w:r w:rsidRPr="00D13792">
          <w:rPr>
            <w:noProof/>
            <w:webHidden/>
          </w:rPr>
          <w:lastRenderedPageBreak/>
          <w:tab/>
        </w:r>
        <w:r w:rsidRPr="00D13792">
          <w:rPr>
            <w:noProof/>
            <w:webHidden/>
          </w:rPr>
          <w:fldChar w:fldCharType="begin"/>
        </w:r>
        <w:r w:rsidRPr="00D13792">
          <w:rPr>
            <w:noProof/>
            <w:webHidden/>
          </w:rPr>
          <w:instrText xml:space="preserve"> PAGEREF _Toc469670025 \h </w:instrText>
        </w:r>
        <w:r w:rsidRPr="00D13792">
          <w:rPr>
            <w:noProof/>
            <w:webHidden/>
          </w:rPr>
        </w:r>
        <w:r w:rsidRPr="00D13792">
          <w:rPr>
            <w:noProof/>
            <w:webHidden/>
          </w:rPr>
          <w:fldChar w:fldCharType="separate"/>
        </w:r>
        <w:r>
          <w:rPr>
            <w:noProof/>
            <w:webHidden/>
          </w:rPr>
          <w:t>36</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26" w:history="1">
        <w:r w:rsidRPr="00D13792">
          <w:rPr>
            <w:rStyle w:val="Hyperlink"/>
            <w:rFonts w:eastAsia="ヒラギノ角ゴ Pro W3"/>
            <w:bCs/>
            <w:iCs/>
            <w:noProof/>
          </w:rPr>
          <w:t xml:space="preserve">B.13. </w:t>
        </w:r>
        <w:r w:rsidRPr="00D13792">
          <w:rPr>
            <w:rStyle w:val="Hyperlink"/>
            <w:rFonts w:eastAsia="ヒラギノ角ゴ Pro W3"/>
            <w:noProof/>
          </w:rPr>
          <w:t>Desaparición de Juan Pérez Sic desde el 15 de</w:t>
        </w:r>
        <w:r w:rsidRPr="00D13792">
          <w:rPr>
            <w:rStyle w:val="Hyperlink"/>
            <w:rFonts w:eastAsia="ヒラギノ角ゴ Pro W3"/>
            <w:bCs/>
            <w:iCs/>
            <w:noProof/>
          </w:rPr>
          <w:t xml:space="preserve"> </w:t>
        </w:r>
        <w:r w:rsidRPr="00D13792">
          <w:rPr>
            <w:rStyle w:val="Hyperlink"/>
            <w:rFonts w:eastAsia="ヒラギノ角ゴ Pro W3"/>
            <w:noProof/>
          </w:rPr>
          <w:t>noviembre de 1981</w:t>
        </w:r>
        <w:r w:rsidRPr="00D13792">
          <w:rPr>
            <w:noProof/>
            <w:webHidden/>
          </w:rPr>
          <w:tab/>
        </w:r>
        <w:r w:rsidRPr="00D13792">
          <w:rPr>
            <w:noProof/>
            <w:webHidden/>
          </w:rPr>
          <w:fldChar w:fldCharType="begin"/>
        </w:r>
        <w:r w:rsidRPr="00D13792">
          <w:rPr>
            <w:noProof/>
            <w:webHidden/>
          </w:rPr>
          <w:instrText xml:space="preserve"> PAGEREF _Toc469670026 \h </w:instrText>
        </w:r>
        <w:r w:rsidRPr="00D13792">
          <w:rPr>
            <w:noProof/>
            <w:webHidden/>
          </w:rPr>
        </w:r>
        <w:r w:rsidRPr="00D13792">
          <w:rPr>
            <w:noProof/>
            <w:webHidden/>
          </w:rPr>
          <w:fldChar w:fldCharType="separate"/>
        </w:r>
        <w:r>
          <w:rPr>
            <w:noProof/>
            <w:webHidden/>
          </w:rPr>
          <w:t>36</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27" w:history="1">
        <w:r w:rsidRPr="00D13792">
          <w:rPr>
            <w:rStyle w:val="Hyperlink"/>
            <w:rFonts w:eastAsia="ヒラギノ角ゴ Pro W3"/>
            <w:bCs/>
            <w:iCs/>
            <w:noProof/>
          </w:rPr>
          <w:t xml:space="preserve">B.14. </w:t>
        </w:r>
        <w:r w:rsidRPr="00D13792">
          <w:rPr>
            <w:rStyle w:val="Hyperlink"/>
            <w:rFonts w:eastAsia="ヒラギノ角ゴ Pro W3"/>
            <w:noProof/>
          </w:rPr>
          <w:t>Desaparición de ocho personas desde el 26 de</w:t>
        </w:r>
        <w:r w:rsidRPr="00D13792">
          <w:rPr>
            <w:rStyle w:val="Hyperlink"/>
            <w:rFonts w:eastAsia="ヒラギノ角ゴ Pro W3"/>
            <w:bCs/>
            <w:iCs/>
            <w:noProof/>
          </w:rPr>
          <w:t xml:space="preserve"> </w:t>
        </w:r>
        <w:r w:rsidRPr="00D13792">
          <w:rPr>
            <w:rStyle w:val="Hyperlink"/>
            <w:rFonts w:eastAsia="ヒラギノ角ゴ Pro W3"/>
            <w:noProof/>
          </w:rPr>
          <w:t>noviembre de 1982 y detención de Napoleón García De Paz ese mismo día</w:t>
        </w:r>
        <w:r w:rsidRPr="00D13792">
          <w:rPr>
            <w:noProof/>
            <w:webHidden/>
          </w:rPr>
          <w:tab/>
        </w:r>
        <w:r w:rsidRPr="00D13792">
          <w:rPr>
            <w:noProof/>
            <w:webHidden/>
          </w:rPr>
          <w:fldChar w:fldCharType="begin"/>
        </w:r>
        <w:r w:rsidRPr="00D13792">
          <w:rPr>
            <w:noProof/>
            <w:webHidden/>
          </w:rPr>
          <w:instrText xml:space="preserve"> PAGEREF _Toc469670027 \h </w:instrText>
        </w:r>
        <w:r w:rsidRPr="00D13792">
          <w:rPr>
            <w:noProof/>
            <w:webHidden/>
          </w:rPr>
        </w:r>
        <w:r w:rsidRPr="00D13792">
          <w:rPr>
            <w:noProof/>
            <w:webHidden/>
          </w:rPr>
          <w:fldChar w:fldCharType="separate"/>
        </w:r>
        <w:r>
          <w:rPr>
            <w:noProof/>
            <w:webHidden/>
          </w:rPr>
          <w:t>37</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28" w:history="1">
        <w:r w:rsidRPr="00D13792">
          <w:rPr>
            <w:rStyle w:val="Hyperlink"/>
            <w:rFonts w:eastAsia="ヒラギノ角ゴ Pro W3"/>
            <w:bCs/>
            <w:iCs/>
            <w:noProof/>
          </w:rPr>
          <w:t xml:space="preserve">B.15. </w:t>
        </w:r>
        <w:r w:rsidRPr="00D13792">
          <w:rPr>
            <w:rStyle w:val="Hyperlink"/>
            <w:rFonts w:eastAsia="ヒラギノ角ゴ Pro W3"/>
            <w:noProof/>
          </w:rPr>
          <w:t>Ejecución de ocho personas el 2 de marzo de 1983</w:t>
        </w:r>
        <w:r w:rsidRPr="00D13792">
          <w:rPr>
            <w:noProof/>
            <w:webHidden/>
          </w:rPr>
          <w:tab/>
        </w:r>
        <w:r w:rsidRPr="00D13792">
          <w:rPr>
            <w:noProof/>
            <w:webHidden/>
          </w:rPr>
          <w:fldChar w:fldCharType="begin"/>
        </w:r>
        <w:r w:rsidRPr="00D13792">
          <w:rPr>
            <w:noProof/>
            <w:webHidden/>
          </w:rPr>
          <w:instrText xml:space="preserve"> PAGEREF _Toc469670028 \h </w:instrText>
        </w:r>
        <w:r w:rsidRPr="00D13792">
          <w:rPr>
            <w:noProof/>
            <w:webHidden/>
          </w:rPr>
        </w:r>
        <w:r w:rsidRPr="00D13792">
          <w:rPr>
            <w:noProof/>
            <w:webHidden/>
          </w:rPr>
          <w:fldChar w:fldCharType="separate"/>
        </w:r>
        <w:r>
          <w:rPr>
            <w:noProof/>
            <w:webHidden/>
          </w:rPr>
          <w:t>37</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29" w:history="1">
        <w:r w:rsidRPr="00D13792">
          <w:rPr>
            <w:rStyle w:val="Hyperlink"/>
            <w:rFonts w:eastAsia="ヒラギノ角ゴ Pro W3"/>
            <w:bCs/>
            <w:iCs/>
            <w:noProof/>
          </w:rPr>
          <w:t xml:space="preserve">B.16. </w:t>
        </w:r>
        <w:r w:rsidRPr="00D13792">
          <w:rPr>
            <w:rStyle w:val="Hyperlink"/>
            <w:rFonts w:eastAsia="ヒラギノ角ゴ Pro W3"/>
            <w:noProof/>
          </w:rPr>
          <w:t>Fallecimiento del niño Antonio Chen Mendoza en marzo de</w:t>
        </w:r>
        <w:r w:rsidRPr="00D13792">
          <w:rPr>
            <w:rStyle w:val="Hyperlink"/>
            <w:rFonts w:eastAsia="ヒラギノ角ゴ Pro W3"/>
            <w:bCs/>
            <w:iCs/>
            <w:noProof/>
          </w:rPr>
          <w:t xml:space="preserve"> </w:t>
        </w:r>
        <w:r w:rsidRPr="00D13792">
          <w:rPr>
            <w:rStyle w:val="Hyperlink"/>
            <w:rFonts w:eastAsia="ヒラギノ角ゴ Pro W3"/>
            <w:noProof/>
          </w:rPr>
          <w:t>1983</w:t>
        </w:r>
        <w:r w:rsidRPr="00D13792">
          <w:rPr>
            <w:noProof/>
            <w:webHidden/>
          </w:rPr>
          <w:tab/>
        </w:r>
        <w:r w:rsidRPr="00D13792">
          <w:rPr>
            <w:noProof/>
            <w:webHidden/>
          </w:rPr>
          <w:fldChar w:fldCharType="begin"/>
        </w:r>
        <w:r w:rsidRPr="00D13792">
          <w:rPr>
            <w:noProof/>
            <w:webHidden/>
          </w:rPr>
          <w:instrText xml:space="preserve"> PAGEREF _Toc469670029 \h </w:instrText>
        </w:r>
        <w:r w:rsidRPr="00D13792">
          <w:rPr>
            <w:noProof/>
            <w:webHidden/>
          </w:rPr>
        </w:r>
        <w:r w:rsidRPr="00D13792">
          <w:rPr>
            <w:noProof/>
            <w:webHidden/>
          </w:rPr>
          <w:fldChar w:fldCharType="separate"/>
        </w:r>
        <w:r>
          <w:rPr>
            <w:noProof/>
            <w:webHidden/>
          </w:rPr>
          <w:t>38</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30" w:history="1">
        <w:r w:rsidRPr="00D13792">
          <w:rPr>
            <w:rStyle w:val="Hyperlink"/>
            <w:rFonts w:eastAsia="ヒラギノ角ゴ Pro W3"/>
            <w:noProof/>
          </w:rPr>
          <w:t>B.17. Ejecución de los hermanos Eusebia y José León Grave García el 22 de octubre de 1983</w:t>
        </w:r>
        <w:r w:rsidRPr="00D13792">
          <w:rPr>
            <w:noProof/>
            <w:webHidden/>
          </w:rPr>
          <w:tab/>
        </w:r>
        <w:r w:rsidRPr="00D13792">
          <w:rPr>
            <w:noProof/>
            <w:webHidden/>
          </w:rPr>
          <w:fldChar w:fldCharType="begin"/>
        </w:r>
        <w:r w:rsidRPr="00D13792">
          <w:rPr>
            <w:noProof/>
            <w:webHidden/>
          </w:rPr>
          <w:instrText xml:space="preserve"> PAGEREF _Toc469670030 \h </w:instrText>
        </w:r>
        <w:r w:rsidRPr="00D13792">
          <w:rPr>
            <w:noProof/>
            <w:webHidden/>
          </w:rPr>
        </w:r>
        <w:r w:rsidRPr="00D13792">
          <w:rPr>
            <w:noProof/>
            <w:webHidden/>
          </w:rPr>
          <w:fldChar w:fldCharType="separate"/>
        </w:r>
        <w:r>
          <w:rPr>
            <w:noProof/>
            <w:webHidden/>
          </w:rPr>
          <w:t>38</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31" w:history="1">
        <w:r w:rsidRPr="00D13792">
          <w:rPr>
            <w:rStyle w:val="Hyperlink"/>
            <w:rFonts w:eastAsia="ヒラギノ角ゴ Pro W3"/>
            <w:iCs/>
            <w:noProof/>
          </w:rPr>
          <w:t xml:space="preserve">B.18. </w:t>
        </w:r>
        <w:r w:rsidRPr="00D13792">
          <w:rPr>
            <w:rStyle w:val="Hyperlink"/>
            <w:rFonts w:eastAsia="ヒラギノ角ゴ Pro W3" w:cs="Arial"/>
            <w:noProof/>
          </w:rPr>
          <w:t>Situación</w:t>
        </w:r>
        <w:r w:rsidRPr="00D13792">
          <w:rPr>
            <w:rStyle w:val="Hyperlink"/>
            <w:rFonts w:eastAsia="ヒラギノ角ゴ Pro W3"/>
            <w:noProof/>
          </w:rPr>
          <w:t xml:space="preserve"> </w:t>
        </w:r>
        <w:r w:rsidRPr="00D13792">
          <w:rPr>
            <w:rStyle w:val="Hyperlink"/>
            <w:rFonts w:eastAsia="ヒラギノ角ゴ Pro W3" w:cs="Arial"/>
            <w:noProof/>
          </w:rPr>
          <w:t>de Juana García Depaz a partir del 22 de octubre de 1983 y trabajos forzosos</w:t>
        </w:r>
        <w:r w:rsidRPr="00D13792">
          <w:rPr>
            <w:noProof/>
            <w:webHidden/>
          </w:rPr>
          <w:tab/>
        </w:r>
        <w:r w:rsidRPr="00D13792">
          <w:rPr>
            <w:noProof/>
            <w:webHidden/>
          </w:rPr>
          <w:fldChar w:fldCharType="begin"/>
        </w:r>
        <w:r w:rsidRPr="00D13792">
          <w:rPr>
            <w:noProof/>
            <w:webHidden/>
          </w:rPr>
          <w:instrText xml:space="preserve"> PAGEREF _Toc469670031 \h </w:instrText>
        </w:r>
        <w:r w:rsidRPr="00D13792">
          <w:rPr>
            <w:noProof/>
            <w:webHidden/>
          </w:rPr>
        </w:r>
        <w:r w:rsidRPr="00D13792">
          <w:rPr>
            <w:noProof/>
            <w:webHidden/>
          </w:rPr>
          <w:fldChar w:fldCharType="separate"/>
        </w:r>
        <w:r>
          <w:rPr>
            <w:noProof/>
            <w:webHidden/>
          </w:rPr>
          <w:t>38</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32" w:history="1">
        <w:r w:rsidRPr="00D13792">
          <w:rPr>
            <w:rStyle w:val="Hyperlink"/>
            <w:rFonts w:eastAsia="ヒラギノ角ゴ Pro W3"/>
            <w:bCs/>
            <w:iCs/>
            <w:noProof/>
          </w:rPr>
          <w:t>B.19.</w:t>
        </w:r>
        <w:r w:rsidRPr="00D13792">
          <w:rPr>
            <w:rStyle w:val="Hyperlink"/>
            <w:rFonts w:eastAsia="ヒラギノ角ゴ Pro W3"/>
            <w:noProof/>
          </w:rPr>
          <w:t xml:space="preserve"> Ejecución de Medardo Juárez García el 31 de agosto de 1983 o 1984</w:t>
        </w:r>
        <w:r w:rsidRPr="00D13792">
          <w:rPr>
            <w:noProof/>
            <w:webHidden/>
          </w:rPr>
          <w:tab/>
        </w:r>
        <w:r w:rsidRPr="00D13792">
          <w:rPr>
            <w:noProof/>
            <w:webHidden/>
          </w:rPr>
          <w:fldChar w:fldCharType="begin"/>
        </w:r>
        <w:r w:rsidRPr="00D13792">
          <w:rPr>
            <w:noProof/>
            <w:webHidden/>
          </w:rPr>
          <w:instrText xml:space="preserve"> PAGEREF _Toc469670032 \h </w:instrText>
        </w:r>
        <w:r w:rsidRPr="00D13792">
          <w:rPr>
            <w:noProof/>
            <w:webHidden/>
          </w:rPr>
        </w:r>
        <w:r w:rsidRPr="00D13792">
          <w:rPr>
            <w:noProof/>
            <w:webHidden/>
          </w:rPr>
          <w:fldChar w:fldCharType="separate"/>
        </w:r>
        <w:r>
          <w:rPr>
            <w:noProof/>
            <w:webHidden/>
          </w:rPr>
          <w:t>39</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33" w:history="1">
        <w:r w:rsidRPr="00D13792">
          <w:rPr>
            <w:rStyle w:val="Hyperlink"/>
            <w:rFonts w:eastAsia="ヒラギノ角ゴ Pro W3"/>
            <w:bCs/>
            <w:iCs/>
            <w:noProof/>
          </w:rPr>
          <w:t>B.20.</w:t>
        </w:r>
        <w:r w:rsidRPr="00D13792">
          <w:rPr>
            <w:rStyle w:val="Hyperlink"/>
            <w:rFonts w:eastAsia="ヒラギノ角ゴ Pro W3" w:cs="Arial"/>
            <w:noProof/>
          </w:rPr>
          <w:t xml:space="preserve"> Desaparición de </w:t>
        </w:r>
        <w:r w:rsidRPr="00D13792">
          <w:rPr>
            <w:rStyle w:val="Hyperlink"/>
            <w:rFonts w:eastAsia="ヒラギノ角ゴ Pro W3"/>
            <w:noProof/>
          </w:rPr>
          <w:t xml:space="preserve">Marcelo Sic Chen desde </w:t>
        </w:r>
        <w:r w:rsidRPr="00D13792">
          <w:rPr>
            <w:rStyle w:val="Hyperlink"/>
            <w:rFonts w:eastAsia="ヒラギノ角ゴ Pro W3"/>
            <w:bCs/>
            <w:noProof/>
          </w:rPr>
          <w:t>diciembre de 1984</w:t>
        </w:r>
        <w:r w:rsidRPr="00D13792">
          <w:rPr>
            <w:noProof/>
            <w:webHidden/>
          </w:rPr>
          <w:tab/>
        </w:r>
        <w:r w:rsidRPr="00D13792">
          <w:rPr>
            <w:noProof/>
            <w:webHidden/>
          </w:rPr>
          <w:fldChar w:fldCharType="begin"/>
        </w:r>
        <w:r w:rsidRPr="00D13792">
          <w:rPr>
            <w:noProof/>
            <w:webHidden/>
          </w:rPr>
          <w:instrText xml:space="preserve"> PAGEREF _Toc469670033 \h </w:instrText>
        </w:r>
        <w:r w:rsidRPr="00D13792">
          <w:rPr>
            <w:noProof/>
            <w:webHidden/>
          </w:rPr>
        </w:r>
        <w:r w:rsidRPr="00D13792">
          <w:rPr>
            <w:noProof/>
            <w:webHidden/>
          </w:rPr>
          <w:fldChar w:fldCharType="separate"/>
        </w:r>
        <w:r>
          <w:rPr>
            <w:noProof/>
            <w:webHidden/>
          </w:rPr>
          <w:t>39</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34" w:history="1">
        <w:r w:rsidRPr="00D13792">
          <w:rPr>
            <w:rStyle w:val="Hyperlink"/>
            <w:rFonts w:eastAsia="ヒラギノ角ゴ Pro W3"/>
            <w:bCs/>
            <w:iCs/>
            <w:noProof/>
          </w:rPr>
          <w:t>B.21.</w:t>
        </w:r>
        <w:r w:rsidRPr="00D13792">
          <w:rPr>
            <w:rStyle w:val="Hyperlink"/>
            <w:rFonts w:eastAsia="ヒラギノ角ゴ Pro W3" w:cs="Arial"/>
            <w:noProof/>
          </w:rPr>
          <w:t xml:space="preserve"> Ejecución de </w:t>
        </w:r>
        <w:r w:rsidRPr="00D13792">
          <w:rPr>
            <w:rStyle w:val="Hyperlink"/>
            <w:rFonts w:eastAsia="ヒラギノ角ゴ Pro W3"/>
            <w:noProof/>
          </w:rPr>
          <w:t xml:space="preserve">Silvestre Sic y Raymunda Corazón </w:t>
        </w:r>
        <w:r w:rsidRPr="00D13792">
          <w:rPr>
            <w:rStyle w:val="Hyperlink"/>
            <w:rFonts w:eastAsia="ヒラギノ角ゴ Pro W3" w:cs="Arial"/>
            <w:noProof/>
          </w:rPr>
          <w:t xml:space="preserve">el </w:t>
        </w:r>
        <w:r w:rsidRPr="00D13792">
          <w:rPr>
            <w:rStyle w:val="Hyperlink"/>
            <w:rFonts w:eastAsia="ヒラギノ角ゴ Pro W3"/>
            <w:noProof/>
          </w:rPr>
          <w:t>20 de diciembre de 1984</w:t>
        </w:r>
        <w:r w:rsidRPr="00D13792">
          <w:rPr>
            <w:noProof/>
            <w:webHidden/>
          </w:rPr>
          <w:tab/>
        </w:r>
        <w:r w:rsidRPr="00D13792">
          <w:rPr>
            <w:noProof/>
            <w:webHidden/>
          </w:rPr>
          <w:fldChar w:fldCharType="begin"/>
        </w:r>
        <w:r w:rsidRPr="00D13792">
          <w:rPr>
            <w:noProof/>
            <w:webHidden/>
          </w:rPr>
          <w:instrText xml:space="preserve"> PAGEREF _Toc469670034 \h </w:instrText>
        </w:r>
        <w:r w:rsidRPr="00D13792">
          <w:rPr>
            <w:noProof/>
            <w:webHidden/>
          </w:rPr>
        </w:r>
        <w:r w:rsidRPr="00D13792">
          <w:rPr>
            <w:noProof/>
            <w:webHidden/>
          </w:rPr>
          <w:fldChar w:fldCharType="separate"/>
        </w:r>
        <w:r>
          <w:rPr>
            <w:noProof/>
            <w:webHidden/>
          </w:rPr>
          <w:t>39</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35" w:history="1">
        <w:r w:rsidRPr="00D13792">
          <w:rPr>
            <w:rStyle w:val="Hyperlink"/>
            <w:rFonts w:eastAsia="ヒラギノ角ゴ Pro W3"/>
            <w:bCs/>
            <w:iCs/>
            <w:noProof/>
          </w:rPr>
          <w:t>B.22.</w:t>
        </w:r>
        <w:r w:rsidRPr="00D13792">
          <w:rPr>
            <w:rStyle w:val="Hyperlink"/>
            <w:rFonts w:eastAsia="ヒラギノ角ゴ Pro W3"/>
            <w:noProof/>
          </w:rPr>
          <w:t xml:space="preserve"> Ejecución de Efraín García de Paz el </w:t>
        </w:r>
        <w:r w:rsidRPr="00D13792">
          <w:rPr>
            <w:rStyle w:val="Hyperlink"/>
            <w:rFonts w:eastAsia="ヒラギノ角ゴ Pro W3"/>
            <w:bCs/>
            <w:noProof/>
          </w:rPr>
          <w:t>17 de agosto de 1986</w:t>
        </w:r>
        <w:r w:rsidRPr="00D13792">
          <w:rPr>
            <w:noProof/>
            <w:webHidden/>
          </w:rPr>
          <w:tab/>
        </w:r>
        <w:r w:rsidRPr="00D13792">
          <w:rPr>
            <w:noProof/>
            <w:webHidden/>
          </w:rPr>
          <w:fldChar w:fldCharType="begin"/>
        </w:r>
        <w:r w:rsidRPr="00D13792">
          <w:rPr>
            <w:noProof/>
            <w:webHidden/>
          </w:rPr>
          <w:instrText xml:space="preserve"> PAGEREF _Toc469670035 \h </w:instrText>
        </w:r>
        <w:r w:rsidRPr="00D13792">
          <w:rPr>
            <w:noProof/>
            <w:webHidden/>
          </w:rPr>
        </w:r>
        <w:r w:rsidRPr="00D13792">
          <w:rPr>
            <w:noProof/>
            <w:webHidden/>
          </w:rPr>
          <w:fldChar w:fldCharType="separate"/>
        </w:r>
        <w:r>
          <w:rPr>
            <w:noProof/>
            <w:webHidden/>
          </w:rPr>
          <w:t>40</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36" w:history="1">
        <w:r w:rsidRPr="00D13792">
          <w:rPr>
            <w:rStyle w:val="Hyperlink"/>
            <w:rFonts w:eastAsia="ヒラギノ角ゴ Pro W3"/>
            <w:noProof/>
          </w:rPr>
          <w:t>C. Investigaciones</w:t>
        </w:r>
        <w:r w:rsidRPr="00D13792">
          <w:rPr>
            <w:noProof/>
            <w:webHidden/>
          </w:rPr>
          <w:tab/>
        </w:r>
        <w:r w:rsidRPr="00D13792">
          <w:rPr>
            <w:noProof/>
            <w:webHidden/>
          </w:rPr>
          <w:fldChar w:fldCharType="begin"/>
        </w:r>
        <w:r w:rsidRPr="00D13792">
          <w:rPr>
            <w:noProof/>
            <w:webHidden/>
          </w:rPr>
          <w:instrText xml:space="preserve"> PAGEREF _Toc469670036 \h </w:instrText>
        </w:r>
        <w:r w:rsidRPr="00D13792">
          <w:rPr>
            <w:noProof/>
            <w:webHidden/>
          </w:rPr>
        </w:r>
        <w:r w:rsidRPr="00D13792">
          <w:rPr>
            <w:noProof/>
            <w:webHidden/>
          </w:rPr>
          <w:fldChar w:fldCharType="separate"/>
        </w:r>
        <w:r>
          <w:rPr>
            <w:noProof/>
            <w:webHidden/>
          </w:rPr>
          <w:t>40</w:t>
        </w:r>
        <w:r w:rsidRPr="00D13792">
          <w:rPr>
            <w:noProof/>
            <w:webHidden/>
          </w:rPr>
          <w:fldChar w:fldCharType="end"/>
        </w:r>
      </w:hyperlink>
    </w:p>
    <w:p w:rsidR="006A0E1C" w:rsidRPr="00D13792" w:rsidRDefault="006A0E1C" w:rsidP="006A0E1C">
      <w:pPr>
        <w:pStyle w:val="TOC1"/>
        <w:rPr>
          <w:rFonts w:asciiTheme="minorHAnsi" w:eastAsiaTheme="minorEastAsia" w:hAnsiTheme="minorHAnsi" w:cstheme="minorBidi"/>
          <w:sz w:val="22"/>
          <w:szCs w:val="22"/>
          <w:lang w:val="es-CR"/>
        </w:rPr>
      </w:pPr>
      <w:r w:rsidRPr="00D13792">
        <w:rPr>
          <w:rStyle w:val="Hyperlink"/>
          <w:color w:val="auto"/>
          <w:u w:val="none"/>
          <w:lang w:val="es-CR"/>
        </w:rPr>
        <w:t xml:space="preserve">IX. </w:t>
      </w:r>
      <w:hyperlink w:anchor="_Toc469670038" w:history="1">
        <w:r w:rsidRPr="00D13792">
          <w:rPr>
            <w:rStyle w:val="Hyperlink"/>
            <w:color w:val="auto"/>
            <w:u w:val="none"/>
            <w:lang w:val="es-CR"/>
          </w:rPr>
          <w:t>FONDO</w:t>
        </w:r>
        <w:r w:rsidRPr="00D13792">
          <w:rPr>
            <w:webHidden/>
            <w:lang w:val="es-CR"/>
          </w:rPr>
          <w:tab/>
        </w:r>
        <w:r w:rsidRPr="00D13792">
          <w:rPr>
            <w:webHidden/>
            <w:lang w:val="es-CR"/>
          </w:rPr>
          <w:fldChar w:fldCharType="begin"/>
        </w:r>
        <w:r w:rsidRPr="00D13792">
          <w:rPr>
            <w:webHidden/>
            <w:lang w:val="es-CR"/>
          </w:rPr>
          <w:instrText xml:space="preserve"> PAGEREF _Toc469670038 \h </w:instrText>
        </w:r>
        <w:r w:rsidRPr="00D13792">
          <w:rPr>
            <w:webHidden/>
            <w:lang w:val="es-CR"/>
          </w:rPr>
        </w:r>
        <w:r w:rsidRPr="00D13792">
          <w:rPr>
            <w:webHidden/>
            <w:lang w:val="es-CR"/>
          </w:rPr>
          <w:fldChar w:fldCharType="separate"/>
        </w:r>
        <w:r>
          <w:rPr>
            <w:webHidden/>
            <w:lang w:val="es-CR"/>
          </w:rPr>
          <w:t>42</w:t>
        </w:r>
        <w:r w:rsidRPr="00D13792">
          <w:rPr>
            <w:webHidden/>
            <w:lang w:val="es-CR"/>
          </w:rPr>
          <w:fldChar w:fldCharType="end"/>
        </w:r>
      </w:hyperlink>
    </w:p>
    <w:p w:rsidR="006A0E1C" w:rsidRPr="00D13792" w:rsidRDefault="006A0E1C" w:rsidP="006A0E1C">
      <w:pPr>
        <w:pStyle w:val="TOC1"/>
        <w:rPr>
          <w:rFonts w:asciiTheme="minorHAnsi" w:eastAsiaTheme="minorEastAsia" w:hAnsiTheme="minorHAnsi" w:cstheme="minorBidi"/>
          <w:sz w:val="22"/>
          <w:szCs w:val="22"/>
          <w:lang w:val="es-CR"/>
        </w:rPr>
      </w:pPr>
      <w:r w:rsidRPr="00D13792">
        <w:rPr>
          <w:rStyle w:val="Hyperlink"/>
          <w:color w:val="auto"/>
          <w:u w:val="none"/>
          <w:lang w:val="es-CR"/>
        </w:rPr>
        <w:t xml:space="preserve">IX.I. </w:t>
      </w:r>
      <w:hyperlink w:anchor="_Toc469670040" w:history="1">
        <w:r w:rsidRPr="00D13792">
          <w:rPr>
            <w:rStyle w:val="Hyperlink"/>
            <w:color w:val="auto"/>
            <w:u w:val="none"/>
            <w:lang w:val="es-CR"/>
          </w:rPr>
          <w:t>DERECHOS A LA LIBERTAD PERSONAL, INTEGRIDAD PERSONAL, VIDA Y RECONOCIMIENTO DE LA PERSONALIDAD JURÍDICA DE LAS VÍCTIMAS DE DESAPARICIÓN FORZADA, ASÍ COMO DERECHOS A LA INTEGRIDAD PERSONAL Y A LA PROTECCIÓN A LA FAMILIA DE SUS FAMILIARES</w:t>
        </w:r>
        <w:r w:rsidRPr="00D13792">
          <w:rPr>
            <w:webHidden/>
            <w:lang w:val="es-CR"/>
          </w:rPr>
          <w:tab/>
        </w:r>
        <w:r w:rsidRPr="00D13792">
          <w:rPr>
            <w:webHidden/>
            <w:lang w:val="es-CR"/>
          </w:rPr>
          <w:fldChar w:fldCharType="begin"/>
        </w:r>
        <w:r w:rsidRPr="00D13792">
          <w:rPr>
            <w:webHidden/>
            <w:lang w:val="es-CR"/>
          </w:rPr>
          <w:instrText xml:space="preserve"> PAGEREF _Toc469670040 \h </w:instrText>
        </w:r>
        <w:r w:rsidRPr="00D13792">
          <w:rPr>
            <w:webHidden/>
            <w:lang w:val="es-CR"/>
          </w:rPr>
        </w:r>
        <w:r w:rsidRPr="00D13792">
          <w:rPr>
            <w:webHidden/>
            <w:lang w:val="es-CR"/>
          </w:rPr>
          <w:fldChar w:fldCharType="separate"/>
        </w:r>
        <w:r>
          <w:rPr>
            <w:webHidden/>
            <w:lang w:val="es-CR"/>
          </w:rPr>
          <w:t>42</w:t>
        </w:r>
        <w:r w:rsidRPr="00D13792">
          <w:rPr>
            <w:webHidden/>
            <w:lang w:val="es-CR"/>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41" w:history="1">
        <w:r w:rsidRPr="00D13792">
          <w:rPr>
            <w:rStyle w:val="Hyperlink"/>
            <w:rFonts w:eastAsia="ヒラギノ角ゴ Pro W3"/>
            <w:bCs/>
            <w:noProof/>
          </w:rPr>
          <w:t>A.</w:t>
        </w:r>
        <w:r w:rsidRPr="00D13792">
          <w:rPr>
            <w:rFonts w:asciiTheme="minorHAnsi" w:eastAsiaTheme="minorEastAsia" w:hAnsiTheme="minorHAnsi" w:cstheme="minorBidi"/>
            <w:noProof/>
            <w:sz w:val="22"/>
            <w:szCs w:val="22"/>
          </w:rPr>
          <w:tab/>
        </w:r>
        <w:r w:rsidRPr="00D13792">
          <w:rPr>
            <w:rStyle w:val="Hyperlink"/>
            <w:rFonts w:eastAsia="ヒラギノ角ゴ Pro W3"/>
            <w:noProof/>
          </w:rPr>
          <w:t>Argumentos de la Comisión y de las partes</w:t>
        </w:r>
        <w:r w:rsidRPr="00D13792">
          <w:rPr>
            <w:noProof/>
            <w:webHidden/>
          </w:rPr>
          <w:tab/>
        </w:r>
        <w:r w:rsidRPr="00D13792">
          <w:rPr>
            <w:noProof/>
            <w:webHidden/>
          </w:rPr>
          <w:fldChar w:fldCharType="begin"/>
        </w:r>
        <w:r w:rsidRPr="00D13792">
          <w:rPr>
            <w:noProof/>
            <w:webHidden/>
          </w:rPr>
          <w:instrText xml:space="preserve"> PAGEREF _Toc469670041 \h </w:instrText>
        </w:r>
        <w:r w:rsidRPr="00D13792">
          <w:rPr>
            <w:noProof/>
            <w:webHidden/>
          </w:rPr>
        </w:r>
        <w:r w:rsidRPr="00D13792">
          <w:rPr>
            <w:noProof/>
            <w:webHidden/>
          </w:rPr>
          <w:fldChar w:fldCharType="separate"/>
        </w:r>
        <w:r>
          <w:rPr>
            <w:noProof/>
            <w:webHidden/>
          </w:rPr>
          <w:t>42</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42" w:history="1">
        <w:r w:rsidRPr="00D13792">
          <w:rPr>
            <w:rStyle w:val="Hyperlink"/>
            <w:rFonts w:eastAsia="ヒラギノ角ゴ Pro W3"/>
            <w:noProof/>
          </w:rPr>
          <w:t>B.</w:t>
        </w:r>
        <w:r w:rsidRPr="00D13792">
          <w:rPr>
            <w:rFonts w:asciiTheme="minorHAnsi" w:eastAsiaTheme="minorEastAsia" w:hAnsiTheme="minorHAnsi" w:cstheme="minorBidi"/>
            <w:noProof/>
            <w:sz w:val="22"/>
            <w:szCs w:val="22"/>
          </w:rPr>
          <w:tab/>
        </w:r>
        <w:r w:rsidRPr="00D13792">
          <w:rPr>
            <w:rStyle w:val="Hyperlink"/>
            <w:rFonts w:eastAsia="ヒラギノ角ゴ Pro W3"/>
            <w:noProof/>
          </w:rPr>
          <w:t>Consideraciones de la Corte</w:t>
        </w:r>
        <w:r w:rsidRPr="00D13792">
          <w:rPr>
            <w:noProof/>
            <w:webHidden/>
          </w:rPr>
          <w:tab/>
        </w:r>
        <w:r w:rsidRPr="00D13792">
          <w:rPr>
            <w:noProof/>
            <w:webHidden/>
          </w:rPr>
          <w:fldChar w:fldCharType="begin"/>
        </w:r>
        <w:r w:rsidRPr="00D13792">
          <w:rPr>
            <w:noProof/>
            <w:webHidden/>
          </w:rPr>
          <w:instrText xml:space="preserve"> PAGEREF _Toc469670042 \h </w:instrText>
        </w:r>
        <w:r w:rsidRPr="00D13792">
          <w:rPr>
            <w:noProof/>
            <w:webHidden/>
          </w:rPr>
        </w:r>
        <w:r w:rsidRPr="00D13792">
          <w:rPr>
            <w:noProof/>
            <w:webHidden/>
          </w:rPr>
          <w:fldChar w:fldCharType="separate"/>
        </w:r>
        <w:r>
          <w:rPr>
            <w:noProof/>
            <w:webHidden/>
          </w:rPr>
          <w:t>44</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43" w:history="1">
        <w:r w:rsidRPr="00D13792">
          <w:rPr>
            <w:rStyle w:val="Hyperlink"/>
            <w:rFonts w:eastAsia="ヒラギノ角ゴ Pro W3"/>
            <w:noProof/>
          </w:rPr>
          <w:t>B.1. Determinación de la ocurrencia de las alegadas desapariciones forzadas y su permanencia en el tiempo</w:t>
        </w:r>
        <w:r w:rsidRPr="00D13792">
          <w:rPr>
            <w:noProof/>
            <w:webHidden/>
          </w:rPr>
          <w:tab/>
        </w:r>
        <w:r w:rsidRPr="00D13792">
          <w:rPr>
            <w:noProof/>
            <w:webHidden/>
          </w:rPr>
          <w:fldChar w:fldCharType="begin"/>
        </w:r>
        <w:r w:rsidRPr="00D13792">
          <w:rPr>
            <w:noProof/>
            <w:webHidden/>
          </w:rPr>
          <w:instrText xml:space="preserve"> PAGEREF _Toc469670043 \h </w:instrText>
        </w:r>
        <w:r w:rsidRPr="00D13792">
          <w:rPr>
            <w:noProof/>
            <w:webHidden/>
          </w:rPr>
        </w:r>
        <w:r w:rsidRPr="00D13792">
          <w:rPr>
            <w:noProof/>
            <w:webHidden/>
          </w:rPr>
          <w:fldChar w:fldCharType="separate"/>
        </w:r>
        <w:r>
          <w:rPr>
            <w:noProof/>
            <w:webHidden/>
          </w:rPr>
          <w:t>46</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44" w:history="1">
        <w:r w:rsidRPr="00D13792">
          <w:rPr>
            <w:rStyle w:val="Hyperlink"/>
            <w:rFonts w:eastAsia="ヒラギノ角ゴ Pro W3"/>
            <w:noProof/>
          </w:rPr>
          <w:t>B.2. Violaciones de los artículos 7, 5.1, 5.2, 4.1 y 3 de la Convención Americana</w:t>
        </w:r>
        <w:r w:rsidRPr="00D13792">
          <w:rPr>
            <w:noProof/>
            <w:webHidden/>
          </w:rPr>
          <w:tab/>
        </w:r>
        <w:r w:rsidRPr="00D13792">
          <w:rPr>
            <w:noProof/>
            <w:webHidden/>
          </w:rPr>
          <w:fldChar w:fldCharType="begin"/>
        </w:r>
        <w:r w:rsidRPr="00D13792">
          <w:rPr>
            <w:noProof/>
            <w:webHidden/>
          </w:rPr>
          <w:instrText xml:space="preserve"> PAGEREF _Toc469670044 \h </w:instrText>
        </w:r>
        <w:r w:rsidRPr="00D13792">
          <w:rPr>
            <w:noProof/>
            <w:webHidden/>
          </w:rPr>
        </w:r>
        <w:r w:rsidRPr="00D13792">
          <w:rPr>
            <w:noProof/>
            <w:webHidden/>
          </w:rPr>
          <w:fldChar w:fldCharType="separate"/>
        </w:r>
        <w:r>
          <w:rPr>
            <w:noProof/>
            <w:webHidden/>
          </w:rPr>
          <w:t>53</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45" w:history="1">
        <w:r w:rsidRPr="00D13792">
          <w:rPr>
            <w:rStyle w:val="Hyperlink"/>
            <w:rFonts w:eastAsia="ヒラギノ角ゴ Pro W3"/>
            <w:noProof/>
          </w:rPr>
          <w:t>B.3. Derecho a la integridad personal y a la protección a la familia en perjuicio de los familiares de las víctimas de desaparición forzada</w:t>
        </w:r>
        <w:r w:rsidRPr="00D13792">
          <w:rPr>
            <w:noProof/>
            <w:webHidden/>
          </w:rPr>
          <w:tab/>
        </w:r>
        <w:r w:rsidRPr="00D13792">
          <w:rPr>
            <w:noProof/>
            <w:webHidden/>
          </w:rPr>
          <w:fldChar w:fldCharType="begin"/>
        </w:r>
        <w:r w:rsidRPr="00D13792">
          <w:rPr>
            <w:noProof/>
            <w:webHidden/>
          </w:rPr>
          <w:instrText xml:space="preserve"> PAGEREF _Toc469670045 \h </w:instrText>
        </w:r>
        <w:r w:rsidRPr="00D13792">
          <w:rPr>
            <w:noProof/>
            <w:webHidden/>
          </w:rPr>
        </w:r>
        <w:r w:rsidRPr="00D13792">
          <w:rPr>
            <w:noProof/>
            <w:webHidden/>
          </w:rPr>
          <w:fldChar w:fldCharType="separate"/>
        </w:r>
        <w:r>
          <w:rPr>
            <w:noProof/>
            <w:webHidden/>
          </w:rPr>
          <w:t>55</w:t>
        </w:r>
        <w:r w:rsidRPr="00D13792">
          <w:rPr>
            <w:noProof/>
            <w:webHidden/>
          </w:rPr>
          <w:fldChar w:fldCharType="end"/>
        </w:r>
      </w:hyperlink>
    </w:p>
    <w:p w:rsidR="006A0E1C" w:rsidRPr="00D13792" w:rsidRDefault="006A0E1C" w:rsidP="006A0E1C">
      <w:pPr>
        <w:pStyle w:val="TOC1"/>
        <w:rPr>
          <w:rFonts w:asciiTheme="minorHAnsi" w:eastAsiaTheme="minorEastAsia" w:hAnsiTheme="minorHAnsi" w:cstheme="minorBidi"/>
          <w:sz w:val="22"/>
          <w:szCs w:val="22"/>
          <w:lang w:val="es-CR"/>
        </w:rPr>
      </w:pPr>
      <w:r w:rsidRPr="00D13792">
        <w:rPr>
          <w:rStyle w:val="Hyperlink"/>
          <w:color w:val="auto"/>
          <w:u w:val="none"/>
          <w:lang w:val="es-CR"/>
        </w:rPr>
        <w:t xml:space="preserve">IX.II </w:t>
      </w:r>
      <w:hyperlink w:anchor="_Toc469670047" w:history="1">
        <w:r w:rsidRPr="00D13792">
          <w:rPr>
            <w:rStyle w:val="Hyperlink"/>
            <w:color w:val="auto"/>
            <w:u w:val="none"/>
            <w:lang w:val="es-CR"/>
          </w:rPr>
          <w:t>DERECHO DE CIRCULACIÓN Y RESIDENCIA</w:t>
        </w:r>
        <w:r w:rsidRPr="00D13792">
          <w:rPr>
            <w:webHidden/>
            <w:lang w:val="es-CR"/>
          </w:rPr>
          <w:tab/>
        </w:r>
        <w:r w:rsidRPr="00D13792">
          <w:rPr>
            <w:webHidden/>
            <w:lang w:val="es-CR"/>
          </w:rPr>
          <w:fldChar w:fldCharType="begin"/>
        </w:r>
        <w:r w:rsidRPr="00D13792">
          <w:rPr>
            <w:webHidden/>
            <w:lang w:val="es-CR"/>
          </w:rPr>
          <w:instrText xml:space="preserve"> PAGEREF _Toc469670047 \h </w:instrText>
        </w:r>
        <w:r w:rsidRPr="00D13792">
          <w:rPr>
            <w:webHidden/>
            <w:lang w:val="es-CR"/>
          </w:rPr>
        </w:r>
        <w:r w:rsidRPr="00D13792">
          <w:rPr>
            <w:webHidden/>
            <w:lang w:val="es-CR"/>
          </w:rPr>
          <w:fldChar w:fldCharType="separate"/>
        </w:r>
        <w:r>
          <w:rPr>
            <w:webHidden/>
            <w:lang w:val="es-CR"/>
          </w:rPr>
          <w:t>56</w:t>
        </w:r>
        <w:r w:rsidRPr="00D13792">
          <w:rPr>
            <w:webHidden/>
            <w:lang w:val="es-CR"/>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48" w:history="1">
        <w:r w:rsidRPr="00D13792">
          <w:rPr>
            <w:rStyle w:val="Hyperlink"/>
            <w:rFonts w:eastAsia="Times"/>
            <w:caps/>
            <w:noProof/>
          </w:rPr>
          <w:t>A.</w:t>
        </w:r>
        <w:r w:rsidRPr="00D13792">
          <w:rPr>
            <w:rFonts w:asciiTheme="minorHAnsi" w:eastAsiaTheme="minorEastAsia" w:hAnsiTheme="minorHAnsi" w:cstheme="minorBidi"/>
            <w:noProof/>
            <w:sz w:val="22"/>
            <w:szCs w:val="22"/>
          </w:rPr>
          <w:tab/>
        </w:r>
        <w:r w:rsidRPr="00D13792">
          <w:rPr>
            <w:rStyle w:val="Hyperlink"/>
            <w:rFonts w:eastAsia="Times"/>
            <w:noProof/>
          </w:rPr>
          <w:t>Argumentos de la Comisión y de las partes</w:t>
        </w:r>
        <w:r w:rsidRPr="00D13792">
          <w:rPr>
            <w:noProof/>
            <w:webHidden/>
          </w:rPr>
          <w:tab/>
        </w:r>
        <w:r w:rsidRPr="00D13792">
          <w:rPr>
            <w:noProof/>
            <w:webHidden/>
          </w:rPr>
          <w:fldChar w:fldCharType="begin"/>
        </w:r>
        <w:r w:rsidRPr="00D13792">
          <w:rPr>
            <w:noProof/>
            <w:webHidden/>
          </w:rPr>
          <w:instrText xml:space="preserve"> PAGEREF _Toc469670048 \h </w:instrText>
        </w:r>
        <w:r w:rsidRPr="00D13792">
          <w:rPr>
            <w:noProof/>
            <w:webHidden/>
          </w:rPr>
        </w:r>
        <w:r w:rsidRPr="00D13792">
          <w:rPr>
            <w:noProof/>
            <w:webHidden/>
          </w:rPr>
          <w:fldChar w:fldCharType="separate"/>
        </w:r>
        <w:r>
          <w:rPr>
            <w:noProof/>
            <w:webHidden/>
          </w:rPr>
          <w:t>56</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49" w:history="1">
        <w:r w:rsidRPr="00D13792">
          <w:rPr>
            <w:rStyle w:val="Hyperlink"/>
            <w:rFonts w:eastAsia="Calibri"/>
            <w:noProof/>
            <w:lang w:eastAsia="en-US"/>
          </w:rPr>
          <w:t>B.</w:t>
        </w:r>
        <w:r w:rsidRPr="00D13792">
          <w:rPr>
            <w:rFonts w:asciiTheme="minorHAnsi" w:eastAsiaTheme="minorEastAsia" w:hAnsiTheme="minorHAnsi" w:cstheme="minorBidi"/>
            <w:noProof/>
            <w:sz w:val="22"/>
            <w:szCs w:val="22"/>
          </w:rPr>
          <w:tab/>
        </w:r>
        <w:r w:rsidRPr="00D13792">
          <w:rPr>
            <w:rStyle w:val="Hyperlink"/>
            <w:rFonts w:eastAsia="Times"/>
            <w:noProof/>
          </w:rPr>
          <w:t>Consideraciones</w:t>
        </w:r>
        <w:r w:rsidRPr="00D13792">
          <w:rPr>
            <w:rStyle w:val="Hyperlink"/>
            <w:rFonts w:eastAsia="Calibri"/>
            <w:noProof/>
            <w:lang w:eastAsia="en-US"/>
          </w:rPr>
          <w:t xml:space="preserve"> de la Corte</w:t>
        </w:r>
        <w:r w:rsidRPr="00D13792">
          <w:rPr>
            <w:noProof/>
            <w:webHidden/>
          </w:rPr>
          <w:tab/>
        </w:r>
        <w:r w:rsidRPr="00D13792">
          <w:rPr>
            <w:noProof/>
            <w:webHidden/>
          </w:rPr>
          <w:fldChar w:fldCharType="begin"/>
        </w:r>
        <w:r w:rsidRPr="00D13792">
          <w:rPr>
            <w:noProof/>
            <w:webHidden/>
          </w:rPr>
          <w:instrText xml:space="preserve"> PAGEREF _Toc469670049 \h </w:instrText>
        </w:r>
        <w:r w:rsidRPr="00D13792">
          <w:rPr>
            <w:noProof/>
            <w:webHidden/>
          </w:rPr>
        </w:r>
        <w:r w:rsidRPr="00D13792">
          <w:rPr>
            <w:noProof/>
            <w:webHidden/>
          </w:rPr>
          <w:fldChar w:fldCharType="separate"/>
        </w:r>
        <w:r>
          <w:rPr>
            <w:noProof/>
            <w:webHidden/>
          </w:rPr>
          <w:t>57</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50" w:history="1">
        <w:r w:rsidRPr="00D13792">
          <w:rPr>
            <w:rStyle w:val="Hyperlink"/>
            <w:rFonts w:eastAsia="ヒラギノ角ゴ Pro W3"/>
            <w:noProof/>
          </w:rPr>
          <w:t>B.1. Imposibilidad de retorno de los miembros de la aldea Chichupac y comunidades vecinas del municipio de Rabinal</w:t>
        </w:r>
        <w:r w:rsidRPr="00D13792">
          <w:rPr>
            <w:noProof/>
            <w:webHidden/>
          </w:rPr>
          <w:tab/>
        </w:r>
        <w:r w:rsidRPr="00D13792">
          <w:rPr>
            <w:noProof/>
            <w:webHidden/>
          </w:rPr>
          <w:fldChar w:fldCharType="begin"/>
        </w:r>
        <w:r w:rsidRPr="00D13792">
          <w:rPr>
            <w:noProof/>
            <w:webHidden/>
          </w:rPr>
          <w:instrText xml:space="preserve"> PAGEREF _Toc469670050 \h </w:instrText>
        </w:r>
        <w:r w:rsidRPr="00D13792">
          <w:rPr>
            <w:noProof/>
            <w:webHidden/>
          </w:rPr>
        </w:r>
        <w:r w:rsidRPr="00D13792">
          <w:rPr>
            <w:noProof/>
            <w:webHidden/>
          </w:rPr>
          <w:fldChar w:fldCharType="separate"/>
        </w:r>
        <w:r>
          <w:rPr>
            <w:noProof/>
            <w:webHidden/>
          </w:rPr>
          <w:t>59</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51" w:history="1">
        <w:r w:rsidRPr="00D13792">
          <w:rPr>
            <w:rStyle w:val="Hyperlink"/>
            <w:rFonts w:eastAsia="Batang" w:cs="Times"/>
            <w:noProof/>
          </w:rPr>
          <w:t xml:space="preserve">B.2. Ausencia de </w:t>
        </w:r>
        <w:r w:rsidRPr="00D13792">
          <w:rPr>
            <w:rStyle w:val="Hyperlink"/>
            <w:rFonts w:eastAsia="ヒラギノ角ゴ Pro W3"/>
            <w:noProof/>
          </w:rPr>
          <w:t>medidas adoptadas por el Estado para revertir los efectos del desplazamiento</w:t>
        </w:r>
        <w:r w:rsidRPr="00D13792">
          <w:rPr>
            <w:noProof/>
            <w:webHidden/>
          </w:rPr>
          <w:tab/>
        </w:r>
        <w:r w:rsidRPr="00D13792">
          <w:rPr>
            <w:noProof/>
            <w:webHidden/>
          </w:rPr>
          <w:fldChar w:fldCharType="begin"/>
        </w:r>
        <w:r w:rsidRPr="00D13792">
          <w:rPr>
            <w:noProof/>
            <w:webHidden/>
          </w:rPr>
          <w:instrText xml:space="preserve"> PAGEREF _Toc469670051 \h </w:instrText>
        </w:r>
        <w:r w:rsidRPr="00D13792">
          <w:rPr>
            <w:noProof/>
            <w:webHidden/>
          </w:rPr>
        </w:r>
        <w:r w:rsidRPr="00D13792">
          <w:rPr>
            <w:noProof/>
            <w:webHidden/>
          </w:rPr>
          <w:fldChar w:fldCharType="separate"/>
        </w:r>
        <w:r>
          <w:rPr>
            <w:noProof/>
            <w:webHidden/>
          </w:rPr>
          <w:t>61</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52" w:history="1">
        <w:r w:rsidRPr="00D13792">
          <w:rPr>
            <w:rStyle w:val="Hyperlink"/>
            <w:rFonts w:eastAsia="ヒラギノ角ゴ Pro W3"/>
            <w:noProof/>
          </w:rPr>
          <w:t>B.3. Impactos del desplazamiento y la omisión de garantizar medidas de retorno en los miembros de la aldea Chichupac y comunidades vecinas de Rabinal</w:t>
        </w:r>
        <w:r w:rsidRPr="00D13792">
          <w:rPr>
            <w:noProof/>
            <w:webHidden/>
          </w:rPr>
          <w:tab/>
        </w:r>
        <w:r w:rsidRPr="00D13792">
          <w:rPr>
            <w:noProof/>
            <w:webHidden/>
          </w:rPr>
          <w:fldChar w:fldCharType="begin"/>
        </w:r>
        <w:r w:rsidRPr="00D13792">
          <w:rPr>
            <w:noProof/>
            <w:webHidden/>
          </w:rPr>
          <w:instrText xml:space="preserve"> PAGEREF _Toc469670052 \h </w:instrText>
        </w:r>
        <w:r w:rsidRPr="00D13792">
          <w:rPr>
            <w:noProof/>
            <w:webHidden/>
          </w:rPr>
        </w:r>
        <w:r w:rsidRPr="00D13792">
          <w:rPr>
            <w:noProof/>
            <w:webHidden/>
          </w:rPr>
          <w:fldChar w:fldCharType="separate"/>
        </w:r>
        <w:r>
          <w:rPr>
            <w:noProof/>
            <w:webHidden/>
          </w:rPr>
          <w:t>62</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53" w:history="1">
        <w:r w:rsidRPr="00D13792">
          <w:rPr>
            <w:rStyle w:val="Hyperlink"/>
            <w:rFonts w:eastAsia="ヒラギノ角ゴ Pro W3"/>
            <w:noProof/>
          </w:rPr>
          <w:t>B.4. Conclusión</w:t>
        </w:r>
        <w:r w:rsidRPr="00D13792">
          <w:rPr>
            <w:noProof/>
            <w:webHidden/>
          </w:rPr>
          <w:tab/>
        </w:r>
        <w:r w:rsidRPr="00D13792">
          <w:rPr>
            <w:noProof/>
            <w:webHidden/>
          </w:rPr>
          <w:fldChar w:fldCharType="begin"/>
        </w:r>
        <w:r w:rsidRPr="00D13792">
          <w:rPr>
            <w:noProof/>
            <w:webHidden/>
          </w:rPr>
          <w:instrText xml:space="preserve"> PAGEREF _Toc469670053 \h </w:instrText>
        </w:r>
        <w:r w:rsidRPr="00D13792">
          <w:rPr>
            <w:noProof/>
            <w:webHidden/>
          </w:rPr>
        </w:r>
        <w:r w:rsidRPr="00D13792">
          <w:rPr>
            <w:noProof/>
            <w:webHidden/>
          </w:rPr>
          <w:fldChar w:fldCharType="separate"/>
        </w:r>
        <w:r>
          <w:rPr>
            <w:noProof/>
            <w:webHidden/>
          </w:rPr>
          <w:t>66</w:t>
        </w:r>
        <w:r w:rsidRPr="00D13792">
          <w:rPr>
            <w:noProof/>
            <w:webHidden/>
          </w:rPr>
          <w:fldChar w:fldCharType="end"/>
        </w:r>
      </w:hyperlink>
    </w:p>
    <w:p w:rsidR="006A0E1C" w:rsidRPr="00D13792" w:rsidRDefault="006A0E1C" w:rsidP="006A0E1C">
      <w:pPr>
        <w:pStyle w:val="TOC1"/>
        <w:rPr>
          <w:rFonts w:asciiTheme="minorHAnsi" w:eastAsiaTheme="minorEastAsia" w:hAnsiTheme="minorHAnsi" w:cstheme="minorBidi"/>
          <w:sz w:val="22"/>
          <w:szCs w:val="22"/>
          <w:lang w:val="es-CR"/>
        </w:rPr>
      </w:pPr>
      <w:r w:rsidRPr="00D13792">
        <w:rPr>
          <w:rStyle w:val="Hyperlink"/>
          <w:color w:val="000000" w:themeColor="text1"/>
          <w:u w:val="none"/>
          <w:lang w:val="es-CR"/>
        </w:rPr>
        <w:t xml:space="preserve">IX.III </w:t>
      </w:r>
      <w:hyperlink w:anchor="_Toc469670055" w:history="1">
        <w:r w:rsidRPr="00D13792">
          <w:rPr>
            <w:rStyle w:val="Hyperlink"/>
            <w:color w:val="000000" w:themeColor="text1"/>
            <w:u w:val="none"/>
            <w:lang w:val="es-CR"/>
          </w:rPr>
          <w:t>GARANTÍAS Y PROTECCIÓN JUDICIALES DE LA CONVENCIÓN AMERICANA, e INCUMPLIMIENTO DE LOS ARTÍCULOS I.B DE LA CONVENCIÓN INTERAMERICANA SOBRE DESAPARICIÓN FORZADA DE PERSONAS, 1, 6 Y 8 DE LA CONVENCIÓN INTERAMERICANA PARA PREVENIR Y SANCIONAR LA TORTURA, Y 7.B DE LA CONVENCIÓN INTERAMERICANA PARA PREVENIR, SANCIONAR Y ERRADICAR LA VIOLENCIA CONTRA LA MUJER</w:t>
        </w:r>
        <w:r w:rsidRPr="00D13792">
          <w:rPr>
            <w:webHidden/>
            <w:lang w:val="es-CR"/>
          </w:rPr>
          <w:tab/>
        </w:r>
        <w:r w:rsidRPr="00D13792">
          <w:rPr>
            <w:webHidden/>
            <w:lang w:val="es-CR"/>
          </w:rPr>
          <w:fldChar w:fldCharType="begin"/>
        </w:r>
        <w:r w:rsidRPr="00D13792">
          <w:rPr>
            <w:webHidden/>
            <w:lang w:val="es-CR"/>
          </w:rPr>
          <w:instrText xml:space="preserve"> PAGEREF _Toc469670055 \h </w:instrText>
        </w:r>
        <w:r w:rsidRPr="00D13792">
          <w:rPr>
            <w:webHidden/>
            <w:lang w:val="es-CR"/>
          </w:rPr>
        </w:r>
        <w:r w:rsidRPr="00D13792">
          <w:rPr>
            <w:webHidden/>
            <w:lang w:val="es-CR"/>
          </w:rPr>
          <w:fldChar w:fldCharType="separate"/>
        </w:r>
        <w:r>
          <w:rPr>
            <w:webHidden/>
            <w:lang w:val="es-CR"/>
          </w:rPr>
          <w:t>68</w:t>
        </w:r>
        <w:r w:rsidRPr="00D13792">
          <w:rPr>
            <w:webHidden/>
            <w:lang w:val="es-CR"/>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56" w:history="1">
        <w:r w:rsidRPr="00D13792">
          <w:rPr>
            <w:rStyle w:val="Hyperlink"/>
            <w:rFonts w:eastAsia="ヒラギノ角ゴ Pro W3"/>
            <w:noProof/>
          </w:rPr>
          <w:t>A.</w:t>
        </w:r>
        <w:r w:rsidRPr="00D13792">
          <w:rPr>
            <w:rFonts w:asciiTheme="minorHAnsi" w:eastAsiaTheme="minorEastAsia" w:hAnsiTheme="minorHAnsi" w:cstheme="minorBidi"/>
            <w:noProof/>
            <w:sz w:val="22"/>
            <w:szCs w:val="22"/>
          </w:rPr>
          <w:tab/>
        </w:r>
        <w:r w:rsidRPr="00D13792">
          <w:rPr>
            <w:rStyle w:val="Hyperlink"/>
            <w:rFonts w:eastAsia="ヒラギノ角ゴ Pro W3"/>
            <w:noProof/>
          </w:rPr>
          <w:t>Alegatos de la Comisión y las partes</w:t>
        </w:r>
        <w:r w:rsidRPr="00D13792">
          <w:rPr>
            <w:noProof/>
            <w:webHidden/>
          </w:rPr>
          <w:tab/>
        </w:r>
        <w:r w:rsidRPr="00D13792">
          <w:rPr>
            <w:noProof/>
            <w:webHidden/>
          </w:rPr>
          <w:fldChar w:fldCharType="begin"/>
        </w:r>
        <w:r w:rsidRPr="00D13792">
          <w:rPr>
            <w:noProof/>
            <w:webHidden/>
          </w:rPr>
          <w:instrText xml:space="preserve"> PAGEREF _Toc469670056 \h </w:instrText>
        </w:r>
        <w:r w:rsidRPr="00D13792">
          <w:rPr>
            <w:noProof/>
            <w:webHidden/>
          </w:rPr>
        </w:r>
        <w:r w:rsidRPr="00D13792">
          <w:rPr>
            <w:noProof/>
            <w:webHidden/>
          </w:rPr>
          <w:fldChar w:fldCharType="separate"/>
        </w:r>
        <w:r>
          <w:rPr>
            <w:noProof/>
            <w:webHidden/>
          </w:rPr>
          <w:t>68</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57" w:history="1">
        <w:r w:rsidRPr="00D13792">
          <w:rPr>
            <w:rStyle w:val="Hyperlink"/>
            <w:rFonts w:eastAsia="ヒラギノ角ゴ Pro W3" w:cs="Arial"/>
            <w:noProof/>
            <w:lang w:eastAsia="es-ES"/>
          </w:rPr>
          <w:t>B.</w:t>
        </w:r>
        <w:r w:rsidRPr="00D13792">
          <w:rPr>
            <w:rFonts w:asciiTheme="minorHAnsi" w:eastAsiaTheme="minorEastAsia" w:hAnsiTheme="minorHAnsi" w:cstheme="minorBidi"/>
            <w:noProof/>
            <w:sz w:val="22"/>
            <w:szCs w:val="22"/>
          </w:rPr>
          <w:tab/>
        </w:r>
        <w:r w:rsidRPr="00D13792">
          <w:rPr>
            <w:rStyle w:val="Hyperlink"/>
            <w:rFonts w:eastAsia="ヒラギノ角ゴ Pro W3" w:cs="Arial"/>
            <w:noProof/>
            <w:lang w:eastAsia="es-ES"/>
          </w:rPr>
          <w:t>Consideraciones de la Corte</w:t>
        </w:r>
        <w:r w:rsidRPr="00D13792">
          <w:rPr>
            <w:noProof/>
            <w:webHidden/>
          </w:rPr>
          <w:tab/>
        </w:r>
        <w:r w:rsidRPr="00D13792">
          <w:rPr>
            <w:noProof/>
            <w:webHidden/>
          </w:rPr>
          <w:fldChar w:fldCharType="begin"/>
        </w:r>
        <w:r w:rsidRPr="00D13792">
          <w:rPr>
            <w:noProof/>
            <w:webHidden/>
          </w:rPr>
          <w:instrText xml:space="preserve"> PAGEREF _Toc469670057 \h </w:instrText>
        </w:r>
        <w:r w:rsidRPr="00D13792">
          <w:rPr>
            <w:noProof/>
            <w:webHidden/>
          </w:rPr>
        </w:r>
        <w:r w:rsidRPr="00D13792">
          <w:rPr>
            <w:noProof/>
            <w:webHidden/>
          </w:rPr>
          <w:fldChar w:fldCharType="separate"/>
        </w:r>
        <w:r>
          <w:rPr>
            <w:noProof/>
            <w:webHidden/>
          </w:rPr>
          <w:t>69</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58" w:history="1">
        <w:r w:rsidRPr="00D13792">
          <w:rPr>
            <w:rStyle w:val="Hyperlink"/>
            <w:rFonts w:eastAsia="ヒラギノ角ゴ Pro W3"/>
            <w:noProof/>
          </w:rPr>
          <w:t>B.1. Falta de debida diligencia y obstaculización</w:t>
        </w:r>
        <w:r w:rsidRPr="00D13792">
          <w:rPr>
            <w:noProof/>
            <w:webHidden/>
          </w:rPr>
          <w:tab/>
        </w:r>
        <w:r w:rsidRPr="00D13792">
          <w:rPr>
            <w:noProof/>
            <w:webHidden/>
          </w:rPr>
          <w:fldChar w:fldCharType="begin"/>
        </w:r>
        <w:r w:rsidRPr="00D13792">
          <w:rPr>
            <w:noProof/>
            <w:webHidden/>
          </w:rPr>
          <w:instrText xml:space="preserve"> PAGEREF _Toc469670058 \h </w:instrText>
        </w:r>
        <w:r w:rsidRPr="00D13792">
          <w:rPr>
            <w:noProof/>
            <w:webHidden/>
          </w:rPr>
        </w:r>
        <w:r w:rsidRPr="00D13792">
          <w:rPr>
            <w:noProof/>
            <w:webHidden/>
          </w:rPr>
          <w:fldChar w:fldCharType="separate"/>
        </w:r>
        <w:r>
          <w:rPr>
            <w:noProof/>
            <w:webHidden/>
          </w:rPr>
          <w:t>72</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59" w:history="1">
        <w:r w:rsidRPr="00D13792">
          <w:rPr>
            <w:rStyle w:val="Hyperlink"/>
            <w:rFonts w:eastAsia="ヒラギノ角ゴ Pro W3"/>
            <w:noProof/>
          </w:rPr>
          <w:t>B.2. Falta de investigación de graves violaciones de derechos humanos</w:t>
        </w:r>
        <w:r w:rsidRPr="00D13792">
          <w:rPr>
            <w:noProof/>
            <w:webHidden/>
          </w:rPr>
          <w:tab/>
        </w:r>
        <w:r w:rsidRPr="00D13792">
          <w:rPr>
            <w:noProof/>
            <w:webHidden/>
          </w:rPr>
          <w:fldChar w:fldCharType="begin"/>
        </w:r>
        <w:r w:rsidRPr="00D13792">
          <w:rPr>
            <w:noProof/>
            <w:webHidden/>
          </w:rPr>
          <w:instrText xml:space="preserve"> PAGEREF _Toc469670059 \h </w:instrText>
        </w:r>
        <w:r w:rsidRPr="00D13792">
          <w:rPr>
            <w:noProof/>
            <w:webHidden/>
          </w:rPr>
        </w:r>
        <w:r w:rsidRPr="00D13792">
          <w:rPr>
            <w:noProof/>
            <w:webHidden/>
          </w:rPr>
          <w:fldChar w:fldCharType="separate"/>
        </w:r>
        <w:r>
          <w:rPr>
            <w:noProof/>
            <w:webHidden/>
          </w:rPr>
          <w:t>82</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60" w:history="1">
        <w:r w:rsidRPr="00D13792">
          <w:rPr>
            <w:rStyle w:val="Hyperlink"/>
            <w:rFonts w:eastAsia="ヒラギノ角ゴ Pro W3"/>
            <w:noProof/>
          </w:rPr>
          <w:t>B.3. Derecho a conocer la verdad y plazo razonable</w:t>
        </w:r>
        <w:r w:rsidRPr="00D13792">
          <w:rPr>
            <w:noProof/>
            <w:webHidden/>
          </w:rPr>
          <w:tab/>
        </w:r>
        <w:r w:rsidRPr="00D13792">
          <w:rPr>
            <w:noProof/>
            <w:webHidden/>
          </w:rPr>
          <w:fldChar w:fldCharType="begin"/>
        </w:r>
        <w:r w:rsidRPr="00D13792">
          <w:rPr>
            <w:noProof/>
            <w:webHidden/>
          </w:rPr>
          <w:instrText xml:space="preserve"> PAGEREF _Toc469670060 \h </w:instrText>
        </w:r>
        <w:r w:rsidRPr="00D13792">
          <w:rPr>
            <w:noProof/>
            <w:webHidden/>
          </w:rPr>
        </w:r>
        <w:r w:rsidRPr="00D13792">
          <w:rPr>
            <w:noProof/>
            <w:webHidden/>
          </w:rPr>
          <w:fldChar w:fldCharType="separate"/>
        </w:r>
        <w:r>
          <w:rPr>
            <w:noProof/>
            <w:webHidden/>
          </w:rPr>
          <w:t>87</w:t>
        </w:r>
        <w:r w:rsidRPr="00D13792">
          <w:rPr>
            <w:noProof/>
            <w:webHidden/>
          </w:rPr>
          <w:fldChar w:fldCharType="end"/>
        </w:r>
      </w:hyperlink>
    </w:p>
    <w:p w:rsidR="006A0E1C" w:rsidRPr="00D13792" w:rsidRDefault="006A0E1C" w:rsidP="006A0E1C">
      <w:pPr>
        <w:pStyle w:val="TOC3"/>
        <w:tabs>
          <w:tab w:val="right" w:leader="dot" w:pos="9638"/>
        </w:tabs>
        <w:rPr>
          <w:rFonts w:asciiTheme="minorHAnsi" w:eastAsiaTheme="minorEastAsia" w:hAnsiTheme="minorHAnsi" w:cstheme="minorBidi"/>
          <w:noProof/>
          <w:sz w:val="22"/>
          <w:szCs w:val="22"/>
        </w:rPr>
      </w:pPr>
      <w:hyperlink w:anchor="_Toc469670061" w:history="1">
        <w:r w:rsidRPr="00D13792">
          <w:rPr>
            <w:rStyle w:val="Hyperlink"/>
            <w:rFonts w:eastAsia="ヒラギノ角ゴ Pro W3"/>
            <w:noProof/>
          </w:rPr>
          <w:t>B.4. Conclusiones</w:t>
        </w:r>
        <w:r w:rsidRPr="00D13792">
          <w:rPr>
            <w:noProof/>
            <w:webHidden/>
          </w:rPr>
          <w:tab/>
        </w:r>
        <w:r w:rsidRPr="00D13792">
          <w:rPr>
            <w:noProof/>
            <w:webHidden/>
          </w:rPr>
          <w:fldChar w:fldCharType="begin"/>
        </w:r>
        <w:r w:rsidRPr="00D13792">
          <w:rPr>
            <w:noProof/>
            <w:webHidden/>
          </w:rPr>
          <w:instrText xml:space="preserve"> PAGEREF _Toc469670061 \h </w:instrText>
        </w:r>
        <w:r w:rsidRPr="00D13792">
          <w:rPr>
            <w:noProof/>
            <w:webHidden/>
          </w:rPr>
        </w:r>
        <w:r w:rsidRPr="00D13792">
          <w:rPr>
            <w:noProof/>
            <w:webHidden/>
          </w:rPr>
          <w:fldChar w:fldCharType="separate"/>
        </w:r>
        <w:r>
          <w:rPr>
            <w:noProof/>
            <w:webHidden/>
          </w:rPr>
          <w:t>88</w:t>
        </w:r>
        <w:r w:rsidRPr="00D13792">
          <w:rPr>
            <w:noProof/>
            <w:webHidden/>
          </w:rPr>
          <w:fldChar w:fldCharType="end"/>
        </w:r>
      </w:hyperlink>
    </w:p>
    <w:p w:rsidR="006A0E1C" w:rsidRPr="00D13792" w:rsidRDefault="006A0E1C" w:rsidP="006A0E1C">
      <w:pPr>
        <w:pStyle w:val="TOC1"/>
        <w:rPr>
          <w:rFonts w:asciiTheme="minorHAnsi" w:eastAsiaTheme="minorEastAsia" w:hAnsiTheme="minorHAnsi" w:cstheme="minorBidi"/>
          <w:sz w:val="22"/>
          <w:szCs w:val="22"/>
          <w:lang w:val="es-CR"/>
        </w:rPr>
      </w:pPr>
      <w:hyperlink w:anchor="_Toc469670062" w:history="1">
        <w:r w:rsidRPr="00D13792">
          <w:rPr>
            <w:rStyle w:val="Hyperlink"/>
            <w:rFonts w:eastAsia="MS ????" w:cs="Verdana"/>
            <w:bCs/>
            <w:caps/>
            <w:snapToGrid w:val="0"/>
            <w:spacing w:val="-2"/>
            <w:lang w:val="es-CR" w:eastAsia="es-ES"/>
          </w:rPr>
          <w:t>X REPARACIONES</w:t>
        </w:r>
        <w:r w:rsidRPr="00D13792">
          <w:rPr>
            <w:rStyle w:val="Hyperlink"/>
            <w:rFonts w:eastAsia="Batang"/>
            <w:bCs/>
            <w:kern w:val="32"/>
            <w:lang w:val="es-CR" w:eastAsia="en-US"/>
          </w:rPr>
          <w:t xml:space="preserve"> (Aplicación del artículo 63.1 de la Convención Americana)</w:t>
        </w:r>
        <w:r w:rsidRPr="00D13792">
          <w:rPr>
            <w:webHidden/>
            <w:lang w:val="es-CR"/>
          </w:rPr>
          <w:tab/>
        </w:r>
        <w:r w:rsidRPr="00D13792">
          <w:rPr>
            <w:webHidden/>
            <w:lang w:val="es-CR"/>
          </w:rPr>
          <w:fldChar w:fldCharType="begin"/>
        </w:r>
        <w:r w:rsidRPr="00D13792">
          <w:rPr>
            <w:webHidden/>
            <w:lang w:val="es-CR"/>
          </w:rPr>
          <w:instrText xml:space="preserve"> PAGEREF _Toc469670062 \h </w:instrText>
        </w:r>
        <w:r w:rsidRPr="00D13792">
          <w:rPr>
            <w:webHidden/>
            <w:lang w:val="es-CR"/>
          </w:rPr>
        </w:r>
        <w:r w:rsidRPr="00D13792">
          <w:rPr>
            <w:webHidden/>
            <w:lang w:val="es-CR"/>
          </w:rPr>
          <w:fldChar w:fldCharType="separate"/>
        </w:r>
        <w:r>
          <w:rPr>
            <w:webHidden/>
            <w:lang w:val="es-CR"/>
          </w:rPr>
          <w:t>89</w:t>
        </w:r>
        <w:r w:rsidRPr="00D13792">
          <w:rPr>
            <w:webHidden/>
            <w:lang w:val="es-CR"/>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63" w:history="1">
        <w:r w:rsidRPr="00D13792">
          <w:rPr>
            <w:rStyle w:val="Hyperlink"/>
            <w:rFonts w:eastAsia="MS Mincho"/>
            <w:noProof/>
          </w:rPr>
          <w:t>A. Parte Lesionada</w:t>
        </w:r>
        <w:r w:rsidRPr="00D13792">
          <w:rPr>
            <w:noProof/>
            <w:webHidden/>
          </w:rPr>
          <w:tab/>
        </w:r>
        <w:r w:rsidRPr="00D13792">
          <w:rPr>
            <w:noProof/>
            <w:webHidden/>
          </w:rPr>
          <w:fldChar w:fldCharType="begin"/>
        </w:r>
        <w:r w:rsidRPr="00D13792">
          <w:rPr>
            <w:noProof/>
            <w:webHidden/>
          </w:rPr>
          <w:instrText xml:space="preserve"> PAGEREF _Toc469670063 \h </w:instrText>
        </w:r>
        <w:r w:rsidRPr="00D13792">
          <w:rPr>
            <w:noProof/>
            <w:webHidden/>
          </w:rPr>
        </w:r>
        <w:r w:rsidRPr="00D13792">
          <w:rPr>
            <w:noProof/>
            <w:webHidden/>
          </w:rPr>
          <w:fldChar w:fldCharType="separate"/>
        </w:r>
        <w:r>
          <w:rPr>
            <w:noProof/>
            <w:webHidden/>
          </w:rPr>
          <w:t>90</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64" w:history="1">
        <w:r w:rsidRPr="00D13792">
          <w:rPr>
            <w:rStyle w:val="Hyperlink"/>
            <w:rFonts w:eastAsia="MS Mincho"/>
            <w:noProof/>
          </w:rPr>
          <w:t>B. Programa Nacional de Resarcimiento</w:t>
        </w:r>
        <w:r w:rsidRPr="00D13792">
          <w:rPr>
            <w:noProof/>
            <w:webHidden/>
          </w:rPr>
          <w:tab/>
        </w:r>
        <w:r w:rsidRPr="00D13792">
          <w:rPr>
            <w:noProof/>
            <w:webHidden/>
          </w:rPr>
          <w:fldChar w:fldCharType="begin"/>
        </w:r>
        <w:r w:rsidRPr="00D13792">
          <w:rPr>
            <w:noProof/>
            <w:webHidden/>
          </w:rPr>
          <w:instrText xml:space="preserve"> PAGEREF _Toc469670064 \h </w:instrText>
        </w:r>
        <w:r w:rsidRPr="00D13792">
          <w:rPr>
            <w:noProof/>
            <w:webHidden/>
          </w:rPr>
        </w:r>
        <w:r w:rsidRPr="00D13792">
          <w:rPr>
            <w:noProof/>
            <w:webHidden/>
          </w:rPr>
          <w:fldChar w:fldCharType="separate"/>
        </w:r>
        <w:r>
          <w:rPr>
            <w:noProof/>
            <w:webHidden/>
          </w:rPr>
          <w:t>91</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65" w:history="1">
        <w:r w:rsidRPr="00D13792">
          <w:rPr>
            <w:rStyle w:val="Hyperlink"/>
            <w:rFonts w:eastAsia="MS Mincho"/>
            <w:noProof/>
          </w:rPr>
          <w:t>C. Obligación de investigar los hechos e identificar, juzgar y, en su caso, sancionar a los responsables, así como de determinar el paradero de las víctimas desaparecidas, y recuperar e identificar las personas inhumadas en fosas clandestinas</w:t>
        </w:r>
        <w:r w:rsidRPr="00D13792">
          <w:rPr>
            <w:noProof/>
            <w:webHidden/>
          </w:rPr>
          <w:tab/>
        </w:r>
        <w:r w:rsidRPr="00D13792">
          <w:rPr>
            <w:noProof/>
            <w:webHidden/>
          </w:rPr>
          <w:fldChar w:fldCharType="begin"/>
        </w:r>
        <w:r w:rsidRPr="00D13792">
          <w:rPr>
            <w:noProof/>
            <w:webHidden/>
          </w:rPr>
          <w:instrText xml:space="preserve"> PAGEREF _Toc469670065 \h </w:instrText>
        </w:r>
        <w:r w:rsidRPr="00D13792">
          <w:rPr>
            <w:noProof/>
            <w:webHidden/>
          </w:rPr>
        </w:r>
        <w:r w:rsidRPr="00D13792">
          <w:rPr>
            <w:noProof/>
            <w:webHidden/>
          </w:rPr>
          <w:fldChar w:fldCharType="separate"/>
        </w:r>
        <w:r>
          <w:rPr>
            <w:noProof/>
            <w:webHidden/>
          </w:rPr>
          <w:t>93</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66" w:history="1">
        <w:r w:rsidRPr="00D13792">
          <w:rPr>
            <w:rStyle w:val="Hyperlink"/>
            <w:rFonts w:eastAsia="MS Mincho"/>
            <w:noProof/>
          </w:rPr>
          <w:t>D. Medidas de restitución, rehabilitación, satisfacción y garantías de no repetición</w:t>
        </w:r>
        <w:r w:rsidRPr="00D13792">
          <w:rPr>
            <w:noProof/>
            <w:webHidden/>
          </w:rPr>
          <w:tab/>
        </w:r>
        <w:r w:rsidRPr="00D13792">
          <w:rPr>
            <w:noProof/>
            <w:webHidden/>
          </w:rPr>
          <w:fldChar w:fldCharType="begin"/>
        </w:r>
        <w:r w:rsidRPr="00D13792">
          <w:rPr>
            <w:noProof/>
            <w:webHidden/>
          </w:rPr>
          <w:instrText xml:space="preserve"> PAGEREF _Toc469670066 \h </w:instrText>
        </w:r>
        <w:r w:rsidRPr="00D13792">
          <w:rPr>
            <w:noProof/>
            <w:webHidden/>
          </w:rPr>
        </w:r>
        <w:r w:rsidRPr="00D13792">
          <w:rPr>
            <w:noProof/>
            <w:webHidden/>
          </w:rPr>
          <w:fldChar w:fldCharType="separate"/>
        </w:r>
        <w:r>
          <w:rPr>
            <w:noProof/>
            <w:webHidden/>
          </w:rPr>
          <w:t>98</w:t>
        </w:r>
        <w:r w:rsidRPr="00D13792">
          <w:rPr>
            <w:noProof/>
            <w:webHidden/>
          </w:rPr>
          <w:fldChar w:fldCharType="end"/>
        </w:r>
      </w:hyperlink>
    </w:p>
    <w:p w:rsidR="006A0E1C" w:rsidRPr="00D13792" w:rsidRDefault="006A0E1C" w:rsidP="006A0E1C">
      <w:pPr>
        <w:pStyle w:val="TOC2"/>
        <w:ind w:left="450"/>
        <w:rPr>
          <w:rFonts w:asciiTheme="minorHAnsi" w:eastAsiaTheme="minorEastAsia" w:hAnsiTheme="minorHAnsi" w:cstheme="minorBidi"/>
          <w:noProof/>
          <w:sz w:val="22"/>
          <w:szCs w:val="22"/>
        </w:rPr>
      </w:pPr>
      <w:hyperlink w:anchor="_Toc469670067" w:history="1">
        <w:r w:rsidRPr="00D13792">
          <w:rPr>
            <w:rStyle w:val="Hyperlink"/>
            <w:rFonts w:eastAsia="Batang" w:cs="Times"/>
            <w:noProof/>
            <w:lang w:eastAsia="en-US"/>
          </w:rPr>
          <w:t>D.1. Medida de restitución</w:t>
        </w:r>
        <w:r w:rsidRPr="00D13792">
          <w:rPr>
            <w:rStyle w:val="Hyperlink"/>
            <w:rFonts w:eastAsia="MS Mincho"/>
            <w:noProof/>
          </w:rPr>
          <w:t>: Garantizar el retorno a su lugar de origen de las víctimas que aún se encuentran desplazadas</w:t>
        </w:r>
        <w:r w:rsidRPr="00D13792">
          <w:rPr>
            <w:noProof/>
            <w:webHidden/>
          </w:rPr>
          <w:tab/>
        </w:r>
        <w:r w:rsidRPr="00D13792">
          <w:rPr>
            <w:noProof/>
            <w:webHidden/>
          </w:rPr>
          <w:fldChar w:fldCharType="begin"/>
        </w:r>
        <w:r w:rsidRPr="00D13792">
          <w:rPr>
            <w:noProof/>
            <w:webHidden/>
          </w:rPr>
          <w:instrText xml:space="preserve"> PAGEREF _Toc469670067 \h </w:instrText>
        </w:r>
        <w:r w:rsidRPr="00D13792">
          <w:rPr>
            <w:noProof/>
            <w:webHidden/>
          </w:rPr>
        </w:r>
        <w:r w:rsidRPr="00D13792">
          <w:rPr>
            <w:noProof/>
            <w:webHidden/>
          </w:rPr>
          <w:fldChar w:fldCharType="separate"/>
        </w:r>
        <w:r>
          <w:rPr>
            <w:noProof/>
            <w:webHidden/>
          </w:rPr>
          <w:t>98</w:t>
        </w:r>
        <w:r w:rsidRPr="00D13792">
          <w:rPr>
            <w:noProof/>
            <w:webHidden/>
          </w:rPr>
          <w:fldChar w:fldCharType="end"/>
        </w:r>
      </w:hyperlink>
    </w:p>
    <w:p w:rsidR="006A0E1C" w:rsidRPr="00D13792" w:rsidRDefault="006A0E1C" w:rsidP="006A0E1C">
      <w:pPr>
        <w:pStyle w:val="TOC2"/>
        <w:ind w:left="450"/>
        <w:rPr>
          <w:rFonts w:asciiTheme="minorHAnsi" w:eastAsiaTheme="minorEastAsia" w:hAnsiTheme="minorHAnsi" w:cstheme="minorBidi"/>
          <w:noProof/>
          <w:sz w:val="22"/>
          <w:szCs w:val="22"/>
        </w:rPr>
      </w:pPr>
      <w:hyperlink w:anchor="_Toc469670068" w:history="1">
        <w:r w:rsidRPr="00D13792">
          <w:rPr>
            <w:rStyle w:val="Hyperlink"/>
            <w:rFonts w:eastAsia="Calibri"/>
            <w:noProof/>
          </w:rPr>
          <w:t xml:space="preserve">D.2. Medidas de rehabilitación: </w:t>
        </w:r>
        <w:r w:rsidRPr="00D13792">
          <w:rPr>
            <w:rStyle w:val="Hyperlink"/>
            <w:rFonts w:eastAsia="Batang"/>
            <w:noProof/>
          </w:rPr>
          <w:t>Atención médica, psicológica o psiquiátrica a las víctimas…..</w:t>
        </w:r>
        <w:r w:rsidRPr="00D13792">
          <w:rPr>
            <w:noProof/>
            <w:webHidden/>
          </w:rPr>
          <w:tab/>
        </w:r>
        <w:r w:rsidRPr="00D13792">
          <w:rPr>
            <w:noProof/>
            <w:webHidden/>
          </w:rPr>
          <w:fldChar w:fldCharType="begin"/>
        </w:r>
        <w:r w:rsidRPr="00D13792">
          <w:rPr>
            <w:noProof/>
            <w:webHidden/>
          </w:rPr>
          <w:instrText xml:space="preserve"> PAGEREF _Toc469670068 \h </w:instrText>
        </w:r>
        <w:r w:rsidRPr="00D13792">
          <w:rPr>
            <w:noProof/>
            <w:webHidden/>
          </w:rPr>
        </w:r>
        <w:r w:rsidRPr="00D13792">
          <w:rPr>
            <w:noProof/>
            <w:webHidden/>
          </w:rPr>
          <w:fldChar w:fldCharType="separate"/>
        </w:r>
        <w:r>
          <w:rPr>
            <w:noProof/>
            <w:webHidden/>
          </w:rPr>
          <w:t>98</w:t>
        </w:r>
        <w:r w:rsidRPr="00D13792">
          <w:rPr>
            <w:noProof/>
            <w:webHidden/>
          </w:rPr>
          <w:fldChar w:fldCharType="end"/>
        </w:r>
      </w:hyperlink>
    </w:p>
    <w:p w:rsidR="006A0E1C" w:rsidRPr="00D13792" w:rsidRDefault="006A0E1C" w:rsidP="006A0E1C">
      <w:pPr>
        <w:pStyle w:val="TOC2"/>
        <w:ind w:left="450"/>
        <w:rPr>
          <w:rFonts w:asciiTheme="minorHAnsi" w:eastAsiaTheme="minorEastAsia" w:hAnsiTheme="minorHAnsi" w:cstheme="minorBidi"/>
          <w:noProof/>
          <w:sz w:val="22"/>
          <w:szCs w:val="22"/>
        </w:rPr>
      </w:pPr>
      <w:hyperlink w:anchor="_Toc469670069" w:history="1">
        <w:r w:rsidRPr="00D13792">
          <w:rPr>
            <w:rStyle w:val="Hyperlink"/>
            <w:rFonts w:eastAsia="Calibri"/>
            <w:noProof/>
          </w:rPr>
          <w:t>D.3. Medidas de satisfacción</w:t>
        </w:r>
        <w:r w:rsidRPr="00D13792">
          <w:rPr>
            <w:noProof/>
            <w:webHidden/>
          </w:rPr>
          <w:tab/>
        </w:r>
        <w:r w:rsidRPr="00D13792">
          <w:rPr>
            <w:noProof/>
            <w:webHidden/>
          </w:rPr>
          <w:fldChar w:fldCharType="begin"/>
        </w:r>
        <w:r w:rsidRPr="00D13792">
          <w:rPr>
            <w:noProof/>
            <w:webHidden/>
          </w:rPr>
          <w:instrText xml:space="preserve"> PAGEREF _Toc469670069 \h </w:instrText>
        </w:r>
        <w:r w:rsidRPr="00D13792">
          <w:rPr>
            <w:noProof/>
            <w:webHidden/>
          </w:rPr>
        </w:r>
        <w:r w:rsidRPr="00D13792">
          <w:rPr>
            <w:noProof/>
            <w:webHidden/>
          </w:rPr>
          <w:fldChar w:fldCharType="separate"/>
        </w:r>
        <w:r>
          <w:rPr>
            <w:noProof/>
            <w:webHidden/>
          </w:rPr>
          <w:t>100</w:t>
        </w:r>
        <w:r w:rsidRPr="00D13792">
          <w:rPr>
            <w:noProof/>
            <w:webHidden/>
          </w:rPr>
          <w:fldChar w:fldCharType="end"/>
        </w:r>
      </w:hyperlink>
    </w:p>
    <w:p w:rsidR="006A0E1C" w:rsidRPr="00D13792" w:rsidRDefault="006A0E1C" w:rsidP="006A0E1C">
      <w:pPr>
        <w:pStyle w:val="TOC2"/>
        <w:ind w:left="990"/>
        <w:rPr>
          <w:rFonts w:asciiTheme="minorHAnsi" w:eastAsiaTheme="minorEastAsia" w:hAnsiTheme="minorHAnsi" w:cstheme="minorBidi"/>
          <w:noProof/>
          <w:sz w:val="22"/>
          <w:szCs w:val="22"/>
        </w:rPr>
      </w:pPr>
      <w:hyperlink w:anchor="_Toc469670070" w:history="1">
        <w:r w:rsidRPr="00D13792">
          <w:rPr>
            <w:rStyle w:val="Hyperlink"/>
            <w:rFonts w:eastAsia="Batang" w:cs="Times"/>
            <w:noProof/>
            <w:lang w:eastAsia="en-US"/>
          </w:rPr>
          <w:t xml:space="preserve">D.3.1. Acto </w:t>
        </w:r>
        <w:r w:rsidRPr="00D13792">
          <w:rPr>
            <w:rStyle w:val="Hyperlink"/>
            <w:rFonts w:eastAsia="Calibri"/>
            <w:noProof/>
          </w:rPr>
          <w:t>público</w:t>
        </w:r>
        <w:r w:rsidRPr="00D13792">
          <w:rPr>
            <w:rStyle w:val="Hyperlink"/>
            <w:rFonts w:eastAsia="Batang" w:cs="Times"/>
            <w:noProof/>
            <w:lang w:eastAsia="en-US"/>
          </w:rPr>
          <w:t xml:space="preserve"> de reconocimiento de responsabilidad</w:t>
        </w:r>
        <w:r w:rsidRPr="00D13792">
          <w:rPr>
            <w:noProof/>
            <w:webHidden/>
          </w:rPr>
          <w:tab/>
        </w:r>
        <w:r w:rsidRPr="00D13792">
          <w:rPr>
            <w:noProof/>
            <w:webHidden/>
          </w:rPr>
          <w:fldChar w:fldCharType="begin"/>
        </w:r>
        <w:r w:rsidRPr="00D13792">
          <w:rPr>
            <w:noProof/>
            <w:webHidden/>
          </w:rPr>
          <w:instrText xml:space="preserve"> PAGEREF _Toc469670070 \h </w:instrText>
        </w:r>
        <w:r w:rsidRPr="00D13792">
          <w:rPr>
            <w:noProof/>
            <w:webHidden/>
          </w:rPr>
        </w:r>
        <w:r w:rsidRPr="00D13792">
          <w:rPr>
            <w:noProof/>
            <w:webHidden/>
          </w:rPr>
          <w:fldChar w:fldCharType="separate"/>
        </w:r>
        <w:r>
          <w:rPr>
            <w:noProof/>
            <w:webHidden/>
          </w:rPr>
          <w:t>100</w:t>
        </w:r>
        <w:r w:rsidRPr="00D13792">
          <w:rPr>
            <w:noProof/>
            <w:webHidden/>
          </w:rPr>
          <w:fldChar w:fldCharType="end"/>
        </w:r>
      </w:hyperlink>
    </w:p>
    <w:p w:rsidR="006A0E1C" w:rsidRPr="00D13792" w:rsidRDefault="006A0E1C" w:rsidP="006A0E1C">
      <w:pPr>
        <w:pStyle w:val="TOC2"/>
        <w:ind w:left="990"/>
        <w:rPr>
          <w:rFonts w:asciiTheme="minorHAnsi" w:eastAsiaTheme="minorEastAsia" w:hAnsiTheme="minorHAnsi" w:cstheme="minorBidi"/>
          <w:noProof/>
          <w:sz w:val="22"/>
          <w:szCs w:val="22"/>
        </w:rPr>
      </w:pPr>
      <w:hyperlink w:anchor="_Toc469670071" w:history="1">
        <w:r w:rsidRPr="00D13792">
          <w:rPr>
            <w:rStyle w:val="Hyperlink"/>
            <w:rFonts w:eastAsia="Calibri"/>
            <w:noProof/>
          </w:rPr>
          <w:t>D.3.2. Publicación de la Sentencia</w:t>
        </w:r>
        <w:r w:rsidRPr="00D13792">
          <w:rPr>
            <w:noProof/>
            <w:webHidden/>
          </w:rPr>
          <w:tab/>
        </w:r>
        <w:r w:rsidRPr="00D13792">
          <w:rPr>
            <w:noProof/>
            <w:webHidden/>
          </w:rPr>
          <w:fldChar w:fldCharType="begin"/>
        </w:r>
        <w:r w:rsidRPr="00D13792">
          <w:rPr>
            <w:noProof/>
            <w:webHidden/>
          </w:rPr>
          <w:instrText xml:space="preserve"> PAGEREF _Toc469670071 \h </w:instrText>
        </w:r>
        <w:r w:rsidRPr="00D13792">
          <w:rPr>
            <w:noProof/>
            <w:webHidden/>
          </w:rPr>
        </w:r>
        <w:r w:rsidRPr="00D13792">
          <w:rPr>
            <w:noProof/>
            <w:webHidden/>
          </w:rPr>
          <w:fldChar w:fldCharType="separate"/>
        </w:r>
        <w:r>
          <w:rPr>
            <w:noProof/>
            <w:webHidden/>
          </w:rPr>
          <w:t>101</w:t>
        </w:r>
        <w:r w:rsidRPr="00D13792">
          <w:rPr>
            <w:noProof/>
            <w:webHidden/>
          </w:rPr>
          <w:fldChar w:fldCharType="end"/>
        </w:r>
      </w:hyperlink>
    </w:p>
    <w:p w:rsidR="006A0E1C" w:rsidRPr="00D13792" w:rsidRDefault="006A0E1C" w:rsidP="006A0E1C">
      <w:pPr>
        <w:pStyle w:val="TOC2"/>
        <w:ind w:left="450"/>
        <w:rPr>
          <w:rFonts w:asciiTheme="minorHAnsi" w:eastAsiaTheme="minorEastAsia" w:hAnsiTheme="minorHAnsi" w:cstheme="minorBidi"/>
          <w:noProof/>
          <w:sz w:val="22"/>
          <w:szCs w:val="22"/>
        </w:rPr>
      </w:pPr>
      <w:hyperlink w:anchor="_Toc469670072" w:history="1">
        <w:r w:rsidRPr="00D13792">
          <w:rPr>
            <w:rStyle w:val="Hyperlink"/>
            <w:rFonts w:eastAsia="Calibri"/>
            <w:noProof/>
          </w:rPr>
          <w:t>D.4. Garantías de no repetición</w:t>
        </w:r>
        <w:r w:rsidRPr="00D13792">
          <w:rPr>
            <w:noProof/>
            <w:webHidden/>
          </w:rPr>
          <w:tab/>
        </w:r>
        <w:r w:rsidRPr="00D13792">
          <w:rPr>
            <w:noProof/>
            <w:webHidden/>
          </w:rPr>
          <w:fldChar w:fldCharType="begin"/>
        </w:r>
        <w:r w:rsidRPr="00D13792">
          <w:rPr>
            <w:noProof/>
            <w:webHidden/>
          </w:rPr>
          <w:instrText xml:space="preserve"> PAGEREF _Toc469670072 \h </w:instrText>
        </w:r>
        <w:r w:rsidRPr="00D13792">
          <w:rPr>
            <w:noProof/>
            <w:webHidden/>
          </w:rPr>
        </w:r>
        <w:r w:rsidRPr="00D13792">
          <w:rPr>
            <w:noProof/>
            <w:webHidden/>
          </w:rPr>
          <w:fldChar w:fldCharType="separate"/>
        </w:r>
        <w:r>
          <w:rPr>
            <w:noProof/>
            <w:webHidden/>
          </w:rPr>
          <w:t>101</w:t>
        </w:r>
        <w:r w:rsidRPr="00D13792">
          <w:rPr>
            <w:noProof/>
            <w:webHidden/>
          </w:rPr>
          <w:fldChar w:fldCharType="end"/>
        </w:r>
      </w:hyperlink>
    </w:p>
    <w:p w:rsidR="006A0E1C" w:rsidRPr="00D13792" w:rsidRDefault="006A0E1C" w:rsidP="006A0E1C">
      <w:pPr>
        <w:pStyle w:val="TOC2"/>
        <w:ind w:left="990"/>
        <w:rPr>
          <w:rFonts w:asciiTheme="minorHAnsi" w:eastAsiaTheme="minorEastAsia" w:hAnsiTheme="minorHAnsi" w:cstheme="minorBidi"/>
          <w:noProof/>
          <w:sz w:val="22"/>
          <w:szCs w:val="22"/>
        </w:rPr>
      </w:pPr>
      <w:hyperlink w:anchor="_Toc469670073" w:history="1">
        <w:r w:rsidRPr="00D13792">
          <w:rPr>
            <w:rStyle w:val="Hyperlink"/>
            <w:rFonts w:eastAsia="Calibri"/>
            <w:noProof/>
          </w:rPr>
          <w:t>D.4.1. Formación de los miembros del Ejército de Guatemala</w:t>
        </w:r>
        <w:r w:rsidRPr="00D13792">
          <w:rPr>
            <w:noProof/>
            <w:webHidden/>
          </w:rPr>
          <w:tab/>
        </w:r>
        <w:r w:rsidRPr="00D13792">
          <w:rPr>
            <w:noProof/>
            <w:webHidden/>
          </w:rPr>
          <w:fldChar w:fldCharType="begin"/>
        </w:r>
        <w:r w:rsidRPr="00D13792">
          <w:rPr>
            <w:noProof/>
            <w:webHidden/>
          </w:rPr>
          <w:instrText xml:space="preserve"> PAGEREF _Toc469670073 \h </w:instrText>
        </w:r>
        <w:r w:rsidRPr="00D13792">
          <w:rPr>
            <w:noProof/>
            <w:webHidden/>
          </w:rPr>
        </w:r>
        <w:r w:rsidRPr="00D13792">
          <w:rPr>
            <w:noProof/>
            <w:webHidden/>
          </w:rPr>
          <w:fldChar w:fldCharType="separate"/>
        </w:r>
        <w:r>
          <w:rPr>
            <w:noProof/>
            <w:webHidden/>
          </w:rPr>
          <w:t>101</w:t>
        </w:r>
        <w:r w:rsidRPr="00D13792">
          <w:rPr>
            <w:noProof/>
            <w:webHidden/>
          </w:rPr>
          <w:fldChar w:fldCharType="end"/>
        </w:r>
      </w:hyperlink>
    </w:p>
    <w:p w:rsidR="006A0E1C" w:rsidRPr="00D13792" w:rsidRDefault="006A0E1C" w:rsidP="006A0E1C">
      <w:pPr>
        <w:pStyle w:val="TOC2"/>
        <w:ind w:left="990"/>
        <w:rPr>
          <w:rFonts w:asciiTheme="minorHAnsi" w:eastAsiaTheme="minorEastAsia" w:hAnsiTheme="minorHAnsi" w:cstheme="minorBidi"/>
          <w:noProof/>
          <w:sz w:val="22"/>
          <w:szCs w:val="22"/>
        </w:rPr>
      </w:pPr>
      <w:hyperlink w:anchor="_Toc469670074" w:history="1">
        <w:r w:rsidRPr="00D13792">
          <w:rPr>
            <w:rStyle w:val="Hyperlink"/>
            <w:rFonts w:eastAsia="Calibri"/>
            <w:noProof/>
          </w:rPr>
          <w:t>D.4.2. Fortalecimiento de la capacidad del poder judicial y del ministerio público de investigar los hechos y sancionar a los responsables</w:t>
        </w:r>
        <w:r w:rsidRPr="00D13792">
          <w:rPr>
            <w:noProof/>
            <w:webHidden/>
          </w:rPr>
          <w:tab/>
        </w:r>
        <w:r w:rsidRPr="00D13792">
          <w:rPr>
            <w:noProof/>
            <w:webHidden/>
          </w:rPr>
          <w:fldChar w:fldCharType="begin"/>
        </w:r>
        <w:r w:rsidRPr="00D13792">
          <w:rPr>
            <w:noProof/>
            <w:webHidden/>
          </w:rPr>
          <w:instrText xml:space="preserve"> PAGEREF _Toc469670074 \h </w:instrText>
        </w:r>
        <w:r w:rsidRPr="00D13792">
          <w:rPr>
            <w:noProof/>
            <w:webHidden/>
          </w:rPr>
        </w:r>
        <w:r w:rsidRPr="00D13792">
          <w:rPr>
            <w:noProof/>
            <w:webHidden/>
          </w:rPr>
          <w:fldChar w:fldCharType="separate"/>
        </w:r>
        <w:r>
          <w:rPr>
            <w:noProof/>
            <w:webHidden/>
          </w:rPr>
          <w:t>102</w:t>
        </w:r>
        <w:r w:rsidRPr="00D13792">
          <w:rPr>
            <w:noProof/>
            <w:webHidden/>
          </w:rPr>
          <w:fldChar w:fldCharType="end"/>
        </w:r>
      </w:hyperlink>
    </w:p>
    <w:p w:rsidR="006A0E1C" w:rsidRPr="00D13792" w:rsidRDefault="006A0E1C" w:rsidP="006A0E1C">
      <w:pPr>
        <w:pStyle w:val="TOC2"/>
        <w:ind w:left="990"/>
        <w:rPr>
          <w:rFonts w:asciiTheme="minorHAnsi" w:eastAsiaTheme="minorEastAsia" w:hAnsiTheme="minorHAnsi" w:cstheme="minorBidi"/>
          <w:noProof/>
          <w:sz w:val="22"/>
          <w:szCs w:val="22"/>
        </w:rPr>
      </w:pPr>
      <w:hyperlink w:anchor="_Toc469670075" w:history="1">
        <w:r w:rsidRPr="00D13792">
          <w:rPr>
            <w:rStyle w:val="Hyperlink"/>
            <w:rFonts w:eastAsia="Calibri"/>
            <w:noProof/>
          </w:rPr>
          <w:t>D.4.3. Programa educativo en materia de no discriminación</w:t>
        </w:r>
        <w:r w:rsidRPr="00D13792">
          <w:rPr>
            <w:noProof/>
            <w:webHidden/>
          </w:rPr>
          <w:tab/>
        </w:r>
        <w:r w:rsidRPr="00D13792">
          <w:rPr>
            <w:noProof/>
            <w:webHidden/>
          </w:rPr>
          <w:fldChar w:fldCharType="begin"/>
        </w:r>
        <w:r w:rsidRPr="00D13792">
          <w:rPr>
            <w:noProof/>
            <w:webHidden/>
          </w:rPr>
          <w:instrText xml:space="preserve"> PAGEREF _Toc469670075 \h </w:instrText>
        </w:r>
        <w:r w:rsidRPr="00D13792">
          <w:rPr>
            <w:noProof/>
            <w:webHidden/>
          </w:rPr>
        </w:r>
        <w:r w:rsidRPr="00D13792">
          <w:rPr>
            <w:noProof/>
            <w:webHidden/>
          </w:rPr>
          <w:fldChar w:fldCharType="separate"/>
        </w:r>
        <w:r>
          <w:rPr>
            <w:noProof/>
            <w:webHidden/>
          </w:rPr>
          <w:t>103</w:t>
        </w:r>
        <w:r w:rsidRPr="00D13792">
          <w:rPr>
            <w:noProof/>
            <w:webHidden/>
          </w:rPr>
          <w:fldChar w:fldCharType="end"/>
        </w:r>
      </w:hyperlink>
    </w:p>
    <w:p w:rsidR="006A0E1C" w:rsidRPr="00D13792" w:rsidRDefault="006A0E1C" w:rsidP="006A0E1C">
      <w:pPr>
        <w:pStyle w:val="TOC2"/>
        <w:ind w:left="990"/>
        <w:rPr>
          <w:rFonts w:asciiTheme="minorHAnsi" w:eastAsiaTheme="minorEastAsia" w:hAnsiTheme="minorHAnsi" w:cstheme="minorBidi"/>
          <w:noProof/>
          <w:sz w:val="22"/>
          <w:szCs w:val="22"/>
        </w:rPr>
      </w:pPr>
      <w:hyperlink w:anchor="_Toc469670076" w:history="1">
        <w:r w:rsidRPr="00D13792">
          <w:rPr>
            <w:rStyle w:val="Hyperlink"/>
            <w:rFonts w:eastAsia="Calibri"/>
            <w:noProof/>
          </w:rPr>
          <w:t>D.4.4. Fortalecimiento de los mecanismos contra la discriminación racial y étnica</w:t>
        </w:r>
        <w:r w:rsidRPr="00D13792">
          <w:rPr>
            <w:noProof/>
            <w:webHidden/>
          </w:rPr>
          <w:tab/>
        </w:r>
        <w:r w:rsidRPr="00D13792">
          <w:rPr>
            <w:noProof/>
            <w:webHidden/>
          </w:rPr>
          <w:fldChar w:fldCharType="begin"/>
        </w:r>
        <w:r w:rsidRPr="00D13792">
          <w:rPr>
            <w:noProof/>
            <w:webHidden/>
          </w:rPr>
          <w:instrText xml:space="preserve"> PAGEREF _Toc469670076 \h </w:instrText>
        </w:r>
        <w:r w:rsidRPr="00D13792">
          <w:rPr>
            <w:noProof/>
            <w:webHidden/>
          </w:rPr>
        </w:r>
        <w:r w:rsidRPr="00D13792">
          <w:rPr>
            <w:noProof/>
            <w:webHidden/>
          </w:rPr>
          <w:fldChar w:fldCharType="separate"/>
        </w:r>
        <w:r>
          <w:rPr>
            <w:noProof/>
            <w:webHidden/>
          </w:rPr>
          <w:t>104</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77" w:history="1">
        <w:r w:rsidRPr="00D13792">
          <w:rPr>
            <w:rStyle w:val="Hyperlink"/>
            <w:rFonts w:eastAsia="MS Mincho"/>
            <w:noProof/>
          </w:rPr>
          <w:t>E. Indemnización Compensatoria: Daño material e inmaterial</w:t>
        </w:r>
        <w:r w:rsidRPr="00D13792">
          <w:rPr>
            <w:noProof/>
            <w:webHidden/>
          </w:rPr>
          <w:tab/>
        </w:r>
        <w:r w:rsidRPr="00D13792">
          <w:rPr>
            <w:noProof/>
            <w:webHidden/>
          </w:rPr>
          <w:fldChar w:fldCharType="begin"/>
        </w:r>
        <w:r w:rsidRPr="00D13792">
          <w:rPr>
            <w:noProof/>
            <w:webHidden/>
          </w:rPr>
          <w:instrText xml:space="preserve"> PAGEREF _Toc469670077 \h </w:instrText>
        </w:r>
        <w:r w:rsidRPr="00D13792">
          <w:rPr>
            <w:noProof/>
            <w:webHidden/>
          </w:rPr>
        </w:r>
        <w:r w:rsidRPr="00D13792">
          <w:rPr>
            <w:noProof/>
            <w:webHidden/>
          </w:rPr>
          <w:fldChar w:fldCharType="separate"/>
        </w:r>
        <w:r>
          <w:rPr>
            <w:noProof/>
            <w:webHidden/>
          </w:rPr>
          <w:t>104</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78" w:history="1">
        <w:r w:rsidRPr="00D13792">
          <w:rPr>
            <w:rStyle w:val="Hyperlink"/>
            <w:rFonts w:eastAsia="MS Mincho"/>
            <w:noProof/>
          </w:rPr>
          <w:t>F. Costas y gastos</w:t>
        </w:r>
        <w:r w:rsidRPr="00D13792">
          <w:rPr>
            <w:noProof/>
            <w:webHidden/>
          </w:rPr>
          <w:tab/>
        </w:r>
        <w:r w:rsidRPr="00D13792">
          <w:rPr>
            <w:noProof/>
            <w:webHidden/>
          </w:rPr>
          <w:fldChar w:fldCharType="begin"/>
        </w:r>
        <w:r w:rsidRPr="00D13792">
          <w:rPr>
            <w:noProof/>
            <w:webHidden/>
          </w:rPr>
          <w:instrText xml:space="preserve"> PAGEREF _Toc469670078 \h </w:instrText>
        </w:r>
        <w:r w:rsidRPr="00D13792">
          <w:rPr>
            <w:noProof/>
            <w:webHidden/>
          </w:rPr>
        </w:r>
        <w:r w:rsidRPr="00D13792">
          <w:rPr>
            <w:noProof/>
            <w:webHidden/>
          </w:rPr>
          <w:fldChar w:fldCharType="separate"/>
        </w:r>
        <w:r>
          <w:rPr>
            <w:noProof/>
            <w:webHidden/>
          </w:rPr>
          <w:t>107</w:t>
        </w:r>
        <w:r w:rsidRPr="00D13792">
          <w:rPr>
            <w:noProof/>
            <w:webHidden/>
          </w:rPr>
          <w:fldChar w:fldCharType="end"/>
        </w:r>
      </w:hyperlink>
    </w:p>
    <w:p w:rsidR="006A0E1C" w:rsidRPr="00D13792" w:rsidRDefault="006A0E1C" w:rsidP="006A0E1C">
      <w:pPr>
        <w:pStyle w:val="TOC2"/>
        <w:rPr>
          <w:rFonts w:asciiTheme="minorHAnsi" w:eastAsiaTheme="minorEastAsia" w:hAnsiTheme="minorHAnsi" w:cstheme="minorBidi"/>
          <w:noProof/>
          <w:sz w:val="22"/>
          <w:szCs w:val="22"/>
        </w:rPr>
      </w:pPr>
      <w:hyperlink w:anchor="_Toc469670079" w:history="1">
        <w:r w:rsidRPr="00D13792">
          <w:rPr>
            <w:rStyle w:val="Hyperlink"/>
            <w:rFonts w:eastAsia="MS Mincho"/>
            <w:noProof/>
          </w:rPr>
          <w:t>G. Modalidad de cumplimiento de los pagos ordenados</w:t>
        </w:r>
        <w:r w:rsidRPr="00D13792">
          <w:rPr>
            <w:noProof/>
            <w:webHidden/>
          </w:rPr>
          <w:tab/>
        </w:r>
        <w:r w:rsidRPr="00D13792">
          <w:rPr>
            <w:noProof/>
            <w:webHidden/>
          </w:rPr>
          <w:fldChar w:fldCharType="begin"/>
        </w:r>
        <w:r w:rsidRPr="00D13792">
          <w:rPr>
            <w:noProof/>
            <w:webHidden/>
          </w:rPr>
          <w:instrText xml:space="preserve"> PAGEREF _Toc469670079 \h </w:instrText>
        </w:r>
        <w:r w:rsidRPr="00D13792">
          <w:rPr>
            <w:noProof/>
            <w:webHidden/>
          </w:rPr>
        </w:r>
        <w:r w:rsidRPr="00D13792">
          <w:rPr>
            <w:noProof/>
            <w:webHidden/>
          </w:rPr>
          <w:fldChar w:fldCharType="separate"/>
        </w:r>
        <w:r>
          <w:rPr>
            <w:noProof/>
            <w:webHidden/>
          </w:rPr>
          <w:t>108</w:t>
        </w:r>
        <w:r w:rsidRPr="00D13792">
          <w:rPr>
            <w:noProof/>
            <w:webHidden/>
          </w:rPr>
          <w:fldChar w:fldCharType="end"/>
        </w:r>
      </w:hyperlink>
    </w:p>
    <w:p w:rsidR="006A0E1C" w:rsidRPr="00D13792" w:rsidRDefault="006A0E1C" w:rsidP="006A0E1C">
      <w:pPr>
        <w:pStyle w:val="TOC1"/>
        <w:rPr>
          <w:rFonts w:asciiTheme="minorHAnsi" w:eastAsiaTheme="minorEastAsia" w:hAnsiTheme="minorHAnsi" w:cstheme="minorBidi"/>
          <w:sz w:val="22"/>
          <w:szCs w:val="22"/>
          <w:lang w:val="es-CR"/>
        </w:rPr>
      </w:pPr>
      <w:r w:rsidRPr="00D13792">
        <w:rPr>
          <w:rStyle w:val="Hyperlink"/>
          <w:color w:val="000000" w:themeColor="text1"/>
          <w:u w:val="none"/>
          <w:lang w:val="es-CR"/>
        </w:rPr>
        <w:t xml:space="preserve">XI </w:t>
      </w:r>
      <w:hyperlink w:anchor="_Toc469670081" w:history="1">
        <w:r w:rsidRPr="00D13792">
          <w:rPr>
            <w:rStyle w:val="Hyperlink"/>
            <w:color w:val="000000" w:themeColor="text1"/>
            <w:u w:val="none"/>
            <w:lang w:val="es-CR"/>
          </w:rPr>
          <w:t>PUNTOS RESOLUTIVOS</w:t>
        </w:r>
        <w:r w:rsidRPr="00D13792">
          <w:rPr>
            <w:webHidden/>
            <w:lang w:val="es-CR"/>
          </w:rPr>
          <w:tab/>
        </w:r>
        <w:r w:rsidRPr="00D13792">
          <w:rPr>
            <w:webHidden/>
            <w:lang w:val="es-CR"/>
          </w:rPr>
          <w:fldChar w:fldCharType="begin"/>
        </w:r>
        <w:r w:rsidRPr="00D13792">
          <w:rPr>
            <w:webHidden/>
            <w:lang w:val="es-CR"/>
          </w:rPr>
          <w:instrText xml:space="preserve"> PAGEREF _Toc469670081 \h </w:instrText>
        </w:r>
        <w:r w:rsidRPr="00D13792">
          <w:rPr>
            <w:webHidden/>
            <w:lang w:val="es-CR"/>
          </w:rPr>
        </w:r>
        <w:r w:rsidRPr="00D13792">
          <w:rPr>
            <w:webHidden/>
            <w:lang w:val="es-CR"/>
          </w:rPr>
          <w:fldChar w:fldCharType="separate"/>
        </w:r>
        <w:r>
          <w:rPr>
            <w:webHidden/>
            <w:lang w:val="es-CR"/>
          </w:rPr>
          <w:t>109</w:t>
        </w:r>
        <w:r w:rsidRPr="00D13792">
          <w:rPr>
            <w:webHidden/>
            <w:lang w:val="es-CR"/>
          </w:rPr>
          <w:fldChar w:fldCharType="end"/>
        </w:r>
      </w:hyperlink>
    </w:p>
    <w:p w:rsidR="006A0E1C" w:rsidRPr="00D13792" w:rsidRDefault="006A0E1C" w:rsidP="006A0E1C">
      <w:pPr>
        <w:spacing w:line="240" w:lineRule="auto"/>
        <w:jc w:val="center"/>
        <w:rPr>
          <w:b/>
          <w:bCs/>
          <w:noProof/>
        </w:rPr>
      </w:pPr>
      <w:r w:rsidRPr="00D13792">
        <w:rPr>
          <w:b/>
          <w:bCs/>
          <w:noProof/>
        </w:rPr>
        <w:fldChar w:fldCharType="end"/>
      </w:r>
    </w:p>
    <w:p w:rsidR="006A0E1C" w:rsidRPr="00D13792" w:rsidRDefault="006A0E1C" w:rsidP="006A0E1C">
      <w:pPr>
        <w:widowControl/>
        <w:adjustRightInd/>
        <w:spacing w:line="240" w:lineRule="auto"/>
        <w:jc w:val="left"/>
        <w:textAlignment w:val="auto"/>
        <w:rPr>
          <w:b/>
          <w:bCs/>
          <w:noProof/>
        </w:rPr>
      </w:pPr>
      <w:r w:rsidRPr="00D13792">
        <w:rPr>
          <w:b/>
          <w:bCs/>
          <w:noProof/>
        </w:rPr>
        <w:br w:type="page"/>
      </w:r>
    </w:p>
    <w:p w:rsidR="006A0E1C" w:rsidRPr="00D13792" w:rsidRDefault="006A0E1C" w:rsidP="006A0E1C">
      <w:pPr>
        <w:pStyle w:val="Heading1"/>
        <w:rPr>
          <w:lang w:val="es-CR"/>
        </w:rPr>
      </w:pPr>
      <w:bookmarkStart w:id="6" w:name="_Toc469669987"/>
      <w:r w:rsidRPr="00D13792">
        <w:rPr>
          <w:lang w:val="es-CR"/>
        </w:rPr>
        <w:lastRenderedPageBreak/>
        <w:t>I</w:t>
      </w:r>
      <w:bookmarkStart w:id="7" w:name="_Toc375062709"/>
      <w:bookmarkStart w:id="8" w:name="_Toc375140859"/>
      <w:bookmarkStart w:id="9" w:name="_Toc375504818"/>
      <w:bookmarkStart w:id="10" w:name="_Toc375560892"/>
      <w:bookmarkEnd w:id="0"/>
      <w:bookmarkEnd w:id="1"/>
      <w:bookmarkEnd w:id="2"/>
      <w:r w:rsidRPr="00D13792">
        <w:rPr>
          <w:lang w:val="es-CR"/>
        </w:rPr>
        <w:br/>
        <w:t>INTRODUCCIÓN DE LA CAUSA Y OBJETO DE LA CONTROVERSIA</w:t>
      </w:r>
      <w:bookmarkEnd w:id="3"/>
      <w:bookmarkEnd w:id="4"/>
      <w:bookmarkEnd w:id="6"/>
      <w:bookmarkEnd w:id="7"/>
      <w:bookmarkEnd w:id="8"/>
      <w:bookmarkEnd w:id="9"/>
      <w:bookmarkEnd w:id="10"/>
    </w:p>
    <w:p w:rsidR="006A0E1C" w:rsidRPr="00D13792" w:rsidRDefault="006A0E1C" w:rsidP="006A0E1C">
      <w:pPr>
        <w:tabs>
          <w:tab w:val="left" w:pos="720"/>
        </w:tabs>
        <w:spacing w:line="240" w:lineRule="auto"/>
        <w:rPr>
          <w:rFonts w:eastAsia="Calibri" w:cs="Verdana"/>
          <w:spacing w:val="-2"/>
          <w:sz w:val="20"/>
          <w:szCs w:val="20"/>
          <w:lang w:eastAsia="es-ES"/>
        </w:rPr>
      </w:pPr>
    </w:p>
    <w:p w:rsidR="006A0E1C" w:rsidRPr="00D13792" w:rsidRDefault="006A0E1C" w:rsidP="006A0E1C">
      <w:pPr>
        <w:numPr>
          <w:ilvl w:val="0"/>
          <w:numId w:val="6"/>
        </w:numPr>
        <w:tabs>
          <w:tab w:val="left" w:pos="567"/>
        </w:tabs>
        <w:spacing w:line="240" w:lineRule="auto"/>
        <w:ind w:right="4"/>
        <w:rPr>
          <w:rFonts w:eastAsia="Calibri" w:cs="Verdana"/>
          <w:spacing w:val="-2"/>
          <w:sz w:val="20"/>
          <w:szCs w:val="20"/>
        </w:rPr>
      </w:pPr>
      <w:bookmarkStart w:id="11" w:name="_Ref374884888"/>
      <w:r w:rsidRPr="00D13792">
        <w:rPr>
          <w:rFonts w:eastAsia="Calibri" w:cs="Verdana"/>
          <w:i/>
          <w:iCs/>
          <w:spacing w:val="-2"/>
          <w:sz w:val="20"/>
          <w:szCs w:val="20"/>
        </w:rPr>
        <w:t>El caso sometido a la Corte.</w:t>
      </w:r>
      <w:r w:rsidRPr="00D13792">
        <w:rPr>
          <w:rFonts w:eastAsia="Calibri" w:cs="Verdana"/>
          <w:spacing w:val="-2"/>
          <w:sz w:val="20"/>
          <w:szCs w:val="20"/>
        </w:rPr>
        <w:t xml:space="preserve"> – El 5 de agosto de 2014, de conformidad con lo dispuesto en los artículos 51 y 61 de la Convención Americana y el artículo 35 del Reglamento de la Corte, la Comisión Interamericana de Derechos Humanos (en adelante “la Comisión Interamericana” o “la Comisión”) sometió a la jurisdicción de la Corte Interamericana el caso </w:t>
      </w:r>
      <w:r w:rsidRPr="00D13792">
        <w:rPr>
          <w:rFonts w:eastAsia="Calibri" w:cs="Verdana"/>
          <w:i/>
          <w:spacing w:val="-2"/>
          <w:sz w:val="20"/>
          <w:szCs w:val="20"/>
        </w:rPr>
        <w:t>Miembros de la Aldea de Chichupac y Comunidades Vecinas del Municipio de Rabinal</w:t>
      </w:r>
      <w:r w:rsidRPr="00D13792">
        <w:rPr>
          <w:rFonts w:eastAsia="Calibri" w:cs="Verdana"/>
          <w:spacing w:val="-2"/>
          <w:sz w:val="20"/>
          <w:szCs w:val="20"/>
        </w:rPr>
        <w:t xml:space="preserve"> </w:t>
      </w:r>
      <w:r w:rsidRPr="00D13792">
        <w:rPr>
          <w:rFonts w:eastAsia="Calibri" w:cs="Verdana"/>
          <w:i/>
          <w:iCs/>
          <w:spacing w:val="-2"/>
          <w:sz w:val="20"/>
          <w:szCs w:val="20"/>
        </w:rPr>
        <w:t xml:space="preserve">contra el Estado de Guatemala </w:t>
      </w:r>
      <w:r w:rsidRPr="00D13792">
        <w:rPr>
          <w:rFonts w:eastAsia="Calibri" w:cs="Verdana"/>
          <w:spacing w:val="-2"/>
          <w:sz w:val="20"/>
          <w:szCs w:val="20"/>
        </w:rPr>
        <w:t>(en adelante “el Estado” o “Guatemala”)</w:t>
      </w:r>
      <w:r w:rsidRPr="00D13792">
        <w:rPr>
          <w:rFonts w:eastAsia="Calibri" w:cs="Verdana"/>
          <w:i/>
          <w:iCs/>
          <w:spacing w:val="-2"/>
          <w:sz w:val="20"/>
          <w:szCs w:val="20"/>
        </w:rPr>
        <w:t>.</w:t>
      </w:r>
      <w:r w:rsidRPr="00D13792">
        <w:rPr>
          <w:rFonts w:eastAsia="Calibri" w:cs="Verdana"/>
          <w:bCs/>
          <w:spacing w:val="-2"/>
          <w:sz w:val="20"/>
          <w:szCs w:val="20"/>
        </w:rPr>
        <w:t xml:space="preserve"> </w:t>
      </w:r>
      <w:r w:rsidRPr="00D13792">
        <w:rPr>
          <w:rFonts w:eastAsia="Calibri" w:cs="Verdana"/>
          <w:spacing w:val="-2"/>
          <w:sz w:val="20"/>
          <w:szCs w:val="20"/>
        </w:rPr>
        <w:t>El caso se refiere a la presunta ejecución de una masacre en la aldea Chichupac el 8 de enero de 1982, así como a alegadas ejecuciones extrajudiciales, torturas, desapariciones forzadas, violaciones sexuales, omisiones de auxilio, detenciones ilegales, desplazamiento forzado y trabajos forzados “cometid[o]s en perjuicio de los indígenas maya achí de la aldea Chichupac y comunidades vecinas […] del municipio de Rabinal, a través de una serie de actos entre 1981 y 1986”. Según la Comisión, los hechos del caso se enmarcan “dentro de una política de Estado, con fundamento en la doctrina de seguridad nacional y el concepto de enemigo interno, destinada a eliminar la supuesta base social de grupos insurgentes de la época”.</w:t>
      </w:r>
      <w:r w:rsidRPr="00D13792">
        <w:rPr>
          <w:rFonts w:eastAsia="Calibri" w:cs="Verdana"/>
          <w:b/>
          <w:spacing w:val="-2"/>
          <w:sz w:val="20"/>
          <w:szCs w:val="20"/>
        </w:rPr>
        <w:t xml:space="preserve"> </w:t>
      </w:r>
      <w:r w:rsidRPr="00D13792">
        <w:rPr>
          <w:rFonts w:eastAsia="Calibri" w:cs="Verdana"/>
          <w:spacing w:val="-2"/>
          <w:sz w:val="20"/>
          <w:szCs w:val="20"/>
        </w:rPr>
        <w:t>Adicionalmente, el caso versa sobre la alegada falta de esclarecimiento judicial de los hechos, sanción de todos los responsables y reparación de las presuntas víctimas, así como sobre el presunto</w:t>
      </w:r>
      <w:r w:rsidRPr="00D13792">
        <w:rPr>
          <w:sz w:val="20"/>
          <w:szCs w:val="20"/>
        </w:rPr>
        <w:t xml:space="preserve"> genocidio contra el pueblo indígena maya en Guatemala</w:t>
      </w:r>
      <w:bookmarkEnd w:id="11"/>
      <w:r w:rsidRPr="00D13792">
        <w:rPr>
          <w:sz w:val="20"/>
          <w:szCs w:val="20"/>
        </w:rPr>
        <w:t xml:space="preserve">. </w:t>
      </w:r>
    </w:p>
    <w:p w:rsidR="006A0E1C" w:rsidRPr="00D13792" w:rsidRDefault="006A0E1C" w:rsidP="006A0E1C">
      <w:pPr>
        <w:tabs>
          <w:tab w:val="left" w:pos="567"/>
        </w:tabs>
        <w:spacing w:line="240" w:lineRule="auto"/>
        <w:ind w:right="4"/>
        <w:rPr>
          <w:rFonts w:eastAsia="Calibri" w:cs="Verdana"/>
          <w:spacing w:val="-2"/>
          <w:sz w:val="20"/>
          <w:szCs w:val="20"/>
        </w:rPr>
      </w:pPr>
    </w:p>
    <w:p w:rsidR="006A0E1C" w:rsidRPr="00D13792" w:rsidRDefault="006A0E1C" w:rsidP="006A0E1C">
      <w:pPr>
        <w:numPr>
          <w:ilvl w:val="0"/>
          <w:numId w:val="6"/>
        </w:numPr>
        <w:tabs>
          <w:tab w:val="left" w:pos="567"/>
        </w:tabs>
        <w:spacing w:line="240" w:lineRule="auto"/>
        <w:ind w:right="4"/>
        <w:rPr>
          <w:rFonts w:eastAsia="Calibri" w:cs="Verdana"/>
          <w:spacing w:val="-2"/>
          <w:sz w:val="20"/>
          <w:szCs w:val="20"/>
        </w:rPr>
      </w:pPr>
      <w:r w:rsidRPr="00D13792">
        <w:rPr>
          <w:rFonts w:eastAsia="Calibri" w:cs="Verdana"/>
          <w:i/>
          <w:iCs/>
          <w:spacing w:val="-2"/>
          <w:sz w:val="20"/>
          <w:szCs w:val="20"/>
        </w:rPr>
        <w:t xml:space="preserve">Trámite ante la Comisión. </w:t>
      </w:r>
      <w:r w:rsidRPr="00D13792">
        <w:rPr>
          <w:rFonts w:eastAsia="Calibri" w:cs="Verdana"/>
          <w:spacing w:val="-2"/>
          <w:sz w:val="20"/>
          <w:szCs w:val="20"/>
        </w:rPr>
        <w:t>– El trámite ante la Comisión fue el siguiente:</w:t>
      </w:r>
    </w:p>
    <w:p w:rsidR="006A0E1C" w:rsidRPr="00D13792" w:rsidRDefault="006A0E1C" w:rsidP="006A0E1C">
      <w:pPr>
        <w:tabs>
          <w:tab w:val="left" w:pos="567"/>
        </w:tabs>
        <w:spacing w:line="240" w:lineRule="auto"/>
        <w:ind w:right="4"/>
        <w:rPr>
          <w:rFonts w:eastAsia="Calibri" w:cs="Verdana"/>
          <w:spacing w:val="-2"/>
          <w:sz w:val="12"/>
          <w:szCs w:val="20"/>
        </w:rPr>
      </w:pPr>
    </w:p>
    <w:p w:rsidR="006A0E1C" w:rsidRPr="00D13792" w:rsidRDefault="006A0E1C" w:rsidP="006A0E1C">
      <w:pPr>
        <w:numPr>
          <w:ilvl w:val="1"/>
          <w:numId w:val="6"/>
        </w:numPr>
        <w:tabs>
          <w:tab w:val="clear" w:pos="1080"/>
          <w:tab w:val="left" w:pos="0"/>
          <w:tab w:val="num" w:pos="540"/>
        </w:tabs>
        <w:spacing w:line="240" w:lineRule="auto"/>
        <w:ind w:left="540"/>
        <w:rPr>
          <w:rFonts w:eastAsia="Calibri" w:cs="Verdana"/>
          <w:spacing w:val="-2"/>
          <w:sz w:val="20"/>
          <w:szCs w:val="20"/>
        </w:rPr>
      </w:pPr>
      <w:bookmarkStart w:id="12" w:name="_Ref357063312"/>
      <w:r w:rsidRPr="00D13792">
        <w:rPr>
          <w:rFonts w:eastAsia="Calibri" w:cs="Verdana"/>
          <w:i/>
          <w:iCs/>
          <w:spacing w:val="-2"/>
          <w:sz w:val="20"/>
          <w:szCs w:val="20"/>
        </w:rPr>
        <w:t xml:space="preserve">Petición. – </w:t>
      </w:r>
      <w:r w:rsidRPr="00D13792">
        <w:rPr>
          <w:rFonts w:cs="Tahoma"/>
          <w:spacing w:val="-2"/>
          <w:sz w:val="20"/>
          <w:szCs w:val="20"/>
        </w:rPr>
        <w:t>La petición inicial ante la Comisión fue presentada el 13 de diciembre de 2007 por la Asociación Bufete Jurídico Popular.</w:t>
      </w:r>
      <w:bookmarkEnd w:id="12"/>
    </w:p>
    <w:p w:rsidR="006A0E1C" w:rsidRPr="00D13792" w:rsidRDefault="006A0E1C" w:rsidP="006A0E1C">
      <w:pPr>
        <w:tabs>
          <w:tab w:val="left" w:pos="0"/>
          <w:tab w:val="num" w:pos="540"/>
          <w:tab w:val="num" w:pos="851"/>
        </w:tabs>
        <w:spacing w:line="240" w:lineRule="auto"/>
        <w:ind w:left="540" w:hanging="283"/>
        <w:rPr>
          <w:rFonts w:eastAsia="Calibri" w:cs="Verdana"/>
          <w:spacing w:val="-2"/>
          <w:sz w:val="12"/>
          <w:szCs w:val="20"/>
        </w:rPr>
      </w:pPr>
    </w:p>
    <w:p w:rsidR="006A0E1C" w:rsidRPr="00D13792" w:rsidRDefault="006A0E1C" w:rsidP="006A0E1C">
      <w:pPr>
        <w:numPr>
          <w:ilvl w:val="1"/>
          <w:numId w:val="6"/>
        </w:numPr>
        <w:tabs>
          <w:tab w:val="clear" w:pos="1080"/>
          <w:tab w:val="left" w:pos="0"/>
          <w:tab w:val="num" w:pos="540"/>
        </w:tabs>
        <w:spacing w:line="240" w:lineRule="auto"/>
        <w:ind w:left="540"/>
        <w:rPr>
          <w:rFonts w:eastAsia="Calibri" w:cs="Verdana"/>
          <w:spacing w:val="-2"/>
          <w:sz w:val="20"/>
          <w:szCs w:val="20"/>
        </w:rPr>
      </w:pPr>
      <w:r w:rsidRPr="00D13792">
        <w:rPr>
          <w:rFonts w:eastAsia="Calibri" w:cs="Verdana"/>
          <w:i/>
          <w:iCs/>
          <w:spacing w:val="-2"/>
          <w:sz w:val="20"/>
          <w:szCs w:val="20"/>
        </w:rPr>
        <w:t>Informe de Admisibilidad. -</w:t>
      </w:r>
      <w:r w:rsidRPr="00D13792">
        <w:rPr>
          <w:rFonts w:eastAsia="Calibri" w:cs="Verdana"/>
          <w:spacing w:val="-2"/>
          <w:sz w:val="20"/>
          <w:szCs w:val="20"/>
        </w:rPr>
        <w:t xml:space="preserve"> El 1 de noviembre de 2010 la Comisión aprobó el Informe de Admisibilidad No. 144/10</w:t>
      </w:r>
      <w:r w:rsidRPr="00D13792">
        <w:rPr>
          <w:rStyle w:val="FootnoteReference"/>
          <w:rFonts w:eastAsia="Calibri" w:cs="Verdana"/>
          <w:spacing w:val="-2"/>
          <w:sz w:val="20"/>
          <w:szCs w:val="20"/>
        </w:rPr>
        <w:footnoteReference w:id="2"/>
      </w:r>
      <w:r w:rsidRPr="00D13792">
        <w:rPr>
          <w:rFonts w:eastAsia="Calibri" w:cs="Verdana"/>
          <w:spacing w:val="-2"/>
          <w:sz w:val="20"/>
          <w:szCs w:val="20"/>
        </w:rPr>
        <w:t xml:space="preserve">. </w:t>
      </w:r>
    </w:p>
    <w:p w:rsidR="006A0E1C" w:rsidRPr="00D13792" w:rsidRDefault="006A0E1C" w:rsidP="006A0E1C">
      <w:pPr>
        <w:tabs>
          <w:tab w:val="num" w:pos="540"/>
          <w:tab w:val="num" w:pos="851"/>
        </w:tabs>
        <w:spacing w:line="240" w:lineRule="auto"/>
        <w:ind w:left="540" w:hanging="283"/>
        <w:rPr>
          <w:rFonts w:eastAsia="Calibri" w:cs="Verdana"/>
          <w:i/>
          <w:iCs/>
          <w:spacing w:val="-2"/>
          <w:sz w:val="12"/>
          <w:szCs w:val="20"/>
        </w:rPr>
      </w:pPr>
    </w:p>
    <w:p w:rsidR="006A0E1C" w:rsidRPr="00D13792" w:rsidRDefault="006A0E1C" w:rsidP="006A0E1C">
      <w:pPr>
        <w:numPr>
          <w:ilvl w:val="1"/>
          <w:numId w:val="6"/>
        </w:numPr>
        <w:tabs>
          <w:tab w:val="clear" w:pos="1080"/>
          <w:tab w:val="left" w:pos="0"/>
          <w:tab w:val="num" w:pos="540"/>
        </w:tabs>
        <w:spacing w:line="240" w:lineRule="auto"/>
        <w:ind w:left="540"/>
        <w:rPr>
          <w:rFonts w:eastAsia="Calibri" w:cs="Verdana"/>
          <w:spacing w:val="-2"/>
          <w:sz w:val="20"/>
          <w:szCs w:val="20"/>
        </w:rPr>
      </w:pPr>
      <w:r w:rsidRPr="00D13792">
        <w:rPr>
          <w:rFonts w:eastAsia="Calibri" w:cs="Verdana"/>
          <w:i/>
          <w:iCs/>
          <w:spacing w:val="-2"/>
          <w:sz w:val="20"/>
          <w:szCs w:val="20"/>
        </w:rPr>
        <w:t xml:space="preserve">Informe de Fondo. – </w:t>
      </w:r>
      <w:r w:rsidRPr="00D13792">
        <w:rPr>
          <w:rFonts w:eastAsia="Calibri" w:cs="Verdana"/>
          <w:iCs/>
          <w:spacing w:val="-2"/>
          <w:sz w:val="20"/>
          <w:szCs w:val="20"/>
        </w:rPr>
        <w:t>El</w:t>
      </w:r>
      <w:r w:rsidRPr="00D13792">
        <w:rPr>
          <w:rFonts w:eastAsia="Calibri" w:cs="Verdana"/>
          <w:i/>
          <w:iCs/>
          <w:spacing w:val="-2"/>
          <w:sz w:val="20"/>
          <w:szCs w:val="20"/>
        </w:rPr>
        <w:t xml:space="preserve"> </w:t>
      </w:r>
      <w:r w:rsidRPr="00D13792">
        <w:rPr>
          <w:rFonts w:eastAsia="Calibri" w:cs="Verdana"/>
          <w:spacing w:val="-2"/>
          <w:sz w:val="20"/>
          <w:szCs w:val="20"/>
        </w:rPr>
        <w:t>2 de abril de 2014 la Comisión aprobó el Informe de Fondo No. 6/14</w:t>
      </w:r>
      <w:r w:rsidRPr="00D13792">
        <w:rPr>
          <w:rStyle w:val="FootnoteReference"/>
          <w:rFonts w:eastAsia="Calibri" w:cs="Verdana"/>
          <w:spacing w:val="-2"/>
          <w:sz w:val="20"/>
          <w:szCs w:val="20"/>
        </w:rPr>
        <w:footnoteReference w:id="3"/>
      </w:r>
      <w:r w:rsidRPr="00D13792">
        <w:rPr>
          <w:rFonts w:eastAsia="Calibri" w:cs="Verdana"/>
          <w:b/>
          <w:spacing w:val="-2"/>
          <w:sz w:val="20"/>
          <w:szCs w:val="20"/>
        </w:rPr>
        <w:t xml:space="preserve"> </w:t>
      </w:r>
      <w:r w:rsidRPr="00D13792">
        <w:rPr>
          <w:rFonts w:eastAsia="Calibri" w:cs="Verdana"/>
          <w:spacing w:val="-2"/>
          <w:sz w:val="20"/>
          <w:szCs w:val="20"/>
        </w:rPr>
        <w:t>conforme al artículo 50 de la Convención (en adelante “el Informe de Fondo”),</w:t>
      </w:r>
      <w:r w:rsidRPr="00D13792">
        <w:rPr>
          <w:rFonts w:eastAsia="Calibri" w:cs="Verdana"/>
          <w:b/>
          <w:bCs/>
          <w:spacing w:val="-2"/>
          <w:sz w:val="20"/>
          <w:szCs w:val="20"/>
        </w:rPr>
        <w:t xml:space="preserve"> </w:t>
      </w:r>
      <w:r w:rsidRPr="00D13792">
        <w:rPr>
          <w:rFonts w:eastAsia="Calibri" w:cs="Verdana"/>
          <w:spacing w:val="-2"/>
          <w:sz w:val="20"/>
          <w:szCs w:val="20"/>
        </w:rPr>
        <w:t>en el cual llegó a una serie de conclusiones y formuló varias recomendaciones al Estado:</w:t>
      </w:r>
    </w:p>
    <w:p w:rsidR="006A0E1C" w:rsidRPr="00D13792" w:rsidRDefault="006A0E1C" w:rsidP="006A0E1C">
      <w:pPr>
        <w:tabs>
          <w:tab w:val="num" w:pos="540"/>
          <w:tab w:val="left" w:pos="567"/>
          <w:tab w:val="num" w:pos="851"/>
        </w:tabs>
        <w:spacing w:line="240" w:lineRule="auto"/>
        <w:ind w:left="540"/>
        <w:rPr>
          <w:rFonts w:eastAsia="Calibri" w:cs="Verdana"/>
          <w:spacing w:val="-2"/>
          <w:sz w:val="14"/>
          <w:szCs w:val="20"/>
        </w:rPr>
      </w:pPr>
    </w:p>
    <w:p w:rsidR="006A0E1C" w:rsidRPr="00D13792" w:rsidRDefault="006A0E1C" w:rsidP="006A0E1C">
      <w:pPr>
        <w:numPr>
          <w:ilvl w:val="2"/>
          <w:numId w:val="0"/>
        </w:numPr>
        <w:tabs>
          <w:tab w:val="num" w:pos="540"/>
          <w:tab w:val="num" w:pos="851"/>
        </w:tabs>
        <w:spacing w:line="240" w:lineRule="auto"/>
        <w:ind w:left="540" w:right="6"/>
        <w:rPr>
          <w:sz w:val="20"/>
          <w:szCs w:val="20"/>
        </w:rPr>
      </w:pPr>
      <w:r w:rsidRPr="00D13792">
        <w:rPr>
          <w:rFonts w:eastAsia="Batang" w:cs="Verdana"/>
          <w:i/>
          <w:iCs/>
          <w:spacing w:val="-2"/>
          <w:sz w:val="20"/>
          <w:szCs w:val="20"/>
        </w:rPr>
        <w:t xml:space="preserve">Conclusiones. - </w:t>
      </w:r>
      <w:r w:rsidRPr="00D13792">
        <w:rPr>
          <w:sz w:val="20"/>
          <w:szCs w:val="20"/>
        </w:rPr>
        <w:t xml:space="preserve">La Comisión concluyó que el Estado era responsable por la violación de los derechos establecidos en los artículos 3, 4, 5, 7, 8, 11, 12, 16, 17, 19, 21, 22, 23, 24 y 25 de la Convención Americana, en relación con las obligaciones establecidas en el artículo 1.1 del mismo instrumento; del artículo I de la Convención Interamericana sobre Desaparición Forzada de Personas, y del artículo 7 de la Convención Interamericana para Prevenir, Sancionar y Erradicar la Violencia contra la Mujer, en perjuicio de las presuntas víctimas del presente caso. </w:t>
      </w:r>
    </w:p>
    <w:p w:rsidR="006A0E1C" w:rsidRPr="00D13792" w:rsidRDefault="006A0E1C" w:rsidP="006A0E1C">
      <w:pPr>
        <w:numPr>
          <w:ilvl w:val="2"/>
          <w:numId w:val="0"/>
        </w:numPr>
        <w:tabs>
          <w:tab w:val="num" w:pos="540"/>
          <w:tab w:val="num" w:pos="851"/>
        </w:tabs>
        <w:spacing w:line="240" w:lineRule="auto"/>
        <w:ind w:left="540" w:right="6"/>
        <w:rPr>
          <w:rFonts w:eastAsia="Batang" w:cs="Verdana"/>
          <w:spacing w:val="-2"/>
          <w:sz w:val="12"/>
          <w:szCs w:val="20"/>
        </w:rPr>
      </w:pPr>
    </w:p>
    <w:p w:rsidR="006A0E1C" w:rsidRPr="00D13792" w:rsidRDefault="006A0E1C" w:rsidP="006A0E1C">
      <w:pPr>
        <w:numPr>
          <w:ilvl w:val="2"/>
          <w:numId w:val="0"/>
        </w:numPr>
        <w:tabs>
          <w:tab w:val="num" w:pos="540"/>
          <w:tab w:val="num" w:pos="851"/>
        </w:tabs>
        <w:spacing w:line="240" w:lineRule="auto"/>
        <w:ind w:left="540" w:right="6"/>
        <w:rPr>
          <w:rFonts w:eastAsia="Batang" w:cs="Verdana"/>
          <w:spacing w:val="-2"/>
          <w:sz w:val="20"/>
          <w:szCs w:val="20"/>
        </w:rPr>
      </w:pPr>
      <w:r w:rsidRPr="00D13792">
        <w:rPr>
          <w:rFonts w:eastAsia="Batang" w:cs="Verdana"/>
          <w:i/>
          <w:iCs/>
          <w:spacing w:val="-2"/>
          <w:sz w:val="20"/>
          <w:szCs w:val="20"/>
        </w:rPr>
        <w:t xml:space="preserve">Recomendaciones. - </w:t>
      </w:r>
      <w:r w:rsidRPr="00D13792">
        <w:rPr>
          <w:rFonts w:eastAsia="Batang" w:cs="Verdana"/>
          <w:spacing w:val="-2"/>
          <w:sz w:val="20"/>
          <w:szCs w:val="20"/>
        </w:rPr>
        <w:t>En consecuencia, la Comisión hizo al Estado las siguientes recomendaciones:</w:t>
      </w:r>
      <w:r w:rsidRPr="00D13792">
        <w:rPr>
          <w:rFonts w:eastAsia="Calibri" w:cs="Verdana"/>
          <w:b/>
          <w:spacing w:val="-2"/>
          <w:sz w:val="20"/>
          <w:szCs w:val="20"/>
        </w:rPr>
        <w:t xml:space="preserve"> </w:t>
      </w:r>
    </w:p>
    <w:p w:rsidR="006A0E1C" w:rsidRPr="00D13792" w:rsidRDefault="006A0E1C" w:rsidP="006A0E1C">
      <w:pPr>
        <w:numPr>
          <w:ilvl w:val="2"/>
          <w:numId w:val="0"/>
        </w:numPr>
        <w:spacing w:line="240" w:lineRule="auto"/>
        <w:ind w:left="1276" w:right="6"/>
        <w:rPr>
          <w:rFonts w:eastAsia="Batang" w:cs="Verdana"/>
          <w:spacing w:val="-2"/>
          <w:sz w:val="12"/>
          <w:szCs w:val="20"/>
        </w:rPr>
      </w:pPr>
    </w:p>
    <w:p w:rsidR="006A0E1C" w:rsidRPr="00D13792" w:rsidRDefault="006A0E1C" w:rsidP="006A0E1C">
      <w:pPr>
        <w:pStyle w:val="ColorfulShading-Accent31"/>
        <w:numPr>
          <w:ilvl w:val="0"/>
          <w:numId w:val="5"/>
        </w:numPr>
        <w:spacing w:line="240" w:lineRule="auto"/>
        <w:ind w:left="540" w:firstLine="0"/>
        <w:rPr>
          <w:rFonts w:eastAsia="Calibri" w:cs="Arial"/>
          <w:spacing w:val="-2"/>
          <w:sz w:val="16"/>
          <w:lang w:val="es-CR" w:eastAsia="en-US"/>
        </w:rPr>
      </w:pPr>
      <w:r w:rsidRPr="00D13792">
        <w:rPr>
          <w:rFonts w:eastAsia="Calibri" w:cs="Arial"/>
          <w:spacing w:val="-2"/>
          <w:sz w:val="16"/>
          <w:lang w:val="es-CR" w:eastAsia="en-US"/>
        </w:rPr>
        <w:t xml:space="preserve"> Reparar adecuadamente en el ámbito individual y colectivo las violaciones de derechos humanos declaradas en el presente informe en el aspecto material, moral y cultural, incluyendo una justa compensación, el establecimiento y difusión de la verdad histórica de los hechos, la recuperación de la memoria de las víctimas fallecidas y desaparecidas, la implementación de un programa de atención psicosocial culturalmente adecuado a los sobrevivientes y familiares de las víctimas ejecutadas y desaparecidas. Las reparaciones de carácter colectivo deberán ser plenamente consensuadas con los sobrevivientes de la aldea Chichupac y comunidades vecinas con la finalidad de reestablecer su vida comunitaria como parte del pueblo maya achí, y el particular vínculo con sus tierras.</w:t>
      </w:r>
    </w:p>
    <w:p w:rsidR="006A0E1C" w:rsidRPr="00D13792" w:rsidRDefault="006A0E1C" w:rsidP="006A0E1C">
      <w:pPr>
        <w:pStyle w:val="ColorfulShading-Accent31"/>
        <w:spacing w:line="240" w:lineRule="auto"/>
        <w:ind w:left="540"/>
        <w:rPr>
          <w:rFonts w:eastAsia="Calibri" w:cs="Arial"/>
          <w:spacing w:val="-2"/>
          <w:sz w:val="12"/>
          <w:lang w:val="es-CR" w:eastAsia="en-US"/>
        </w:rPr>
      </w:pPr>
    </w:p>
    <w:p w:rsidR="006A0E1C" w:rsidRPr="00D13792" w:rsidRDefault="006A0E1C" w:rsidP="006A0E1C">
      <w:pPr>
        <w:pStyle w:val="ColorfulShading-Accent31"/>
        <w:numPr>
          <w:ilvl w:val="0"/>
          <w:numId w:val="5"/>
        </w:numPr>
        <w:spacing w:line="240" w:lineRule="auto"/>
        <w:ind w:left="540" w:firstLine="0"/>
        <w:rPr>
          <w:rFonts w:eastAsia="Calibri" w:cs="Arial"/>
          <w:spacing w:val="-2"/>
          <w:sz w:val="16"/>
          <w:lang w:val="es-CR" w:eastAsia="en-US"/>
        </w:rPr>
      </w:pPr>
      <w:r w:rsidRPr="00D13792">
        <w:rPr>
          <w:rFonts w:eastAsia="Calibri" w:cs="Arial"/>
          <w:spacing w:val="-2"/>
          <w:sz w:val="16"/>
          <w:lang w:val="es-CR" w:eastAsia="en-US"/>
        </w:rPr>
        <w:t xml:space="preserve"> Establecer un mecanismo que permita en la mayor medida posible, la identificación completa de las víctimas ejecutadas en el presente caso y proveer lo necesario para dar continuidad a la identificación y devolución de los </w:t>
      </w:r>
      <w:r w:rsidRPr="00D13792">
        <w:rPr>
          <w:rFonts w:eastAsia="Calibri" w:cs="Arial"/>
          <w:spacing w:val="-2"/>
          <w:sz w:val="16"/>
          <w:lang w:val="es-CR" w:eastAsia="en-US"/>
        </w:rPr>
        <w:lastRenderedPageBreak/>
        <w:t>restos mortales de dichas víctimas.</w:t>
      </w:r>
    </w:p>
    <w:p w:rsidR="006A0E1C" w:rsidRPr="00D13792" w:rsidRDefault="006A0E1C" w:rsidP="006A0E1C">
      <w:pPr>
        <w:pStyle w:val="ColorfulShading-Accent31"/>
        <w:spacing w:line="240" w:lineRule="auto"/>
        <w:ind w:left="540"/>
        <w:rPr>
          <w:rFonts w:eastAsia="Calibri" w:cs="Arial"/>
          <w:spacing w:val="-2"/>
          <w:sz w:val="12"/>
          <w:lang w:val="es-CR" w:eastAsia="en-US"/>
        </w:rPr>
      </w:pPr>
    </w:p>
    <w:p w:rsidR="006A0E1C" w:rsidRPr="00D13792" w:rsidRDefault="006A0E1C" w:rsidP="006A0E1C">
      <w:pPr>
        <w:pStyle w:val="ColorfulShading-Accent31"/>
        <w:numPr>
          <w:ilvl w:val="0"/>
          <w:numId w:val="5"/>
        </w:numPr>
        <w:spacing w:line="240" w:lineRule="auto"/>
        <w:ind w:left="540" w:firstLine="0"/>
        <w:rPr>
          <w:rFonts w:eastAsia="Calibri" w:cs="Arial"/>
          <w:spacing w:val="-2"/>
          <w:sz w:val="16"/>
          <w:lang w:val="es-CR" w:eastAsia="en-US"/>
        </w:rPr>
      </w:pPr>
      <w:r w:rsidRPr="00D13792">
        <w:rPr>
          <w:rFonts w:eastAsia="Calibri" w:cs="Arial"/>
          <w:spacing w:val="-2"/>
          <w:sz w:val="16"/>
          <w:lang w:val="es-CR" w:eastAsia="en-US"/>
        </w:rPr>
        <w:t xml:space="preserve"> Establecer un mecanismo que permita la determinación de las personas desaparecidas en las masacres, así como respecto de las sobrevivientes de las mismas.</w:t>
      </w:r>
    </w:p>
    <w:p w:rsidR="006A0E1C" w:rsidRPr="00D13792" w:rsidRDefault="006A0E1C" w:rsidP="006A0E1C">
      <w:pPr>
        <w:pStyle w:val="MediumGrid1-Accent21"/>
        <w:spacing w:line="240" w:lineRule="auto"/>
        <w:ind w:left="540"/>
        <w:rPr>
          <w:rFonts w:eastAsia="Calibri" w:cs="Arial"/>
          <w:spacing w:val="-2"/>
          <w:sz w:val="12"/>
          <w:szCs w:val="20"/>
          <w:lang w:eastAsia="en-US"/>
        </w:rPr>
      </w:pPr>
    </w:p>
    <w:p w:rsidR="006A0E1C" w:rsidRPr="00D13792" w:rsidRDefault="006A0E1C" w:rsidP="006A0E1C">
      <w:pPr>
        <w:pStyle w:val="ColorfulShading-Accent31"/>
        <w:numPr>
          <w:ilvl w:val="0"/>
          <w:numId w:val="5"/>
        </w:numPr>
        <w:spacing w:line="240" w:lineRule="auto"/>
        <w:ind w:left="540" w:firstLine="0"/>
        <w:rPr>
          <w:rFonts w:eastAsia="Calibri" w:cs="Arial"/>
          <w:spacing w:val="-2"/>
          <w:sz w:val="16"/>
          <w:lang w:val="es-CR" w:eastAsia="en-US"/>
        </w:rPr>
      </w:pPr>
      <w:r w:rsidRPr="00D13792">
        <w:rPr>
          <w:rFonts w:eastAsia="Calibri" w:cs="Arial"/>
          <w:spacing w:val="-2"/>
          <w:sz w:val="16"/>
          <w:lang w:val="es-CR" w:eastAsia="en-US"/>
        </w:rPr>
        <w:t xml:space="preserve"> Localizar y entregar a la familia los restos mortales de las víctimas desaparecidas. </w:t>
      </w:r>
    </w:p>
    <w:p w:rsidR="006A0E1C" w:rsidRPr="00D13792" w:rsidRDefault="006A0E1C" w:rsidP="006A0E1C">
      <w:pPr>
        <w:pStyle w:val="MediumGrid1-Accent21"/>
        <w:spacing w:line="240" w:lineRule="auto"/>
        <w:ind w:left="540"/>
        <w:rPr>
          <w:rFonts w:eastAsia="Calibri" w:cs="Arial"/>
          <w:spacing w:val="-2"/>
          <w:sz w:val="12"/>
          <w:szCs w:val="20"/>
          <w:lang w:eastAsia="en-US"/>
        </w:rPr>
      </w:pPr>
    </w:p>
    <w:p w:rsidR="006A0E1C" w:rsidRPr="00D13792" w:rsidRDefault="006A0E1C" w:rsidP="006A0E1C">
      <w:pPr>
        <w:pStyle w:val="ColorfulShading-Accent31"/>
        <w:widowControl/>
        <w:numPr>
          <w:ilvl w:val="0"/>
          <w:numId w:val="5"/>
        </w:numPr>
        <w:autoSpaceDE w:val="0"/>
        <w:autoSpaceDN w:val="0"/>
        <w:spacing w:line="240" w:lineRule="auto"/>
        <w:ind w:left="540" w:firstLine="0"/>
        <w:textAlignment w:val="auto"/>
        <w:rPr>
          <w:rFonts w:eastAsia="Calibri" w:cs="Arial"/>
          <w:spacing w:val="-2"/>
          <w:sz w:val="16"/>
          <w:lang w:val="es-CR" w:eastAsia="en-US"/>
        </w:rPr>
      </w:pPr>
      <w:r w:rsidRPr="00D13792">
        <w:rPr>
          <w:rFonts w:eastAsia="Calibri" w:cs="Arial"/>
          <w:spacing w:val="-2"/>
          <w:sz w:val="16"/>
          <w:lang w:val="es-CR" w:eastAsia="en-US"/>
        </w:rPr>
        <w:t xml:space="preserve"> Establecer un mecanismo que facilite la identificación completa de los familiares de las víctimas ejecutadas y desaparecidas, de manera que puedan ser beneficiarios de las reparaciones.</w:t>
      </w:r>
    </w:p>
    <w:p w:rsidR="006A0E1C" w:rsidRPr="00D13792" w:rsidRDefault="006A0E1C" w:rsidP="006A0E1C">
      <w:pPr>
        <w:pStyle w:val="MediumGrid1-Accent21"/>
        <w:spacing w:line="240" w:lineRule="auto"/>
        <w:ind w:left="540"/>
        <w:rPr>
          <w:rFonts w:eastAsia="Calibri" w:cs="Arial"/>
          <w:spacing w:val="-2"/>
          <w:sz w:val="12"/>
          <w:szCs w:val="20"/>
          <w:lang w:eastAsia="en-US"/>
        </w:rPr>
      </w:pPr>
    </w:p>
    <w:p w:rsidR="006A0E1C" w:rsidRPr="00D13792" w:rsidRDefault="006A0E1C" w:rsidP="006A0E1C">
      <w:pPr>
        <w:pStyle w:val="ColorfulShading-Accent31"/>
        <w:widowControl/>
        <w:numPr>
          <w:ilvl w:val="0"/>
          <w:numId w:val="5"/>
        </w:numPr>
        <w:autoSpaceDE w:val="0"/>
        <w:autoSpaceDN w:val="0"/>
        <w:spacing w:line="240" w:lineRule="auto"/>
        <w:ind w:left="540" w:firstLine="0"/>
        <w:textAlignment w:val="auto"/>
        <w:rPr>
          <w:rFonts w:eastAsia="Calibri" w:cs="Arial"/>
          <w:spacing w:val="-2"/>
          <w:sz w:val="16"/>
          <w:lang w:val="es-CR" w:eastAsia="en-US"/>
        </w:rPr>
      </w:pPr>
      <w:r w:rsidRPr="00D13792">
        <w:rPr>
          <w:rFonts w:eastAsia="Calibri" w:cs="Arial"/>
          <w:spacing w:val="-2"/>
          <w:sz w:val="16"/>
          <w:lang w:val="es-CR" w:eastAsia="en-US"/>
        </w:rPr>
        <w:t xml:space="preserve"> Llevar a cabo, concluir y reabrir, según corresponda, los procedimientos internos relacionados con las violaciones de derechos humanos declaradas en el presente informe y conducir las investigaciones de manera imparcial, efectiva y dentro de un plazo razonable con el objeto de esclarecer hechos en forma completa, identificar a los autores intelectuales y materiales e imponer las sanciones que correspondan.</w:t>
      </w:r>
    </w:p>
    <w:p w:rsidR="006A0E1C" w:rsidRPr="00D13792" w:rsidRDefault="006A0E1C" w:rsidP="006A0E1C">
      <w:pPr>
        <w:pStyle w:val="MediumGrid1-Accent21"/>
        <w:spacing w:line="240" w:lineRule="auto"/>
        <w:ind w:left="540"/>
        <w:rPr>
          <w:rFonts w:eastAsia="Calibri" w:cs="Arial"/>
          <w:spacing w:val="-2"/>
          <w:sz w:val="12"/>
          <w:szCs w:val="20"/>
          <w:lang w:eastAsia="en-US"/>
        </w:rPr>
      </w:pPr>
    </w:p>
    <w:p w:rsidR="006A0E1C" w:rsidRPr="00D13792" w:rsidRDefault="006A0E1C" w:rsidP="006A0E1C">
      <w:pPr>
        <w:pStyle w:val="ColorfulShading-Accent31"/>
        <w:widowControl/>
        <w:numPr>
          <w:ilvl w:val="0"/>
          <w:numId w:val="5"/>
        </w:numPr>
        <w:autoSpaceDE w:val="0"/>
        <w:autoSpaceDN w:val="0"/>
        <w:spacing w:line="240" w:lineRule="auto"/>
        <w:ind w:left="540" w:firstLine="0"/>
        <w:textAlignment w:val="auto"/>
        <w:rPr>
          <w:rFonts w:eastAsia="Calibri" w:cs="Arial"/>
          <w:spacing w:val="-2"/>
          <w:sz w:val="16"/>
          <w:lang w:val="es-CR" w:eastAsia="en-US"/>
        </w:rPr>
      </w:pPr>
      <w:r w:rsidRPr="00D13792">
        <w:rPr>
          <w:rFonts w:eastAsia="Calibri" w:cs="Arial"/>
          <w:spacing w:val="-2"/>
          <w:sz w:val="16"/>
          <w:lang w:val="es-CR" w:eastAsia="en-US"/>
        </w:rPr>
        <w:t xml:space="preserve"> Fortalecer la capacidad del poder judicial de investigar de forma adecuada y eficiente los hechos y sancionar a los responsables incluso con los recursos materiales y técnicos necesarios para asegurar el correcto desarrollo de los procesos.</w:t>
      </w:r>
    </w:p>
    <w:p w:rsidR="006A0E1C" w:rsidRPr="00D13792" w:rsidRDefault="006A0E1C" w:rsidP="006A0E1C">
      <w:pPr>
        <w:pStyle w:val="MediumGrid1-Accent21"/>
        <w:spacing w:line="240" w:lineRule="auto"/>
        <w:ind w:left="540"/>
        <w:rPr>
          <w:rFonts w:eastAsia="Calibri" w:cs="Arial"/>
          <w:spacing w:val="-2"/>
          <w:sz w:val="12"/>
          <w:szCs w:val="20"/>
          <w:lang w:eastAsia="en-US"/>
        </w:rPr>
      </w:pPr>
    </w:p>
    <w:p w:rsidR="006A0E1C" w:rsidRPr="00D13792" w:rsidRDefault="006A0E1C" w:rsidP="006A0E1C">
      <w:pPr>
        <w:pStyle w:val="ColorfulShading-Accent31"/>
        <w:widowControl/>
        <w:numPr>
          <w:ilvl w:val="0"/>
          <w:numId w:val="5"/>
        </w:numPr>
        <w:autoSpaceDE w:val="0"/>
        <w:autoSpaceDN w:val="0"/>
        <w:spacing w:line="240" w:lineRule="auto"/>
        <w:ind w:left="540" w:firstLine="0"/>
        <w:textAlignment w:val="auto"/>
        <w:rPr>
          <w:rFonts w:eastAsia="Calibri" w:cs="Arial"/>
          <w:spacing w:val="-2"/>
          <w:sz w:val="16"/>
          <w:lang w:val="es-CR" w:eastAsia="en-US"/>
        </w:rPr>
      </w:pPr>
      <w:r w:rsidRPr="00D13792">
        <w:rPr>
          <w:rFonts w:eastAsia="Calibri" w:cs="Arial"/>
          <w:spacing w:val="-2"/>
          <w:sz w:val="16"/>
          <w:lang w:val="es-CR" w:eastAsia="en-US"/>
        </w:rPr>
        <w:t xml:space="preserve"> Disponer las medidas administrativas, disciplinarias o penales correspondientes frente a las acciones u omisiones de los funcionarios estatales que han contribuido a la denegación de justicia e impunidad en la que se encuentran los hechos del caso o que participaron en medidas para obstaculizar los procesos destinados a identificar y sancionar a los responsables.</w:t>
      </w:r>
    </w:p>
    <w:p w:rsidR="006A0E1C" w:rsidRPr="00D13792" w:rsidRDefault="006A0E1C" w:rsidP="006A0E1C">
      <w:pPr>
        <w:pStyle w:val="MediumGrid1-Accent21"/>
        <w:spacing w:line="240" w:lineRule="auto"/>
        <w:ind w:left="540"/>
        <w:rPr>
          <w:rFonts w:eastAsia="Calibri" w:cs="Arial"/>
          <w:spacing w:val="-2"/>
          <w:sz w:val="12"/>
          <w:szCs w:val="20"/>
          <w:lang w:eastAsia="en-US"/>
        </w:rPr>
      </w:pPr>
    </w:p>
    <w:p w:rsidR="006A0E1C" w:rsidRPr="00D13792" w:rsidRDefault="006A0E1C" w:rsidP="006A0E1C">
      <w:pPr>
        <w:pStyle w:val="ColorfulShading-Accent31"/>
        <w:widowControl/>
        <w:numPr>
          <w:ilvl w:val="0"/>
          <w:numId w:val="5"/>
        </w:numPr>
        <w:autoSpaceDE w:val="0"/>
        <w:autoSpaceDN w:val="0"/>
        <w:spacing w:line="240" w:lineRule="auto"/>
        <w:ind w:left="540" w:firstLine="0"/>
        <w:textAlignment w:val="auto"/>
        <w:rPr>
          <w:rFonts w:eastAsia="Calibri" w:cs="Arial"/>
          <w:spacing w:val="-2"/>
          <w:sz w:val="16"/>
          <w:lang w:val="es-CR" w:eastAsia="en-US"/>
        </w:rPr>
      </w:pPr>
      <w:r w:rsidRPr="00D13792">
        <w:rPr>
          <w:rFonts w:eastAsia="Calibri" w:cs="Arial"/>
          <w:spacing w:val="-2"/>
          <w:sz w:val="16"/>
          <w:lang w:val="es-CR" w:eastAsia="en-US"/>
        </w:rPr>
        <w:t xml:space="preserve"> Adoptar las medidas necesarias para evitar que en el futuro se produzcan hechos similares, conforme al deber de prevención y garantía de los derechos humanos reconocidos en la Convención Americana. En particular, implementar programas permanentes de derechos humanos y derecho internacional humanitario en las escuelas de formación de las Fuerzas Armadas.</w:t>
      </w:r>
    </w:p>
    <w:p w:rsidR="006A0E1C" w:rsidRPr="00D13792" w:rsidRDefault="006A0E1C" w:rsidP="006A0E1C">
      <w:pPr>
        <w:pStyle w:val="ColorfulShading-Accent31"/>
        <w:widowControl/>
        <w:autoSpaceDE w:val="0"/>
        <w:autoSpaceDN w:val="0"/>
        <w:spacing w:line="240" w:lineRule="auto"/>
        <w:ind w:left="1418" w:hanging="284"/>
        <w:textAlignment w:val="auto"/>
        <w:rPr>
          <w:rFonts w:eastAsia="Calibri" w:cs="Arial"/>
          <w:spacing w:val="-2"/>
          <w:sz w:val="16"/>
          <w:lang w:val="es-CR" w:eastAsia="en-US"/>
        </w:rPr>
      </w:pPr>
    </w:p>
    <w:p w:rsidR="006A0E1C" w:rsidRPr="00D13792" w:rsidRDefault="006A0E1C" w:rsidP="006A0E1C">
      <w:pPr>
        <w:numPr>
          <w:ilvl w:val="1"/>
          <w:numId w:val="6"/>
        </w:numPr>
        <w:tabs>
          <w:tab w:val="clear" w:pos="1080"/>
          <w:tab w:val="left" w:pos="0"/>
          <w:tab w:val="num" w:pos="540"/>
        </w:tabs>
        <w:spacing w:line="240" w:lineRule="auto"/>
        <w:ind w:left="540"/>
        <w:rPr>
          <w:rFonts w:eastAsia="Calibri" w:cs="Verdana"/>
          <w:spacing w:val="-2"/>
          <w:sz w:val="20"/>
          <w:szCs w:val="20"/>
        </w:rPr>
      </w:pPr>
      <w:r w:rsidRPr="00D13792">
        <w:rPr>
          <w:rFonts w:eastAsia="Calibri" w:cs="Verdana"/>
          <w:i/>
          <w:iCs/>
          <w:spacing w:val="-2"/>
          <w:sz w:val="20"/>
          <w:szCs w:val="20"/>
        </w:rPr>
        <w:t xml:space="preserve">Notificación al Estado. </w:t>
      </w:r>
      <w:r w:rsidRPr="00D13792">
        <w:rPr>
          <w:rFonts w:eastAsia="Calibri" w:cs="Verdana"/>
          <w:spacing w:val="-2"/>
          <w:sz w:val="20"/>
          <w:szCs w:val="20"/>
        </w:rPr>
        <w:t xml:space="preserve">- El Informe de Fondo fue notificado al Estado el 5 de mayo de 2014, otorgándosele un plazo de dos meses para informar sobre el cumplimiento de las recomendaciones. Guatemala presentó un informe mediante el cual “indicó en términos generales la existencia del Programa Nacional de Resarcimiento y el funcionamiento del Instituto Nacional de Ciencias Forenses, sin precisar los mecanismos concretos implementados para reparar a las víctimas, sobrevivientes y familiares del presente caso, así como lograr la identificación de los restos mortales. […I]ndicó que las [investigaciones] continuarían e invocó la Ley de Reconciliación Nacional, precisando que el Estado no puede desconocer el marco normativo interno. [Según la Comisión, e]l Estado no solicitó una prórroga para cumplir con las recomendaciones”. </w:t>
      </w:r>
    </w:p>
    <w:p w:rsidR="006A0E1C" w:rsidRPr="00D13792" w:rsidRDefault="006A0E1C" w:rsidP="006A0E1C">
      <w:pPr>
        <w:tabs>
          <w:tab w:val="left" w:pos="0"/>
          <w:tab w:val="num" w:pos="567"/>
        </w:tabs>
        <w:spacing w:line="240" w:lineRule="auto"/>
        <w:ind w:left="851" w:hanging="283"/>
        <w:rPr>
          <w:rFonts w:eastAsia="Calibri" w:cs="Verdana"/>
          <w:spacing w:val="-2"/>
          <w:sz w:val="12"/>
          <w:szCs w:val="20"/>
        </w:rPr>
      </w:pPr>
    </w:p>
    <w:p w:rsidR="006A0E1C" w:rsidRPr="00D13792" w:rsidRDefault="006A0E1C" w:rsidP="006A0E1C">
      <w:pPr>
        <w:numPr>
          <w:ilvl w:val="1"/>
          <w:numId w:val="6"/>
        </w:numPr>
        <w:tabs>
          <w:tab w:val="clear" w:pos="1080"/>
          <w:tab w:val="left" w:pos="0"/>
          <w:tab w:val="num" w:pos="540"/>
        </w:tabs>
        <w:spacing w:line="240" w:lineRule="auto"/>
        <w:ind w:left="540"/>
        <w:rPr>
          <w:rFonts w:eastAsia="Calibri" w:cs="Verdana"/>
          <w:spacing w:val="-2"/>
          <w:sz w:val="20"/>
          <w:szCs w:val="20"/>
        </w:rPr>
      </w:pPr>
      <w:r w:rsidRPr="00D13792">
        <w:rPr>
          <w:rFonts w:eastAsia="Calibri" w:cs="Verdana"/>
          <w:i/>
          <w:iCs/>
          <w:spacing w:val="-2"/>
          <w:sz w:val="20"/>
          <w:szCs w:val="20"/>
        </w:rPr>
        <w:t>Sometimiento a la Corte. –</w:t>
      </w:r>
      <w:r w:rsidRPr="00D13792">
        <w:rPr>
          <w:rFonts w:eastAsia="Calibri" w:cs="Verdana"/>
          <w:spacing w:val="-2"/>
          <w:sz w:val="20"/>
          <w:szCs w:val="20"/>
        </w:rPr>
        <w:t xml:space="preserve"> El 5 de agosto de 2014 la Comisión</w:t>
      </w:r>
      <w:r w:rsidRPr="00D13792">
        <w:rPr>
          <w:rFonts w:eastAsia="Calibri" w:cs="Verdana"/>
          <w:spacing w:val="-2"/>
          <w:sz w:val="20"/>
          <w:szCs w:val="20"/>
          <w:lang w:eastAsia="es-ES"/>
        </w:rPr>
        <w:t xml:space="preserve"> sometió el caso a la Corte “por la necesidad de obtención de justicia […] ante la falta de cumplimiento de las </w:t>
      </w:r>
      <w:r w:rsidRPr="00D13792">
        <w:rPr>
          <w:rFonts w:eastAsia="Calibri" w:cs="Verdana"/>
          <w:spacing w:val="-2"/>
          <w:sz w:val="20"/>
          <w:szCs w:val="20"/>
        </w:rPr>
        <w:t>recomendaciones</w:t>
      </w:r>
      <w:r w:rsidRPr="00D13792">
        <w:rPr>
          <w:rFonts w:eastAsia="Calibri" w:cs="Verdana"/>
          <w:spacing w:val="-2"/>
          <w:sz w:val="20"/>
          <w:szCs w:val="20"/>
          <w:lang w:eastAsia="es-ES"/>
        </w:rPr>
        <w:t>”. Designó como delegados al Comisionado James Cavallaro y al entonces Secretario Ejecutivo, Emilio Álvarez Icaza L</w:t>
      </w:r>
      <w:r w:rsidRPr="00D13792">
        <w:rPr>
          <w:rStyle w:val="FootnoteReference"/>
          <w:rFonts w:eastAsia="Calibri" w:cs="Verdana"/>
          <w:spacing w:val="-2"/>
          <w:sz w:val="20"/>
          <w:szCs w:val="20"/>
          <w:lang w:eastAsia="es-ES"/>
        </w:rPr>
        <w:footnoteReference w:id="4"/>
      </w:r>
      <w:r w:rsidRPr="00D13792">
        <w:rPr>
          <w:rFonts w:eastAsia="Calibri" w:cs="Verdana"/>
          <w:spacing w:val="-2"/>
          <w:sz w:val="20"/>
          <w:szCs w:val="20"/>
          <w:lang w:eastAsia="es-ES"/>
        </w:rPr>
        <w:t xml:space="preserve">., y </w:t>
      </w:r>
      <w:r w:rsidRPr="00D13792">
        <w:rPr>
          <w:rFonts w:eastAsia="Calibri" w:cs="Verdana"/>
          <w:spacing w:val="-2"/>
          <w:sz w:val="20"/>
          <w:szCs w:val="20"/>
        </w:rPr>
        <w:t>como asesores legales a Elizabeth Abi-Mershed, Secretaria Ejecutiva Adjunta, y a Silvia Serrano Guzmán y Erick Acuña Pereda, abogados de la Secretaría Ejecutiva</w:t>
      </w:r>
      <w:bookmarkEnd w:id="5"/>
      <w:r w:rsidRPr="00D13792">
        <w:rPr>
          <w:rFonts w:eastAsia="Calibri" w:cs="Verdana"/>
          <w:spacing w:val="-2"/>
          <w:sz w:val="20"/>
          <w:szCs w:val="20"/>
        </w:rPr>
        <w:t xml:space="preserve">. </w:t>
      </w:r>
    </w:p>
    <w:p w:rsidR="006A0E1C" w:rsidRPr="00D13792" w:rsidRDefault="006A0E1C" w:rsidP="006A0E1C">
      <w:pPr>
        <w:pStyle w:val="Heading1"/>
        <w:rPr>
          <w:lang w:val="es-CR"/>
        </w:rPr>
      </w:pPr>
    </w:p>
    <w:p w:rsidR="006A0E1C" w:rsidRPr="00D13792" w:rsidRDefault="006A0E1C" w:rsidP="006A0E1C">
      <w:pPr>
        <w:pStyle w:val="Heading1"/>
        <w:rPr>
          <w:lang w:val="es-CR"/>
        </w:rPr>
      </w:pPr>
      <w:bookmarkStart w:id="13" w:name="_Toc372568229"/>
      <w:bookmarkStart w:id="14" w:name="_Toc373093235"/>
      <w:bookmarkStart w:id="15" w:name="_Toc373350047"/>
      <w:bookmarkStart w:id="16" w:name="_Toc375560893"/>
      <w:bookmarkStart w:id="17" w:name="_Toc401931878"/>
      <w:bookmarkStart w:id="18" w:name="_Toc428369977"/>
      <w:bookmarkStart w:id="19" w:name="_Toc469669988"/>
      <w:r w:rsidRPr="00D13792">
        <w:rPr>
          <w:lang w:val="es-CR"/>
        </w:rPr>
        <w:t>II</w:t>
      </w:r>
      <w:bookmarkStart w:id="20" w:name="_Toc375062711"/>
      <w:bookmarkStart w:id="21" w:name="_Toc375140861"/>
      <w:bookmarkStart w:id="22" w:name="_Toc375504820"/>
      <w:bookmarkStart w:id="23" w:name="_Toc375560894"/>
      <w:bookmarkEnd w:id="13"/>
      <w:bookmarkEnd w:id="14"/>
      <w:bookmarkEnd w:id="15"/>
      <w:bookmarkEnd w:id="16"/>
      <w:r w:rsidRPr="00D13792">
        <w:rPr>
          <w:lang w:val="es-CR"/>
        </w:rPr>
        <w:br/>
        <w:t>PROCEDIMIENTO ANTE LA CORTE</w:t>
      </w:r>
      <w:bookmarkEnd w:id="17"/>
      <w:bookmarkEnd w:id="18"/>
      <w:bookmarkEnd w:id="19"/>
      <w:bookmarkEnd w:id="20"/>
      <w:bookmarkEnd w:id="21"/>
      <w:bookmarkEnd w:id="22"/>
      <w:bookmarkEnd w:id="23"/>
    </w:p>
    <w:p w:rsidR="006A0E1C" w:rsidRPr="00D13792" w:rsidRDefault="006A0E1C" w:rsidP="006A0E1C">
      <w:pPr>
        <w:pStyle w:val="Default"/>
        <w:jc w:val="both"/>
        <w:rPr>
          <w:color w:val="auto"/>
          <w:spacing w:val="-2"/>
          <w:sz w:val="16"/>
          <w:szCs w:val="20"/>
        </w:rPr>
      </w:pPr>
      <w:bookmarkStart w:id="24" w:name="_Ref305145760"/>
      <w:bookmarkStart w:id="25" w:name="_Ref343193232"/>
      <w:bookmarkStart w:id="26" w:name="_Ref354764277"/>
      <w:bookmarkStart w:id="27" w:name="_Ref292815256"/>
      <w:bookmarkStart w:id="28" w:name="_Ref303533128"/>
    </w:p>
    <w:p w:rsidR="006A0E1C" w:rsidRPr="00D13792" w:rsidRDefault="006A0E1C" w:rsidP="006A0E1C">
      <w:pPr>
        <w:numPr>
          <w:ilvl w:val="0"/>
          <w:numId w:val="6"/>
        </w:numPr>
        <w:tabs>
          <w:tab w:val="left" w:pos="567"/>
        </w:tabs>
        <w:spacing w:line="240" w:lineRule="auto"/>
        <w:ind w:right="4"/>
        <w:rPr>
          <w:spacing w:val="-2"/>
          <w:sz w:val="20"/>
          <w:szCs w:val="20"/>
        </w:rPr>
      </w:pPr>
      <w:bookmarkStart w:id="29" w:name="_Ref375074590"/>
      <w:r w:rsidRPr="00D13792">
        <w:rPr>
          <w:i/>
          <w:iCs/>
          <w:spacing w:val="-2"/>
          <w:sz w:val="20"/>
          <w:szCs w:val="20"/>
        </w:rPr>
        <w:t xml:space="preserve">Notificación al Estado y a los representantes. - </w:t>
      </w:r>
      <w:r w:rsidRPr="00D13792">
        <w:rPr>
          <w:spacing w:val="-2"/>
          <w:sz w:val="20"/>
          <w:szCs w:val="20"/>
        </w:rPr>
        <w:t>El sometimiento del caso fue notificado al Estado el 17 de octubre de 2014 y a los representantes de las presuntas víctimas</w:t>
      </w:r>
      <w:r w:rsidRPr="00D13792">
        <w:rPr>
          <w:rStyle w:val="FootnoteReference"/>
          <w:spacing w:val="-2"/>
          <w:sz w:val="20"/>
          <w:szCs w:val="20"/>
        </w:rPr>
        <w:footnoteReference w:id="5"/>
      </w:r>
      <w:r w:rsidRPr="00D13792">
        <w:rPr>
          <w:spacing w:val="-2"/>
          <w:sz w:val="20"/>
          <w:szCs w:val="20"/>
        </w:rPr>
        <w:t xml:space="preserve"> (en adelante también “los representantes”)</w:t>
      </w:r>
      <w:bookmarkEnd w:id="29"/>
      <w:r w:rsidRPr="00D13792">
        <w:rPr>
          <w:spacing w:val="-2"/>
          <w:sz w:val="20"/>
          <w:szCs w:val="20"/>
        </w:rPr>
        <w:t xml:space="preserve"> el 30 de octubre de 2014. </w:t>
      </w:r>
      <w:bookmarkStart w:id="30" w:name="_Ref303528952"/>
      <w:bookmarkStart w:id="31" w:name="_Ref313874640"/>
      <w:bookmarkEnd w:id="24"/>
    </w:p>
    <w:p w:rsidR="006A0E1C" w:rsidRPr="00D13792" w:rsidRDefault="006A0E1C" w:rsidP="006A0E1C">
      <w:pPr>
        <w:pStyle w:val="Default"/>
        <w:jc w:val="both"/>
        <w:rPr>
          <w:color w:val="auto"/>
          <w:spacing w:val="-2"/>
          <w:sz w:val="16"/>
          <w:szCs w:val="20"/>
        </w:rPr>
      </w:pPr>
    </w:p>
    <w:p w:rsidR="006A0E1C" w:rsidRPr="00D13792" w:rsidRDefault="006A0E1C" w:rsidP="006A0E1C">
      <w:pPr>
        <w:numPr>
          <w:ilvl w:val="0"/>
          <w:numId w:val="6"/>
        </w:numPr>
        <w:tabs>
          <w:tab w:val="left" w:pos="567"/>
        </w:tabs>
        <w:spacing w:line="240" w:lineRule="auto"/>
        <w:ind w:right="4"/>
        <w:rPr>
          <w:spacing w:val="-2"/>
          <w:sz w:val="20"/>
          <w:szCs w:val="20"/>
        </w:rPr>
      </w:pPr>
      <w:bookmarkStart w:id="32" w:name="_Ref374884896"/>
      <w:bookmarkStart w:id="33" w:name="_Ref367870867"/>
      <w:r w:rsidRPr="00D13792">
        <w:rPr>
          <w:i/>
          <w:iCs/>
          <w:spacing w:val="-2"/>
          <w:sz w:val="20"/>
          <w:szCs w:val="20"/>
        </w:rPr>
        <w:t xml:space="preserve">Escrito de solicitudes, argumentos y pruebas. - </w:t>
      </w:r>
      <w:r w:rsidRPr="00D13792">
        <w:rPr>
          <w:spacing w:val="-2"/>
          <w:sz w:val="20"/>
          <w:szCs w:val="20"/>
        </w:rPr>
        <w:t xml:space="preserve">El 5 de enero de 2015 los representantes presentaron su escrito de solicitudes, argumentos y pruebas (en adelante “escrito de solicitudes </w:t>
      </w:r>
      <w:r w:rsidRPr="00D13792">
        <w:rPr>
          <w:spacing w:val="-2"/>
          <w:sz w:val="20"/>
          <w:szCs w:val="20"/>
        </w:rPr>
        <w:lastRenderedPageBreak/>
        <w:t xml:space="preserve">y argumentos”), conforme a los artículos 25 y 40 del Reglamento de la Corte. </w:t>
      </w:r>
      <w:bookmarkStart w:id="34" w:name="_Ref303528956"/>
      <w:bookmarkStart w:id="35" w:name="_Ref313874647"/>
      <w:bookmarkEnd w:id="25"/>
      <w:bookmarkEnd w:id="26"/>
      <w:bookmarkEnd w:id="30"/>
      <w:bookmarkEnd w:id="31"/>
      <w:bookmarkEnd w:id="32"/>
      <w:bookmarkEnd w:id="33"/>
      <w:r w:rsidRPr="00D13792">
        <w:rPr>
          <w:spacing w:val="-2"/>
          <w:sz w:val="20"/>
          <w:szCs w:val="20"/>
        </w:rPr>
        <w:t xml:space="preserve">En dicho escrito alegaron la violación de los artículos 3, 4, 5, 6, 7, 8, 11, 12, 16, 19, 21, 22, 24 y 25 de la Convención, en relación con el artículo 1.1 de la misma, así como del artículo I de la Convención Interamericana sobre Desaparición Forzada de Personas y el artículo 7 </w:t>
      </w:r>
      <w:r w:rsidRPr="00D13792">
        <w:rPr>
          <w:sz w:val="20"/>
          <w:szCs w:val="20"/>
        </w:rPr>
        <w:t>de la Convención Interamericana para Prevenir, Sancionar y Erradicar la Violencia contra la Mujer. Además</w:t>
      </w:r>
      <w:r w:rsidRPr="00D13792">
        <w:rPr>
          <w:spacing w:val="-2"/>
          <w:sz w:val="20"/>
          <w:szCs w:val="20"/>
        </w:rPr>
        <w:t xml:space="preserve">, solicitaron “la inclusión del listado de 97 familias” que se anexó. </w:t>
      </w:r>
      <w:bookmarkStart w:id="36" w:name="_Ref343193237"/>
      <w:bookmarkStart w:id="37" w:name="_Ref334975428"/>
      <w:bookmarkStart w:id="38" w:name="_Ref351393893"/>
      <w:r w:rsidRPr="00D13792">
        <w:rPr>
          <w:spacing w:val="-2"/>
          <w:sz w:val="16"/>
          <w:szCs w:val="20"/>
        </w:rPr>
        <w:t xml:space="preserve"> </w:t>
      </w:r>
    </w:p>
    <w:p w:rsidR="006A0E1C" w:rsidRPr="00D13792" w:rsidRDefault="006A0E1C" w:rsidP="006A0E1C">
      <w:pPr>
        <w:pStyle w:val="MediumGrid1-Accent21"/>
        <w:spacing w:line="240" w:lineRule="auto"/>
        <w:ind w:left="0"/>
        <w:rPr>
          <w:i/>
          <w:spacing w:val="-2"/>
          <w:sz w:val="16"/>
          <w:szCs w:val="20"/>
        </w:rPr>
      </w:pPr>
    </w:p>
    <w:p w:rsidR="006A0E1C" w:rsidRPr="00D13792" w:rsidRDefault="006A0E1C" w:rsidP="006A0E1C">
      <w:pPr>
        <w:numPr>
          <w:ilvl w:val="0"/>
          <w:numId w:val="6"/>
        </w:numPr>
        <w:tabs>
          <w:tab w:val="left" w:pos="567"/>
        </w:tabs>
        <w:spacing w:line="240" w:lineRule="auto"/>
        <w:ind w:right="4"/>
        <w:rPr>
          <w:b/>
          <w:bCs/>
          <w:spacing w:val="-2"/>
          <w:sz w:val="20"/>
          <w:szCs w:val="20"/>
          <w:u w:val="single"/>
        </w:rPr>
      </w:pPr>
      <w:r w:rsidRPr="00D13792">
        <w:rPr>
          <w:i/>
          <w:spacing w:val="-2"/>
          <w:sz w:val="20"/>
          <w:szCs w:val="20"/>
        </w:rPr>
        <w:t>Escrito de contestación</w:t>
      </w:r>
      <w:r w:rsidRPr="00D13792">
        <w:rPr>
          <w:spacing w:val="-2"/>
          <w:sz w:val="20"/>
          <w:szCs w:val="20"/>
        </w:rPr>
        <w:t xml:space="preserve">. – El 23 de abril de 2015 el Estado presentó ante la Corte su escrito de excepciones preliminares, contestación al sometimiento del caso por parte de la Comisión y de observaciones al escrito de solicitudes y argumentos (en adelante “contestación”). En dicho escrito </w:t>
      </w:r>
      <w:r w:rsidRPr="00D13792">
        <w:rPr>
          <w:spacing w:val="-2"/>
          <w:sz w:val="20"/>
          <w:szCs w:val="20"/>
          <w:lang w:eastAsia="es-ES"/>
        </w:rPr>
        <w:t xml:space="preserve">interpuso cuatro excepciones preliminares. El 23 de octubre de 2015, el Estado designó como Agentes </w:t>
      </w:r>
      <w:r w:rsidRPr="00D13792">
        <w:rPr>
          <w:spacing w:val="-2"/>
          <w:sz w:val="20"/>
          <w:szCs w:val="20"/>
        </w:rPr>
        <w:t xml:space="preserve">para el presente caso </w:t>
      </w:r>
      <w:r w:rsidRPr="00D13792">
        <w:rPr>
          <w:spacing w:val="-2"/>
          <w:sz w:val="20"/>
          <w:szCs w:val="20"/>
          <w:lang w:eastAsia="es-ES"/>
        </w:rPr>
        <w:t>al señor Rodrigo José Villagrán Sandoval y a la señora Steffany Rebeca Vásquez Barillas.</w:t>
      </w:r>
      <w:bookmarkStart w:id="39" w:name="_Ref292292567"/>
      <w:bookmarkStart w:id="40" w:name="_Ref292700362"/>
      <w:bookmarkEnd w:id="27"/>
      <w:bookmarkEnd w:id="34"/>
      <w:bookmarkEnd w:id="35"/>
      <w:bookmarkEnd w:id="36"/>
      <w:bookmarkEnd w:id="37"/>
      <w:bookmarkEnd w:id="38"/>
      <w:r w:rsidRPr="00D13792">
        <w:rPr>
          <w:spacing w:val="-2"/>
          <w:sz w:val="20"/>
          <w:szCs w:val="20"/>
          <w:lang w:eastAsia="es-ES"/>
        </w:rPr>
        <w:t xml:space="preserve"> Posteriormente, el 13 de abril de 2016 el Estado designó al señor Carlos Rafael Asturias Ruiz y a la señora Steffany Rebeca Vásquez Barillas como Agentes.</w:t>
      </w:r>
    </w:p>
    <w:p w:rsidR="006A0E1C" w:rsidRPr="00D13792" w:rsidRDefault="006A0E1C" w:rsidP="006A0E1C">
      <w:pPr>
        <w:pStyle w:val="MediumGrid1-Accent21"/>
        <w:spacing w:line="240" w:lineRule="auto"/>
        <w:rPr>
          <w:i/>
          <w:spacing w:val="-2"/>
          <w:sz w:val="16"/>
          <w:szCs w:val="20"/>
        </w:rPr>
      </w:pPr>
    </w:p>
    <w:p w:rsidR="006A0E1C" w:rsidRPr="00D13792" w:rsidRDefault="006A0E1C" w:rsidP="006A0E1C">
      <w:pPr>
        <w:numPr>
          <w:ilvl w:val="0"/>
          <w:numId w:val="6"/>
        </w:numPr>
        <w:tabs>
          <w:tab w:val="left" w:pos="567"/>
        </w:tabs>
        <w:spacing w:line="240" w:lineRule="auto"/>
        <w:ind w:right="4"/>
        <w:rPr>
          <w:b/>
          <w:bCs/>
          <w:spacing w:val="-2"/>
          <w:sz w:val="20"/>
          <w:szCs w:val="20"/>
          <w:u w:val="single"/>
        </w:rPr>
      </w:pPr>
      <w:r w:rsidRPr="00D13792">
        <w:rPr>
          <w:i/>
          <w:spacing w:val="-2"/>
          <w:sz w:val="20"/>
          <w:szCs w:val="20"/>
        </w:rPr>
        <w:t>Observaciones a las excepciones preliminares</w:t>
      </w:r>
      <w:r w:rsidRPr="00D13792">
        <w:rPr>
          <w:spacing w:val="-2"/>
          <w:sz w:val="20"/>
          <w:szCs w:val="20"/>
        </w:rPr>
        <w:t xml:space="preserve">. – El 25 de junio de 2015 los representantes y la Comisión Interamericana presentaron sus observaciones a las excepciones preliminares interpuestas por el Estado.  </w:t>
      </w:r>
      <w:bookmarkStart w:id="41" w:name="_Ref336443781"/>
      <w:bookmarkStart w:id="42" w:name="_Ref343193354"/>
      <w:bookmarkStart w:id="43" w:name="_Ref374885387"/>
      <w:bookmarkStart w:id="44" w:name="_Ref367194812"/>
    </w:p>
    <w:p w:rsidR="006A0E1C" w:rsidRPr="00D13792" w:rsidRDefault="006A0E1C" w:rsidP="006A0E1C">
      <w:pPr>
        <w:pStyle w:val="MediumGrid1-Accent21"/>
        <w:spacing w:line="240" w:lineRule="auto"/>
        <w:rPr>
          <w:i/>
          <w:spacing w:val="-2"/>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bCs/>
          <w:i/>
          <w:spacing w:val="-2"/>
          <w:sz w:val="20"/>
          <w:szCs w:val="20"/>
        </w:rPr>
        <w:t xml:space="preserve">Otros escritos presentados por las partes y la Comisión. – </w:t>
      </w:r>
      <w:r w:rsidRPr="00D13792">
        <w:rPr>
          <w:sz w:val="20"/>
          <w:szCs w:val="20"/>
        </w:rPr>
        <w:t>El 30 de julio de 2015 el Estado remitió un escrito titulado “Postura del Estado de Guatemala en relación con la inclusión de nuevas víctimas en el Caso […]”. Mediante nota de Secretaría de 4 de agosto de 2015 se solicitó a los representantes y a la Comisión presentar las observaciones que estimaran pertinentes al mencionado escrito del Estado. El 30 de agosto de 2015 los representantes remitieron las observaciones solicitadas. El 31 de agosto de 2015 la Comisión remitió las observaciones solicitadas junto con su lista definitiva de declarantes ofrecidos para la audiencia pública. Finalmente, el 19 de abril de 2016 los representantes remitieron 212 certificados de nacimientos, defunciones y matrimonios de presuntas víctimas que habrían sufrido desplazamiento forzado, persecución y desarraigo.</w:t>
      </w:r>
    </w:p>
    <w:p w:rsidR="006A0E1C" w:rsidRPr="00D13792" w:rsidRDefault="006A0E1C" w:rsidP="006A0E1C">
      <w:pPr>
        <w:pStyle w:val="ListParagraph"/>
        <w:autoSpaceDE w:val="0"/>
        <w:autoSpaceDN w:val="0"/>
        <w:adjustRightInd w:val="0"/>
        <w:spacing w:after="0" w:line="240" w:lineRule="auto"/>
        <w:ind w:left="1080"/>
        <w:jc w:val="both"/>
        <w:rPr>
          <w:rFonts w:ascii="Verdana" w:hAnsi="Verdana"/>
          <w:sz w:val="16"/>
          <w:szCs w:val="20"/>
          <w:lang w:val="es-CR"/>
        </w:rPr>
      </w:pPr>
    </w:p>
    <w:p w:rsidR="006A0E1C" w:rsidRPr="00D13792" w:rsidRDefault="006A0E1C" w:rsidP="006A0E1C">
      <w:pPr>
        <w:numPr>
          <w:ilvl w:val="0"/>
          <w:numId w:val="6"/>
        </w:numPr>
        <w:tabs>
          <w:tab w:val="left" w:pos="567"/>
        </w:tabs>
        <w:spacing w:line="240" w:lineRule="auto"/>
        <w:ind w:right="4"/>
        <w:rPr>
          <w:b/>
          <w:bCs/>
          <w:spacing w:val="-2"/>
          <w:sz w:val="20"/>
          <w:szCs w:val="20"/>
          <w:u w:val="single"/>
        </w:rPr>
      </w:pPr>
      <w:r w:rsidRPr="00D13792">
        <w:rPr>
          <w:i/>
          <w:spacing w:val="-2"/>
          <w:sz w:val="20"/>
          <w:szCs w:val="20"/>
        </w:rPr>
        <w:t>Audiencia pública. –</w:t>
      </w:r>
      <w:r w:rsidRPr="00D13792">
        <w:rPr>
          <w:spacing w:val="-2"/>
          <w:sz w:val="20"/>
          <w:szCs w:val="20"/>
        </w:rPr>
        <w:t xml:space="preserve"> </w:t>
      </w:r>
      <w:bookmarkStart w:id="45" w:name="_Ref343195764"/>
      <w:bookmarkStart w:id="46" w:name="_Ref354147731"/>
      <w:bookmarkEnd w:id="41"/>
      <w:bookmarkEnd w:id="42"/>
      <w:bookmarkEnd w:id="43"/>
      <w:bookmarkEnd w:id="44"/>
      <w:r w:rsidRPr="00D13792">
        <w:rPr>
          <w:spacing w:val="-2"/>
          <w:sz w:val="20"/>
          <w:szCs w:val="20"/>
        </w:rPr>
        <w:t>Mediante Resolución del Presidente de la Corte de 28 de marzo de 2016</w:t>
      </w:r>
      <w:r w:rsidRPr="00D13792">
        <w:rPr>
          <w:rStyle w:val="FootnoteReference"/>
          <w:spacing w:val="-2"/>
          <w:sz w:val="20"/>
          <w:szCs w:val="20"/>
        </w:rPr>
        <w:footnoteReference w:id="6"/>
      </w:r>
      <w:r w:rsidRPr="00D13792">
        <w:rPr>
          <w:spacing w:val="-2"/>
          <w:sz w:val="20"/>
          <w:szCs w:val="20"/>
        </w:rPr>
        <w:t>, se convocó a las partes y a la Comisión a una audiencia pública que fue celebrada el 28 de abril de 2016, durante el 114º Período Ordinario de Sesiones de la Corte en la sede del Tribunal</w:t>
      </w:r>
      <w:r w:rsidRPr="00D13792">
        <w:rPr>
          <w:rStyle w:val="FootnoteReference"/>
          <w:spacing w:val="-2"/>
          <w:sz w:val="20"/>
          <w:szCs w:val="20"/>
        </w:rPr>
        <w:footnoteReference w:id="7"/>
      </w:r>
      <w:r w:rsidRPr="00D13792">
        <w:rPr>
          <w:spacing w:val="-2"/>
          <w:sz w:val="20"/>
          <w:szCs w:val="20"/>
        </w:rPr>
        <w:t>. En la audiencia se recibieron las declaraciones de las presuntas víctimas Juana García Depaz y Napoleón García De Paz</w:t>
      </w:r>
      <w:r w:rsidRPr="00D13792">
        <w:rPr>
          <w:sz w:val="20"/>
          <w:szCs w:val="20"/>
        </w:rPr>
        <w:t xml:space="preserve"> (o Napoleón García Depaz o Napoleón García de Páz)</w:t>
      </w:r>
      <w:r w:rsidRPr="00D13792">
        <w:rPr>
          <w:spacing w:val="-2"/>
          <w:sz w:val="20"/>
          <w:szCs w:val="20"/>
        </w:rPr>
        <w:t xml:space="preserve">, y del perito Luis Raúl Francisco Salvadó Cardoza, propuestos por los representantes, así como del perito Cristián Alejandro Correa Montt, propuesto por la Comisión. También se recibieron las observaciones y alegatos finales orales de la Comisión, los representantes y el Estado, respectivamente. Asimismo, en dicha Resolución se ordenó recibir las declaraciones rendidas ante fedatario público (affidávit) de una presunta víctima y dos peritos propuestos por los representantes, un perito propuesto por la Comisión y tres peritos propuestos por el Estado. </w:t>
      </w:r>
      <w:r w:rsidRPr="00D13792">
        <w:rPr>
          <w:sz w:val="20"/>
          <w:szCs w:val="20"/>
        </w:rPr>
        <w:t xml:space="preserve">Mediante comunicación de 11 de abril de 2016, el Estado desistió de la presentación de prueba testimonial y pericial. </w:t>
      </w:r>
    </w:p>
    <w:bookmarkEnd w:id="45"/>
    <w:bookmarkEnd w:id="46"/>
    <w:p w:rsidR="006A0E1C" w:rsidRPr="00D13792" w:rsidRDefault="006A0E1C" w:rsidP="006A0E1C">
      <w:pPr>
        <w:pStyle w:val="MediumGrid1-Accent21"/>
        <w:spacing w:line="240" w:lineRule="auto"/>
        <w:rPr>
          <w:b/>
          <w:bCs/>
          <w:sz w:val="16"/>
          <w:szCs w:val="20"/>
        </w:rPr>
      </w:pPr>
    </w:p>
    <w:p w:rsidR="006A0E1C" w:rsidRPr="00D13792" w:rsidRDefault="006A0E1C" w:rsidP="006A0E1C">
      <w:pPr>
        <w:numPr>
          <w:ilvl w:val="0"/>
          <w:numId w:val="6"/>
        </w:numPr>
        <w:tabs>
          <w:tab w:val="left" w:pos="567"/>
        </w:tabs>
        <w:spacing w:line="240" w:lineRule="auto"/>
        <w:ind w:right="4"/>
        <w:rPr>
          <w:rFonts w:eastAsia="Calibri" w:cs="Verdana"/>
          <w:sz w:val="20"/>
          <w:szCs w:val="20"/>
          <w:lang w:eastAsia="en-US"/>
        </w:rPr>
      </w:pPr>
      <w:bookmarkStart w:id="47" w:name="_Ref374886052"/>
      <w:bookmarkStart w:id="48" w:name="_Ref368677486"/>
      <w:r w:rsidRPr="00D13792">
        <w:rPr>
          <w:i/>
          <w:sz w:val="20"/>
          <w:szCs w:val="20"/>
        </w:rPr>
        <w:t xml:space="preserve">Amici curiae. – </w:t>
      </w:r>
      <w:r w:rsidRPr="00D13792">
        <w:rPr>
          <w:sz w:val="20"/>
          <w:szCs w:val="20"/>
        </w:rPr>
        <w:t xml:space="preserve">La Corte recibió los </w:t>
      </w:r>
      <w:r w:rsidRPr="00D13792">
        <w:rPr>
          <w:i/>
          <w:sz w:val="20"/>
          <w:szCs w:val="20"/>
        </w:rPr>
        <w:t>amici curiae</w:t>
      </w:r>
      <w:r w:rsidRPr="00D13792">
        <w:rPr>
          <w:sz w:val="20"/>
          <w:szCs w:val="20"/>
        </w:rPr>
        <w:t xml:space="preserve"> de: i) Alejandro Valencia Villa el 3 de mayo de 2016, sobre la Ley de Reconciliación Nacional, las amnistías y los delitos políticos en Guatemala; ii) Impunity Watch el 11 de mayo de 2016, sobre la presunta competencia de la </w:t>
      </w:r>
      <w:r w:rsidRPr="00D13792">
        <w:rPr>
          <w:sz w:val="20"/>
          <w:szCs w:val="20"/>
        </w:rPr>
        <w:lastRenderedPageBreak/>
        <w:t xml:space="preserve">Corte para pronunciarse sobre una alegada violación de la Convención para la Prevención y la Sanción del Delito de Genocidio y otros tratados que protegen los derechos de los pueblos indígenas, la alegada carencia de competencia del Tribunal para decretar la invalidez de la Ley de Reconciliación Nacional, así como la reparación individual y colectiva en el presente caso; iii) el </w:t>
      </w:r>
      <w:r w:rsidRPr="00D13792">
        <w:rPr>
          <w:i/>
          <w:sz w:val="20"/>
          <w:szCs w:val="20"/>
        </w:rPr>
        <w:t>Due Process of Law Foundation</w:t>
      </w:r>
      <w:r w:rsidRPr="00D13792">
        <w:rPr>
          <w:sz w:val="20"/>
          <w:szCs w:val="20"/>
        </w:rPr>
        <w:t xml:space="preserve"> el 12 de mayo de 2016, sobre la “especial gravedad” y “carácter prolongado” del desplazamiento forzado; iv) la señora Léa Réus el 12 de mayo de 2016, sobre la eventual reparación integral en el presente caso; v) Profesores del </w:t>
      </w:r>
      <w:r w:rsidRPr="00D13792">
        <w:rPr>
          <w:rFonts w:eastAsia="Calibri" w:cs="Verdana"/>
          <w:sz w:val="20"/>
          <w:szCs w:val="20"/>
          <w:lang w:eastAsia="en-US"/>
        </w:rPr>
        <w:t xml:space="preserve">Departamento de Estudios Sociopolíticos y Jurídicos y de la Coordinación Docente de Derecho Constitucional y Derechos Humanos, así como </w:t>
      </w:r>
      <w:r w:rsidRPr="00D13792">
        <w:rPr>
          <w:sz w:val="20"/>
          <w:szCs w:val="20"/>
        </w:rPr>
        <w:t>estudiantes de la Licenciatura de Derecho del Instituto Tecnológico y Estudios Superiores de Occidente (ITESO) el 13 de mayo de 2016, sobre la eventual reparación integral en el presente caso, y vi)</w:t>
      </w:r>
      <w:r w:rsidRPr="00D13792">
        <w:rPr>
          <w:rFonts w:eastAsia="Calibri" w:cs="BookAntiqua"/>
          <w:sz w:val="36"/>
          <w:szCs w:val="36"/>
          <w:lang w:eastAsia="es-EC"/>
        </w:rPr>
        <w:t xml:space="preserve"> </w:t>
      </w:r>
      <w:r w:rsidRPr="00D13792">
        <w:rPr>
          <w:sz w:val="20"/>
          <w:szCs w:val="20"/>
        </w:rPr>
        <w:t xml:space="preserve">Santiago Medina Villarreal y la Corporación para la Defensa y Promoción de los Derechos Humanos REINICIAR el 13 de mayo de 2016, sobre la alegada excepción preliminar </w:t>
      </w:r>
      <w:r w:rsidRPr="00D13792">
        <w:rPr>
          <w:i/>
          <w:sz w:val="20"/>
          <w:szCs w:val="20"/>
        </w:rPr>
        <w:t>ratione temporis</w:t>
      </w:r>
      <w:r w:rsidRPr="00D13792">
        <w:rPr>
          <w:sz w:val="20"/>
          <w:szCs w:val="20"/>
        </w:rPr>
        <w:t xml:space="preserve"> interpuesta por el Estado de Guatemala, la utilización de categorías penales para determinar violaciones de derechos humanos y los alegados actos y prácticas genocidas contra del pueblo maya achí.</w:t>
      </w:r>
    </w:p>
    <w:p w:rsidR="006A0E1C" w:rsidRPr="00D13792" w:rsidRDefault="006A0E1C" w:rsidP="006A0E1C">
      <w:pPr>
        <w:spacing w:line="240" w:lineRule="auto"/>
        <w:jc w:val="center"/>
        <w:rPr>
          <w:sz w:val="16"/>
          <w:szCs w:val="20"/>
        </w:rPr>
      </w:pPr>
    </w:p>
    <w:p w:rsidR="006A0E1C" w:rsidRPr="00D13792" w:rsidRDefault="006A0E1C" w:rsidP="006A0E1C">
      <w:pPr>
        <w:numPr>
          <w:ilvl w:val="0"/>
          <w:numId w:val="6"/>
        </w:numPr>
        <w:tabs>
          <w:tab w:val="left" w:pos="567"/>
        </w:tabs>
        <w:spacing w:line="240" w:lineRule="auto"/>
        <w:ind w:right="4"/>
        <w:rPr>
          <w:b/>
          <w:spacing w:val="-2"/>
          <w:sz w:val="20"/>
          <w:szCs w:val="20"/>
        </w:rPr>
      </w:pPr>
      <w:r w:rsidRPr="00D13792">
        <w:rPr>
          <w:i/>
          <w:sz w:val="20"/>
          <w:szCs w:val="20"/>
        </w:rPr>
        <w:t xml:space="preserve">Alegatos y observaciones finales escritos. – </w:t>
      </w:r>
      <w:r w:rsidRPr="00D13792">
        <w:rPr>
          <w:sz w:val="20"/>
          <w:szCs w:val="20"/>
        </w:rPr>
        <w:t>La Corte recibió los alegatos y las observaciones finales escritas de los representantes, el Estado y la Comisión, respectivamente, el 30 de mayo</w:t>
      </w:r>
      <w:r w:rsidRPr="00D13792">
        <w:rPr>
          <w:spacing w:val="-2"/>
          <w:sz w:val="20"/>
          <w:szCs w:val="20"/>
        </w:rPr>
        <w:t xml:space="preserve"> de 2016. En su escrito, el Estado remitió una “Propuesta a un Acuerdo de Solución”. Además, los días 31 de mayo y 2 de junio de 2016 los representantes remitieron documentos solicitados como prueba para mejor resolver, así como una lista general de víctimas y de certificados que establecerían su identidad.</w:t>
      </w:r>
    </w:p>
    <w:p w:rsidR="006A0E1C" w:rsidRPr="00D13792" w:rsidRDefault="006A0E1C" w:rsidP="006A0E1C">
      <w:pPr>
        <w:tabs>
          <w:tab w:val="left" w:pos="567"/>
        </w:tabs>
        <w:spacing w:line="240" w:lineRule="auto"/>
        <w:ind w:right="4"/>
        <w:rPr>
          <w:spacing w:val="-2"/>
          <w:sz w:val="16"/>
          <w:szCs w:val="20"/>
        </w:rPr>
      </w:pPr>
    </w:p>
    <w:p w:rsidR="006A0E1C" w:rsidRPr="00D13792" w:rsidRDefault="006A0E1C" w:rsidP="006A0E1C">
      <w:pPr>
        <w:numPr>
          <w:ilvl w:val="0"/>
          <w:numId w:val="6"/>
        </w:numPr>
        <w:tabs>
          <w:tab w:val="left" w:pos="567"/>
        </w:tabs>
        <w:spacing w:line="240" w:lineRule="auto"/>
        <w:ind w:right="4"/>
        <w:rPr>
          <w:spacing w:val="-2"/>
          <w:sz w:val="20"/>
          <w:szCs w:val="20"/>
        </w:rPr>
      </w:pPr>
      <w:r w:rsidRPr="00D13792">
        <w:rPr>
          <w:i/>
          <w:spacing w:val="-2"/>
          <w:sz w:val="20"/>
          <w:szCs w:val="20"/>
        </w:rPr>
        <w:t xml:space="preserve">Observaciones </w:t>
      </w:r>
      <w:bookmarkEnd w:id="47"/>
      <w:bookmarkEnd w:id="48"/>
      <w:r w:rsidRPr="00D13792">
        <w:rPr>
          <w:i/>
          <w:spacing w:val="-2"/>
          <w:sz w:val="20"/>
          <w:szCs w:val="20"/>
        </w:rPr>
        <w:t>de los representantes, el Estado y la Comisión. -</w:t>
      </w:r>
      <w:r w:rsidRPr="00D13792">
        <w:rPr>
          <w:spacing w:val="-2"/>
          <w:sz w:val="20"/>
          <w:szCs w:val="20"/>
        </w:rPr>
        <w:t xml:space="preserve"> El 20 de junio de 2016 los representantes remitieron dos escritos mediante los cuales señalaron que no tenían observaciones a los anexos remitidos por el Estado junto con sus alegatos finales escritos y que no aceptaban el acuerdo propuesto. La Comisión presentó sus observaciones al acuerdo propuesto el 28 de junio de 2016, de forma extemporánea.  </w:t>
      </w:r>
    </w:p>
    <w:p w:rsidR="006A0E1C" w:rsidRPr="00D13792" w:rsidRDefault="006A0E1C" w:rsidP="006A0E1C">
      <w:pPr>
        <w:pStyle w:val="MediumGrid1-Accent21"/>
        <w:spacing w:line="240" w:lineRule="auto"/>
        <w:rPr>
          <w:spacing w:val="-2"/>
          <w:sz w:val="16"/>
          <w:szCs w:val="20"/>
        </w:rPr>
      </w:pPr>
    </w:p>
    <w:p w:rsidR="006A0E1C" w:rsidRPr="00D13792" w:rsidRDefault="006A0E1C" w:rsidP="006A0E1C">
      <w:pPr>
        <w:numPr>
          <w:ilvl w:val="0"/>
          <w:numId w:val="6"/>
        </w:numPr>
        <w:tabs>
          <w:tab w:val="left" w:pos="567"/>
        </w:tabs>
        <w:spacing w:line="240" w:lineRule="auto"/>
        <w:ind w:right="4"/>
        <w:rPr>
          <w:spacing w:val="-2"/>
          <w:sz w:val="20"/>
          <w:szCs w:val="20"/>
        </w:rPr>
      </w:pPr>
      <w:r w:rsidRPr="00D13792">
        <w:rPr>
          <w:i/>
          <w:spacing w:val="-2"/>
          <w:sz w:val="20"/>
          <w:szCs w:val="20"/>
        </w:rPr>
        <w:t xml:space="preserve">Deliberación del presente caso. - </w:t>
      </w:r>
      <w:r w:rsidRPr="00D13792">
        <w:rPr>
          <w:spacing w:val="-2"/>
          <w:sz w:val="20"/>
          <w:szCs w:val="20"/>
        </w:rPr>
        <w:t>La Corte inició la deliberación de la presente Sentencia el 25 de noviembre de 2016.</w:t>
      </w:r>
    </w:p>
    <w:bookmarkEnd w:id="28"/>
    <w:bookmarkEnd w:id="39"/>
    <w:bookmarkEnd w:id="40"/>
    <w:p w:rsidR="006A0E1C" w:rsidRPr="00D13792" w:rsidRDefault="006A0E1C" w:rsidP="006A0E1C">
      <w:pPr>
        <w:tabs>
          <w:tab w:val="left" w:pos="567"/>
        </w:tabs>
        <w:autoSpaceDE w:val="0"/>
        <w:autoSpaceDN w:val="0"/>
        <w:spacing w:line="240" w:lineRule="auto"/>
        <w:rPr>
          <w:rFonts w:eastAsia="Calibri" w:cs="Verdana"/>
          <w:spacing w:val="-2"/>
          <w:sz w:val="16"/>
          <w:szCs w:val="20"/>
        </w:rPr>
      </w:pPr>
    </w:p>
    <w:p w:rsidR="006A0E1C" w:rsidRPr="00D13792" w:rsidRDefault="006A0E1C" w:rsidP="006A0E1C">
      <w:pPr>
        <w:pStyle w:val="Heading1"/>
        <w:rPr>
          <w:lang w:val="es-CR"/>
        </w:rPr>
      </w:pPr>
      <w:bookmarkStart w:id="49" w:name="_Toc373093237"/>
      <w:bookmarkStart w:id="50" w:name="_Toc373350049"/>
      <w:bookmarkStart w:id="51" w:name="_Toc375560895"/>
      <w:bookmarkStart w:id="52" w:name="_Toc401931879"/>
      <w:bookmarkStart w:id="53" w:name="_Toc428369978"/>
      <w:bookmarkStart w:id="54" w:name="_Toc469669989"/>
      <w:r w:rsidRPr="00D13792">
        <w:rPr>
          <w:lang w:val="es-CR"/>
        </w:rPr>
        <w:t>III</w:t>
      </w:r>
      <w:bookmarkStart w:id="55" w:name="_Toc375062724"/>
      <w:bookmarkStart w:id="56" w:name="_Toc375140874"/>
      <w:bookmarkStart w:id="57" w:name="_Toc375504833"/>
      <w:bookmarkStart w:id="58" w:name="_Toc375560907"/>
      <w:bookmarkEnd w:id="49"/>
      <w:bookmarkEnd w:id="50"/>
      <w:bookmarkEnd w:id="51"/>
      <w:r w:rsidRPr="00D13792">
        <w:rPr>
          <w:lang w:val="es-CR"/>
        </w:rPr>
        <w:br/>
        <w:t>COMPETENCIA</w:t>
      </w:r>
      <w:bookmarkEnd w:id="52"/>
      <w:bookmarkEnd w:id="53"/>
      <w:bookmarkEnd w:id="54"/>
      <w:bookmarkEnd w:id="55"/>
      <w:bookmarkEnd w:id="56"/>
      <w:bookmarkEnd w:id="57"/>
      <w:bookmarkEnd w:id="58"/>
    </w:p>
    <w:p w:rsidR="006A0E1C" w:rsidRPr="00D13792" w:rsidRDefault="006A0E1C" w:rsidP="006A0E1C">
      <w:pPr>
        <w:tabs>
          <w:tab w:val="left" w:pos="567"/>
          <w:tab w:val="left" w:pos="720"/>
        </w:tabs>
        <w:spacing w:line="240" w:lineRule="auto"/>
        <w:rPr>
          <w:rFonts w:eastAsia="Calibri" w:cs="Verdana"/>
          <w:b/>
          <w:bCs/>
          <w:spacing w:val="-2"/>
          <w:sz w:val="16"/>
          <w:szCs w:val="20"/>
        </w:rPr>
      </w:pPr>
    </w:p>
    <w:p w:rsidR="006A0E1C" w:rsidRPr="00D13792" w:rsidRDefault="006A0E1C" w:rsidP="006A0E1C">
      <w:pPr>
        <w:numPr>
          <w:ilvl w:val="0"/>
          <w:numId w:val="6"/>
        </w:numPr>
        <w:tabs>
          <w:tab w:val="left" w:pos="567"/>
        </w:tabs>
        <w:spacing w:line="240" w:lineRule="auto"/>
        <w:ind w:right="4"/>
        <w:rPr>
          <w:rFonts w:eastAsia="Calibri" w:cs="Verdana"/>
          <w:spacing w:val="-2"/>
          <w:sz w:val="20"/>
          <w:szCs w:val="20"/>
          <w:lang w:eastAsia="en-US"/>
        </w:rPr>
      </w:pPr>
      <w:bookmarkStart w:id="59" w:name="_Toc372568233"/>
      <w:bookmarkStart w:id="60" w:name="_Toc373093242"/>
      <w:bookmarkStart w:id="61" w:name="_Toc373350053"/>
      <w:bookmarkStart w:id="62" w:name="_Toc375560899"/>
      <w:bookmarkStart w:id="63" w:name="_Toc401931880"/>
      <w:r w:rsidRPr="00D13792">
        <w:rPr>
          <w:rFonts w:eastAsia="Calibri" w:cs="Verdana"/>
          <w:spacing w:val="-2"/>
          <w:sz w:val="20"/>
          <w:szCs w:val="20"/>
          <w:lang w:eastAsia="en-US"/>
        </w:rPr>
        <w:t>La Corte Interamericana es competente, en los términos del artículo 62.3 de la Convención Americana, para conocer el presente caso, debido a que Guatemala es Estado Parte de la Convención Americana desde el 25 de mayo de 1978 y reconoció la competencia contenciosa de la Corte el 9 de marzo de 1987</w:t>
      </w:r>
      <w:r w:rsidRPr="00D13792">
        <w:rPr>
          <w:rStyle w:val="FootnoteReference"/>
          <w:sz w:val="20"/>
          <w:szCs w:val="20"/>
        </w:rPr>
        <w:footnoteReference w:id="8"/>
      </w:r>
      <w:r w:rsidRPr="00D13792">
        <w:rPr>
          <w:rFonts w:eastAsia="Calibri" w:cs="Verdana"/>
          <w:spacing w:val="-2"/>
          <w:sz w:val="20"/>
          <w:szCs w:val="20"/>
          <w:lang w:eastAsia="en-US"/>
        </w:rPr>
        <w:t xml:space="preserve">. </w:t>
      </w:r>
    </w:p>
    <w:p w:rsidR="006A0E1C" w:rsidRPr="00D13792" w:rsidRDefault="006A0E1C" w:rsidP="006A0E1C">
      <w:pPr>
        <w:widowControl/>
        <w:tabs>
          <w:tab w:val="left" w:pos="567"/>
        </w:tabs>
        <w:autoSpaceDE w:val="0"/>
        <w:autoSpaceDN w:val="0"/>
        <w:spacing w:line="240" w:lineRule="auto"/>
        <w:textAlignment w:val="auto"/>
        <w:rPr>
          <w:rFonts w:eastAsia="Calibri" w:cs="Verdana"/>
          <w:spacing w:val="-2"/>
          <w:sz w:val="20"/>
          <w:szCs w:val="20"/>
          <w:lang w:eastAsia="en-US"/>
        </w:rPr>
      </w:pPr>
    </w:p>
    <w:p w:rsidR="006A0E1C" w:rsidRPr="00D13792" w:rsidRDefault="006A0E1C" w:rsidP="006A0E1C">
      <w:pPr>
        <w:pStyle w:val="Heading1"/>
        <w:rPr>
          <w:lang w:val="es-CR"/>
        </w:rPr>
      </w:pPr>
      <w:bookmarkStart w:id="64" w:name="_Toc469669990"/>
      <w:r w:rsidRPr="00D13792">
        <w:rPr>
          <w:lang w:val="es-CR"/>
        </w:rPr>
        <w:t>IV</w:t>
      </w:r>
      <w:bookmarkEnd w:id="64"/>
    </w:p>
    <w:p w:rsidR="006A0E1C" w:rsidRPr="00D13792" w:rsidRDefault="006A0E1C" w:rsidP="006A0E1C">
      <w:pPr>
        <w:pStyle w:val="Heading1"/>
        <w:rPr>
          <w:lang w:val="es-CR"/>
        </w:rPr>
      </w:pPr>
      <w:bookmarkStart w:id="65" w:name="_Toc469669991"/>
      <w:r w:rsidRPr="00D13792">
        <w:rPr>
          <w:lang w:val="es-CR"/>
        </w:rPr>
        <w:t>EXCEPCIONES PRELIMINARES</w:t>
      </w:r>
      <w:bookmarkEnd w:id="65"/>
    </w:p>
    <w:p w:rsidR="006A0E1C" w:rsidRPr="00D13792" w:rsidRDefault="006A0E1C" w:rsidP="006A0E1C">
      <w:pPr>
        <w:widowControl/>
        <w:tabs>
          <w:tab w:val="left" w:pos="540"/>
        </w:tabs>
        <w:autoSpaceDE w:val="0"/>
        <w:autoSpaceDN w:val="0"/>
        <w:spacing w:line="240" w:lineRule="auto"/>
        <w:contextualSpacing/>
        <w:textAlignment w:val="auto"/>
        <w:rPr>
          <w:rFonts w:eastAsia="Batang" w:cs="Arial"/>
          <w:iCs/>
          <w:spacing w:val="-2"/>
          <w:sz w:val="16"/>
          <w:szCs w:val="20"/>
          <w:lang w:eastAsia="en-US"/>
        </w:rPr>
      </w:pPr>
    </w:p>
    <w:p w:rsidR="006A0E1C" w:rsidRPr="00D13792" w:rsidRDefault="006A0E1C" w:rsidP="006A0E1C">
      <w:pPr>
        <w:numPr>
          <w:ilvl w:val="0"/>
          <w:numId w:val="6"/>
        </w:numPr>
        <w:tabs>
          <w:tab w:val="left" w:pos="567"/>
        </w:tabs>
        <w:spacing w:line="240" w:lineRule="auto"/>
        <w:ind w:right="4"/>
        <w:rPr>
          <w:rFonts w:eastAsia="Batang" w:cs="Arial"/>
          <w:b/>
          <w:iCs/>
          <w:spacing w:val="-2"/>
          <w:sz w:val="20"/>
          <w:szCs w:val="20"/>
          <w:lang w:eastAsia="en-US"/>
        </w:rPr>
      </w:pPr>
      <w:r w:rsidRPr="00D13792">
        <w:rPr>
          <w:rFonts w:eastAsia="Batang" w:cs="Arial"/>
          <w:iCs/>
          <w:spacing w:val="-2"/>
          <w:sz w:val="20"/>
          <w:szCs w:val="20"/>
          <w:lang w:eastAsia="en-US"/>
        </w:rPr>
        <w:t xml:space="preserve">El Estado presentó en su escrito de contestación las siguientes excepciones preliminares: A) falta de competencia </w:t>
      </w:r>
      <w:r w:rsidRPr="00D13792">
        <w:rPr>
          <w:rFonts w:eastAsia="Batang" w:cs="Arial"/>
          <w:i/>
          <w:iCs/>
          <w:spacing w:val="-2"/>
          <w:sz w:val="20"/>
          <w:szCs w:val="20"/>
          <w:lang w:eastAsia="en-US"/>
        </w:rPr>
        <w:t>ratione temporis</w:t>
      </w:r>
      <w:r w:rsidRPr="00D13792">
        <w:rPr>
          <w:rFonts w:eastAsia="Batang" w:cs="Arial"/>
          <w:iCs/>
          <w:spacing w:val="-2"/>
          <w:sz w:val="20"/>
          <w:szCs w:val="20"/>
          <w:lang w:eastAsia="en-US"/>
        </w:rPr>
        <w:t xml:space="preserve">; B) falta de competencia </w:t>
      </w:r>
      <w:r w:rsidRPr="00D13792">
        <w:rPr>
          <w:rFonts w:eastAsia="Batang" w:cs="Arial"/>
          <w:i/>
          <w:iCs/>
          <w:spacing w:val="-2"/>
          <w:sz w:val="20"/>
          <w:szCs w:val="20"/>
          <w:lang w:eastAsia="en-US"/>
        </w:rPr>
        <w:t>ratione materiae</w:t>
      </w:r>
      <w:r w:rsidRPr="00D13792">
        <w:rPr>
          <w:rFonts w:eastAsia="Batang" w:cs="Arial"/>
          <w:iCs/>
          <w:spacing w:val="-2"/>
          <w:sz w:val="20"/>
          <w:szCs w:val="20"/>
          <w:lang w:eastAsia="en-US"/>
        </w:rPr>
        <w:t>; C) falta de agotamiento de recursos internos, y D) “</w:t>
      </w:r>
      <w:r w:rsidRPr="00D13792">
        <w:rPr>
          <w:rFonts w:eastAsia="Calibri"/>
          <w:bCs/>
          <w:sz w:val="20"/>
          <w:szCs w:val="20"/>
          <w:lang w:eastAsia="en-US"/>
        </w:rPr>
        <w:t xml:space="preserve">carencia de la facultad para presentar otra reclamación </w:t>
      </w:r>
      <w:r w:rsidRPr="00D13792">
        <w:rPr>
          <w:rFonts w:eastAsia="Calibri"/>
          <w:bCs/>
          <w:sz w:val="20"/>
          <w:szCs w:val="20"/>
          <w:lang w:eastAsia="en-US"/>
        </w:rPr>
        <w:lastRenderedPageBreak/>
        <w:t xml:space="preserve">en contra del Estado de Guatemala por los mismos hechos”. </w:t>
      </w:r>
    </w:p>
    <w:p w:rsidR="006A0E1C" w:rsidRPr="00D13792" w:rsidRDefault="006A0E1C" w:rsidP="006A0E1C">
      <w:pPr>
        <w:pStyle w:val="Heading2"/>
        <w:rPr>
          <w:rFonts w:eastAsia="Batang"/>
          <w:lang w:val="es-CR"/>
        </w:rPr>
      </w:pPr>
    </w:p>
    <w:p w:rsidR="006A0E1C" w:rsidRPr="00D13792" w:rsidRDefault="006A0E1C" w:rsidP="006A0E1C">
      <w:pPr>
        <w:pStyle w:val="Heading2"/>
        <w:rPr>
          <w:rFonts w:eastAsia="Batang"/>
          <w:lang w:val="es-CR"/>
        </w:rPr>
      </w:pPr>
      <w:bookmarkStart w:id="66" w:name="_Toc469669992"/>
      <w:r w:rsidRPr="00D13792">
        <w:rPr>
          <w:rFonts w:eastAsia="Batang"/>
          <w:lang w:val="es-CR"/>
        </w:rPr>
        <w:t>A. Excepción de falta de competencia ratione temporis</w:t>
      </w:r>
      <w:bookmarkEnd w:id="66"/>
    </w:p>
    <w:p w:rsidR="006A0E1C" w:rsidRPr="00D13792" w:rsidRDefault="006A0E1C" w:rsidP="006A0E1C">
      <w:pPr>
        <w:widowControl/>
        <w:tabs>
          <w:tab w:val="left" w:pos="567"/>
        </w:tabs>
        <w:autoSpaceDE w:val="0"/>
        <w:autoSpaceDN w:val="0"/>
        <w:adjustRightInd/>
        <w:spacing w:line="240" w:lineRule="auto"/>
        <w:contextualSpacing/>
        <w:textAlignment w:val="auto"/>
        <w:rPr>
          <w:rFonts w:eastAsia="Batang" w:cs="Arial"/>
          <w:b/>
          <w:iCs/>
          <w:spacing w:val="-2"/>
          <w:sz w:val="16"/>
          <w:szCs w:val="20"/>
          <w:lang w:eastAsia="en-US"/>
        </w:rPr>
      </w:pPr>
    </w:p>
    <w:p w:rsidR="006A0E1C" w:rsidRPr="00D13792" w:rsidRDefault="006A0E1C" w:rsidP="006A0E1C">
      <w:pPr>
        <w:pStyle w:val="Heading4"/>
        <w:ind w:left="0" w:firstLine="0"/>
        <w:rPr>
          <w:lang w:val="es-CR"/>
        </w:rPr>
      </w:pPr>
      <w:r w:rsidRPr="00D13792">
        <w:rPr>
          <w:rFonts w:eastAsia="Batang"/>
          <w:lang w:val="es-CR"/>
        </w:rPr>
        <w:t xml:space="preserve">A.1. </w:t>
      </w:r>
      <w:r w:rsidRPr="00D13792">
        <w:rPr>
          <w:lang w:val="es-CR"/>
        </w:rPr>
        <w:t>Argumentos de la Comisión y de las partes</w:t>
      </w:r>
    </w:p>
    <w:p w:rsidR="006A0E1C" w:rsidRPr="00D13792" w:rsidRDefault="006A0E1C" w:rsidP="006A0E1C">
      <w:pPr>
        <w:tabs>
          <w:tab w:val="left" w:pos="720"/>
        </w:tabs>
        <w:spacing w:line="240" w:lineRule="auto"/>
        <w:rPr>
          <w:bCs/>
          <w:i/>
          <w:sz w:val="20"/>
          <w:szCs w:val="20"/>
        </w:rPr>
      </w:pPr>
    </w:p>
    <w:p w:rsidR="006A0E1C" w:rsidRPr="00D13792" w:rsidRDefault="006A0E1C" w:rsidP="006A0E1C">
      <w:pPr>
        <w:numPr>
          <w:ilvl w:val="0"/>
          <w:numId w:val="6"/>
        </w:numPr>
        <w:tabs>
          <w:tab w:val="left" w:pos="567"/>
        </w:tabs>
        <w:spacing w:line="240" w:lineRule="auto"/>
        <w:ind w:right="4"/>
        <w:rPr>
          <w:rFonts w:eastAsia="Calibri" w:cs="Verdana"/>
          <w:spacing w:val="-2"/>
          <w:sz w:val="20"/>
          <w:szCs w:val="20"/>
        </w:rPr>
      </w:pPr>
      <w:r w:rsidRPr="00D13792">
        <w:rPr>
          <w:sz w:val="20"/>
          <w:szCs w:val="20"/>
        </w:rPr>
        <w:t xml:space="preserve">El </w:t>
      </w:r>
      <w:r w:rsidRPr="00D13792">
        <w:rPr>
          <w:b/>
          <w:i/>
          <w:sz w:val="20"/>
          <w:szCs w:val="20"/>
        </w:rPr>
        <w:t>Estado</w:t>
      </w:r>
      <w:r w:rsidRPr="00D13792">
        <w:rPr>
          <w:sz w:val="20"/>
          <w:szCs w:val="20"/>
        </w:rPr>
        <w:t xml:space="preserve"> interpuso la excepción de falta de competencia </w:t>
      </w:r>
      <w:r w:rsidRPr="00D13792">
        <w:rPr>
          <w:i/>
          <w:sz w:val="20"/>
          <w:szCs w:val="20"/>
        </w:rPr>
        <w:t>ratione temporis</w:t>
      </w:r>
      <w:r w:rsidRPr="00D13792">
        <w:rPr>
          <w:sz w:val="20"/>
          <w:szCs w:val="20"/>
        </w:rPr>
        <w:t>. Sostuvo que el 9 de marzo de 1987 “presentó una reserva por medio de la cual limit[ó] la competencia de la Corte […al conocimiento] de asuntos posteriores a la fecha en que dicha declaración [fue] presentada”. Indicó que la Corte “no puede extender su competencia temporal […] alegando [una] conducta continuada o permanente […], utilizando como base una excepción al principio de irretroactividad de los tratados”. Explicó la diferencia entre un delito continuado y uno permanente en su ordenamiento interno, y señaló que la desaparición forzada es un delito permanente, ya que es de ejecución instantánea pero sus efectos persisten en el tiempo. Por ello, “Guatemala no acepta” que los hechos del caso sean considerados como desapariciones forzadas, ya que se estaría modificando “la tipificación de dicha conducta de manera retroactiva […]”. Finalmente, el Estado alegó “que en ningún momento pretende negar los hechos, ni pretende negarle a las víctimas, las reparaciones que les pudieran corresponder</w:t>
      </w:r>
      <w:r w:rsidRPr="00D13792">
        <w:rPr>
          <w:rFonts w:eastAsia="Calibri"/>
          <w:sz w:val="20"/>
          <w:szCs w:val="20"/>
          <w:lang w:eastAsia="en-US"/>
        </w:rPr>
        <w:t xml:space="preserve"> por ser víctimas del enfrentamiento armado</w:t>
      </w:r>
      <w:r w:rsidRPr="00D13792">
        <w:rPr>
          <w:sz w:val="20"/>
          <w:szCs w:val="20"/>
        </w:rPr>
        <w:t xml:space="preserve">”. En este sentido, manifestó que “conoce sus obligaciones respecto a los hechos ocurridos en el enfrentamiento armado [y por esta razón creó el] Programa Nacional de Resarcimiento”, el cual tiene por finalidad brindar reparaciones “a las víctimas de violaciones a derechos humanos cometidas por el Estado [y] por la insurgencia”. Sin embargo, esto no significa que esté retirando “su reserva para que la Corte pueda conocer de dichos hechos”. </w:t>
      </w:r>
    </w:p>
    <w:p w:rsidR="006A0E1C" w:rsidRPr="00D13792" w:rsidRDefault="006A0E1C" w:rsidP="006A0E1C">
      <w:pPr>
        <w:widowControl/>
        <w:autoSpaceDE w:val="0"/>
        <w:autoSpaceDN w:val="0"/>
        <w:spacing w:line="240" w:lineRule="auto"/>
        <w:textAlignment w:val="auto"/>
        <w:rPr>
          <w:sz w:val="20"/>
          <w:szCs w:val="20"/>
        </w:rPr>
      </w:pPr>
    </w:p>
    <w:p w:rsidR="006A0E1C" w:rsidRPr="00D13792" w:rsidRDefault="006A0E1C" w:rsidP="006A0E1C">
      <w:pPr>
        <w:numPr>
          <w:ilvl w:val="0"/>
          <w:numId w:val="6"/>
        </w:numPr>
        <w:tabs>
          <w:tab w:val="left" w:pos="567"/>
        </w:tabs>
        <w:spacing w:line="240" w:lineRule="auto"/>
        <w:ind w:right="4"/>
      </w:pPr>
      <w:r w:rsidRPr="00D13792">
        <w:rPr>
          <w:rFonts w:eastAsia="Calibri" w:cs="Verdana"/>
          <w:spacing w:val="-2"/>
          <w:sz w:val="20"/>
          <w:szCs w:val="20"/>
          <w:lang w:eastAsia="en-US"/>
        </w:rPr>
        <w:t xml:space="preserve">En su escrito de sometimiento del caso, la </w:t>
      </w:r>
      <w:r w:rsidRPr="00D13792">
        <w:rPr>
          <w:b/>
          <w:i/>
          <w:sz w:val="20"/>
          <w:szCs w:val="20"/>
        </w:rPr>
        <w:t>Comisión</w:t>
      </w:r>
      <w:r w:rsidRPr="00D13792">
        <w:rPr>
          <w:sz w:val="20"/>
          <w:szCs w:val="20"/>
        </w:rPr>
        <w:t xml:space="preserve"> señaló que “somete a la jurisdicción de la Corte las acciones y omisiones estatales ocurridas o que continuaron ocurriendo con posterioridad al 9 de marzo de 1987, fecha de aceptación de la competencia contenciosa de la Corte […] por parte del Estado”. Lo anterior, “sin perjuicio de que […] Guatemala acepte la competencia de la Corte para conocer la totalidad del presente caso, de conformidad con lo estipulado en el artículo 62.2 de la Convención”. Sin embargo, en su escrito de observaciones a las excepciones preliminares, la Comisión alegó que el reconocimiento de responsabilidad realizado por el Estado ante ella y reiterado en su contestación ante la Corte implica una renuncia a la limitación temporal de competencia efectuada por Guatemala, “otorgando así su consentimiento para que el Tribunal examine los hechos ocurridos y se pronuncie sobre las violaciones que se configuren al respecto”.</w:t>
      </w:r>
      <w:r w:rsidRPr="00D13792">
        <w:rPr>
          <w:rFonts w:eastAsia="Calibri"/>
          <w:b/>
          <w:sz w:val="20"/>
          <w:szCs w:val="20"/>
          <w:lang w:eastAsia="en-US"/>
        </w:rPr>
        <w:t xml:space="preserve"> </w:t>
      </w:r>
      <w:r w:rsidRPr="00D13792">
        <w:rPr>
          <w:rFonts w:eastAsia="Calibri"/>
          <w:sz w:val="20"/>
          <w:szCs w:val="20"/>
          <w:lang w:eastAsia="en-US"/>
        </w:rPr>
        <w:t>Durante la audiencia pública, la</w:t>
      </w:r>
      <w:r w:rsidRPr="00D13792">
        <w:t xml:space="preserve"> </w:t>
      </w:r>
      <w:r w:rsidRPr="00D13792">
        <w:rPr>
          <w:rFonts w:eastAsia="Calibri"/>
          <w:sz w:val="20"/>
          <w:szCs w:val="20"/>
          <w:lang w:eastAsia="en-US"/>
        </w:rPr>
        <w:t>Comisión también señaló “violaciones que tuvieron inicio de ejecución antes de la aceptación de la competencia de la Corte [pero] continuaron ocurriendo con posterioridad a dicha fecha”. Sostuvo además que las investigaciones internas fueron iniciadas con posterioridad al reconocimiento de competencia del Tribunal. Finalmente, manifestó que lo que interpuso el Estado no fue una “reserva”.</w:t>
      </w:r>
      <w:r w:rsidRPr="00D13792">
        <w:t xml:space="preserve"> </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En su escrito de solicitudes y argumentos, los </w:t>
      </w:r>
      <w:r w:rsidRPr="00D13792">
        <w:rPr>
          <w:b/>
          <w:i/>
          <w:sz w:val="20"/>
          <w:szCs w:val="20"/>
        </w:rPr>
        <w:t>representantes</w:t>
      </w:r>
      <w:r w:rsidRPr="00D13792">
        <w:rPr>
          <w:sz w:val="20"/>
          <w:szCs w:val="20"/>
        </w:rPr>
        <w:t xml:space="preserve"> señalaron que “la Corte puede conocer los actos o hechos que hayan tenido lugar con posterioridad [al 9 de marzo de 1987…] y que hayan generado violaciones […] de ejecución instantánea y </w:t>
      </w:r>
      <w:r w:rsidRPr="00D13792">
        <w:rPr>
          <w:rFonts w:eastAsia="Calibri"/>
          <w:sz w:val="20"/>
          <w:szCs w:val="20"/>
          <w:lang w:eastAsia="en-US"/>
        </w:rPr>
        <w:t>continuada</w:t>
      </w:r>
      <w:r w:rsidRPr="00D13792">
        <w:rPr>
          <w:sz w:val="20"/>
          <w:szCs w:val="20"/>
        </w:rPr>
        <w:t xml:space="preserve"> o permanente”, y aquellas “de carácter continuado o permanente aunque el primer acto de ejecución haya tenido lugar antes de la fecha de reconocimiento”. Sin embargo, en su escrito de observaciones a las excepciones preliminares, señalaron que el reconocimiento de responsabilidad efectuado por el Estado ante la Comisión y reiterado en su contestación ante la Corte implica una renuncia a la limitación temporal de competencia. </w:t>
      </w:r>
    </w:p>
    <w:p w:rsidR="006A0E1C" w:rsidRPr="00D13792" w:rsidRDefault="006A0E1C" w:rsidP="006A0E1C">
      <w:pPr>
        <w:pStyle w:val="Heading3"/>
        <w:ind w:left="0"/>
        <w:rPr>
          <w:b w:val="0"/>
          <w:i/>
          <w:sz w:val="16"/>
          <w:lang w:val="es-CR"/>
        </w:rPr>
      </w:pPr>
    </w:p>
    <w:p w:rsidR="006A0E1C" w:rsidRPr="00D13792" w:rsidRDefault="006A0E1C" w:rsidP="006A0E1C">
      <w:pPr>
        <w:pStyle w:val="Heading4"/>
        <w:ind w:left="0" w:firstLine="0"/>
        <w:rPr>
          <w:b/>
          <w:lang w:val="es-CR"/>
        </w:rPr>
      </w:pPr>
      <w:r w:rsidRPr="00D13792">
        <w:rPr>
          <w:lang w:val="es-CR"/>
        </w:rPr>
        <w:t>A.2. Consideraciones de la Corte</w:t>
      </w:r>
    </w:p>
    <w:p w:rsidR="006A0E1C" w:rsidRPr="00D13792" w:rsidRDefault="006A0E1C" w:rsidP="006A0E1C">
      <w:pPr>
        <w:spacing w:line="240" w:lineRule="auto"/>
        <w:rPr>
          <w:sz w:val="16"/>
          <w:szCs w:val="20"/>
        </w:rPr>
      </w:pPr>
    </w:p>
    <w:p w:rsidR="006A0E1C" w:rsidRPr="00D13792" w:rsidRDefault="006A0E1C" w:rsidP="006A0E1C">
      <w:pPr>
        <w:numPr>
          <w:ilvl w:val="0"/>
          <w:numId w:val="6"/>
        </w:numPr>
        <w:tabs>
          <w:tab w:val="left" w:pos="567"/>
        </w:tabs>
        <w:spacing w:line="240" w:lineRule="auto"/>
        <w:ind w:right="4"/>
        <w:rPr>
          <w:rFonts w:eastAsia="Batang" w:cs="Times"/>
          <w:sz w:val="20"/>
          <w:szCs w:val="20"/>
          <w:lang w:eastAsia="en-US"/>
        </w:rPr>
      </w:pPr>
      <w:r w:rsidRPr="00D13792">
        <w:rPr>
          <w:rFonts w:eastAsia="Batang" w:cs="Times"/>
          <w:sz w:val="20"/>
          <w:szCs w:val="20"/>
          <w:lang w:eastAsia="en-US"/>
        </w:rPr>
        <w:t xml:space="preserve">El Tribunal observa que el Estado pretende inhibir a la Corte del conocimiento de los hechos del caso que hayan </w:t>
      </w:r>
      <w:r w:rsidRPr="00D13792">
        <w:rPr>
          <w:sz w:val="20"/>
          <w:szCs w:val="20"/>
        </w:rPr>
        <w:t>sucedido</w:t>
      </w:r>
      <w:r w:rsidRPr="00D13792">
        <w:rPr>
          <w:rFonts w:eastAsia="Batang" w:cs="Times"/>
          <w:sz w:val="20"/>
          <w:szCs w:val="20"/>
          <w:lang w:eastAsia="en-US"/>
        </w:rPr>
        <w:t xml:space="preserve"> con anterioridad al 9 de marzo de 1987, fecha en que </w:t>
      </w:r>
      <w:r w:rsidRPr="00D13792">
        <w:rPr>
          <w:rFonts w:eastAsia="Batang" w:cs="Times"/>
          <w:sz w:val="20"/>
          <w:szCs w:val="20"/>
          <w:lang w:eastAsia="en-US"/>
        </w:rPr>
        <w:lastRenderedPageBreak/>
        <w:t xml:space="preserve">Guatemala aceptó la competencia contenciosa del Tribunal, así como de aquellos hechos de carácter continuo o permanente cuyo primer acto de ejecución haya tenido lugar antes de dicha fecha. Lo anterior, con base en que habría interpuesto una “reserva” </w:t>
      </w:r>
      <w:r w:rsidRPr="00D13792">
        <w:rPr>
          <w:sz w:val="20"/>
          <w:szCs w:val="20"/>
        </w:rPr>
        <w:t>por medio de la cual limitó la competencia temporal del Tribunal.</w:t>
      </w:r>
    </w:p>
    <w:p w:rsidR="006A0E1C" w:rsidRPr="00D13792" w:rsidRDefault="006A0E1C" w:rsidP="006A0E1C">
      <w:pPr>
        <w:tabs>
          <w:tab w:val="left" w:pos="567"/>
        </w:tabs>
        <w:spacing w:line="240" w:lineRule="auto"/>
        <w:ind w:right="4"/>
        <w:rPr>
          <w:rFonts w:eastAsia="Batang" w:cs="Times"/>
          <w:sz w:val="20"/>
          <w:szCs w:val="20"/>
          <w:lang w:eastAsia="en-US"/>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A efectos de determinar si tiene o no competencia para conocer un caso o un aspecto del mismo, el Tribunal debe tomar en consideración la fecha de reconocimiento de la competencia por parte del Estado, los términos en que el mismo se ha dado y el principio de irretroactividad, dispuesto en el artículo 28 de la Convención de Viena sobre el Derecho de los Tratados de 1969</w:t>
      </w:r>
      <w:r w:rsidRPr="00D13792">
        <w:rPr>
          <w:rStyle w:val="FootnoteReference"/>
          <w:sz w:val="20"/>
          <w:szCs w:val="20"/>
        </w:rPr>
        <w:footnoteReference w:id="9"/>
      </w:r>
      <w:r w:rsidRPr="00D13792">
        <w:rPr>
          <w:sz w:val="20"/>
          <w:szCs w:val="20"/>
        </w:rPr>
        <w:t xml:space="preserve">. En el presente caso, es claro que la Corte puede conocer de los actos o hechos que hayan tenido lugar con posterioridad a la fecha de dicho reconocimiento. </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Por otro lado, el Tribunal también tiene competencia para conocer de violaciones de derechos humanos de carácter continuo o permanente aunque el primer acto de ejecución haya tenido lugar antes de la fecha del reconocimiento de competencia contenciosa de la Corte, si dichas violaciones persisten con posterioridad a dicho reconocimiento, puesto que se continúan cometiendo</w:t>
      </w:r>
      <w:r w:rsidRPr="00D13792">
        <w:rPr>
          <w:sz w:val="20"/>
          <w:szCs w:val="20"/>
          <w:vertAlign w:val="superscript"/>
        </w:rPr>
        <w:footnoteReference w:id="10"/>
      </w:r>
      <w:r w:rsidRPr="00D13792">
        <w:rPr>
          <w:sz w:val="20"/>
          <w:szCs w:val="20"/>
        </w:rPr>
        <w:t xml:space="preserve">. Así, se recuerda al Estado que </w:t>
      </w:r>
      <w:r w:rsidRPr="00D13792">
        <w:rPr>
          <w:rFonts w:eastAsia="Calibri" w:cs="Arial"/>
          <w:sz w:val="20"/>
          <w:szCs w:val="20"/>
        </w:rPr>
        <w:t xml:space="preserve">dentro del ámbito de su jurisdicción, corresponde a la </w:t>
      </w:r>
      <w:r w:rsidRPr="00D13792">
        <w:rPr>
          <w:sz w:val="20"/>
          <w:szCs w:val="20"/>
        </w:rPr>
        <w:t>Corte</w:t>
      </w:r>
      <w:r w:rsidRPr="00D13792">
        <w:rPr>
          <w:rFonts w:eastAsia="Calibri" w:cs="Arial"/>
          <w:sz w:val="20"/>
          <w:szCs w:val="20"/>
        </w:rPr>
        <w:t xml:space="preserve"> Interamericana </w:t>
      </w:r>
      <w:r w:rsidRPr="00D13792">
        <w:rPr>
          <w:rFonts w:eastAsia="Calibri"/>
          <w:sz w:val="20"/>
          <w:szCs w:val="20"/>
        </w:rPr>
        <w:t xml:space="preserve">evaluar las acciones u omisiones de agentes </w:t>
      </w:r>
      <w:r w:rsidRPr="00D13792">
        <w:rPr>
          <w:sz w:val="20"/>
          <w:szCs w:val="20"/>
          <w:lang w:eastAsia="es-ES"/>
        </w:rPr>
        <w:t>estatales</w:t>
      </w:r>
      <w:r w:rsidRPr="00D13792">
        <w:rPr>
          <w:rFonts w:eastAsia="Calibri"/>
          <w:sz w:val="20"/>
          <w:szCs w:val="20"/>
        </w:rPr>
        <w:t xml:space="preserve"> en los casos ante ella, según la prueba presentada por las partes, y calificar las mismas de conformidad con la Convención </w:t>
      </w:r>
      <w:r w:rsidRPr="00D13792">
        <w:rPr>
          <w:rFonts w:eastAsia="Calibri" w:cs="Arial"/>
          <w:sz w:val="20"/>
          <w:szCs w:val="20"/>
        </w:rPr>
        <w:t>Americana</w:t>
      </w:r>
      <w:r w:rsidRPr="00D13792">
        <w:rPr>
          <w:rFonts w:eastAsia="Calibri"/>
          <w:sz w:val="20"/>
          <w:szCs w:val="20"/>
        </w:rPr>
        <w:t xml:space="preserve"> y demás tratados interamericanos que le otorgan competencia, a fin de determinar si el Estado ha incurrido en responsabilidad internacional. </w:t>
      </w:r>
      <w:r w:rsidRPr="00D13792">
        <w:rPr>
          <w:rFonts w:eastAsia="Calibri"/>
          <w:sz w:val="20"/>
          <w:szCs w:val="20"/>
          <w:u w:val="single"/>
        </w:rPr>
        <w:t xml:space="preserve"> </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Finalmente, la Comisión y los representantes argumentaron que el Tribunal también tendría competencia para conocer los hechos del caso de ejecución instantánea acaecidos con anterioridad a la fecha del reconocimiento de la competencia contenciosa de la Corte, con base en que el reconocimiento de responsabilidad en el presente caso realizado por el Estado ante la Comisión y reiterado en su contestación ante la Corte implicaría una renuncia a la limitación temporal de competencia. </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En el presente caso, Guatemala reconoció su responsabilidad internacional dentro del proceso ante la Comisión. Sin embargo, antes de que esta emitiera su Informe de Fondo, Guatemala también manifestó que “no reconoce la competencia </w:t>
      </w:r>
      <w:r w:rsidRPr="00D13792">
        <w:rPr>
          <w:i/>
          <w:sz w:val="20"/>
          <w:szCs w:val="20"/>
        </w:rPr>
        <w:t>ratione temporis</w:t>
      </w:r>
      <w:r w:rsidRPr="00D13792">
        <w:rPr>
          <w:sz w:val="20"/>
          <w:szCs w:val="20"/>
        </w:rPr>
        <w:t xml:space="preserve"> de la Corte Interamericana […] para conocer el Caso […]”</w:t>
      </w:r>
      <w:r w:rsidRPr="00D13792">
        <w:rPr>
          <w:rStyle w:val="FootnoteReference"/>
          <w:sz w:val="20"/>
          <w:szCs w:val="20"/>
        </w:rPr>
        <w:footnoteReference w:id="11"/>
      </w:r>
      <w:r w:rsidRPr="00D13792">
        <w:rPr>
          <w:sz w:val="20"/>
          <w:szCs w:val="20"/>
        </w:rPr>
        <w:t xml:space="preserve">. Así, al someter el caso ante el Tribunal, </w:t>
      </w:r>
      <w:r w:rsidRPr="00D13792">
        <w:rPr>
          <w:rFonts w:eastAsia="Batang" w:cs="Times"/>
          <w:sz w:val="20"/>
          <w:szCs w:val="20"/>
          <w:lang w:eastAsia="en-US"/>
        </w:rPr>
        <w:t>la Comisión únicamente puso en conocimiento de este, “</w:t>
      </w:r>
      <w:r w:rsidRPr="00D13792">
        <w:rPr>
          <w:sz w:val="20"/>
          <w:szCs w:val="20"/>
        </w:rPr>
        <w:t>las acciones y omisiones estatales ocurridas o que continuaron ocurriendo con posterioridad al 9 de marzo de 1987, fecha de aceptación de la competencia contenciosa de la Corte Interamericana […]”, “sin perjuicio de que […] Guatemala acepte la competencia de la Corte para conocer la totalidad del presente caso”. Ahora bien, en el trámite ante esta Corte, es decir, en la contestación, en la audiencia pública y en sus alegatos finales escritos, Guatemala adoptó una posición consistente con el reconocimiento de responsabilidad efectuado ante la Comisión, en sentido que no negó los hechos del caso. Asimismo, durante la audiencia pública reconoció su responsabilidad internacional por los artículos 8 y 25 de la Convención, en relación con las investigaciones iniciadas en el presente caso a partir del año 1993 (</w:t>
      </w:r>
      <w:r w:rsidRPr="00D13792">
        <w:rPr>
          <w:i/>
          <w:sz w:val="20"/>
          <w:szCs w:val="20"/>
        </w:rPr>
        <w:t xml:space="preserve">infra </w:t>
      </w:r>
      <w:r w:rsidRPr="00D13792">
        <w:rPr>
          <w:sz w:val="20"/>
          <w:szCs w:val="20"/>
        </w:rPr>
        <w:t xml:space="preserve">párr. 51). Sin embargo, en todo momento negó expresamente su consentimiento a que el Tribunal conociera los hechos </w:t>
      </w:r>
      <w:r w:rsidRPr="00D13792">
        <w:rPr>
          <w:rFonts w:eastAsia="Batang" w:cs="Times"/>
          <w:sz w:val="20"/>
          <w:szCs w:val="20"/>
        </w:rPr>
        <w:t xml:space="preserve">ocurridos con anterioridad a la fecha en que aceptó su competencia. </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Al respecto, la Corte considera que un Estado puede renunciar a una limitación temporal </w:t>
      </w:r>
      <w:r w:rsidRPr="00D13792">
        <w:rPr>
          <w:sz w:val="20"/>
          <w:szCs w:val="20"/>
        </w:rPr>
        <w:lastRenderedPageBreak/>
        <w:t>al ejercicio de su competencia de forma expresa o tácita, como por ejemplo, a través de un reconocimiento de responsabilidad internacional. Sin embargo, la voluntad del Estado de ser juzgado debe desprenderse claramente de su conducta procesal</w:t>
      </w:r>
      <w:r w:rsidRPr="00D13792">
        <w:rPr>
          <w:rStyle w:val="FootnoteReference"/>
          <w:sz w:val="20"/>
          <w:szCs w:val="20"/>
        </w:rPr>
        <w:footnoteReference w:id="12"/>
      </w:r>
      <w:r w:rsidRPr="00D13792">
        <w:rPr>
          <w:sz w:val="20"/>
          <w:szCs w:val="20"/>
        </w:rPr>
        <w:t>. En casos anteriores en que la Corte ha examinado la totalidad o alguna parte de los hechos ocurridos con anterioridad al reconocimiento de su competencia y se ha pronunciado sobre las violaciones que se configuraron al respecto, los Estados concernidos otorgaron al Tribunal, de forma expresa o tácita, su consentimiento para ello</w:t>
      </w:r>
      <w:r w:rsidRPr="00D13792">
        <w:rPr>
          <w:rStyle w:val="FootnoteReference"/>
          <w:sz w:val="20"/>
          <w:szCs w:val="20"/>
        </w:rPr>
        <w:footnoteReference w:id="13"/>
      </w:r>
      <w:r w:rsidRPr="00D13792">
        <w:rPr>
          <w:sz w:val="20"/>
          <w:szCs w:val="20"/>
        </w:rPr>
        <w:t xml:space="preserve">. </w:t>
      </w:r>
    </w:p>
    <w:p w:rsidR="006A0E1C" w:rsidRPr="00D13792" w:rsidRDefault="006A0E1C" w:rsidP="006A0E1C">
      <w:pPr>
        <w:tabs>
          <w:tab w:val="left" w:pos="567"/>
        </w:tabs>
        <w:spacing w:line="240" w:lineRule="auto"/>
        <w:ind w:right="4"/>
        <w:rPr>
          <w:b/>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rFonts w:cs="Arial"/>
          <w:sz w:val="20"/>
          <w:szCs w:val="20"/>
        </w:rPr>
        <w:t xml:space="preserve">En </w:t>
      </w:r>
      <w:r w:rsidRPr="00D13792">
        <w:rPr>
          <w:sz w:val="20"/>
          <w:szCs w:val="20"/>
        </w:rPr>
        <w:t>consecuencia</w:t>
      </w:r>
      <w:r w:rsidRPr="00D13792">
        <w:rPr>
          <w:rFonts w:cs="Arial"/>
          <w:sz w:val="20"/>
          <w:szCs w:val="20"/>
        </w:rPr>
        <w:t xml:space="preserve">, la Corte considera que en el presente caso no tiene competencia </w:t>
      </w:r>
      <w:r w:rsidRPr="00D13792">
        <w:rPr>
          <w:rFonts w:cs="Arial"/>
          <w:i/>
          <w:iCs/>
          <w:sz w:val="20"/>
          <w:szCs w:val="20"/>
        </w:rPr>
        <w:t xml:space="preserve">ratione temporis </w:t>
      </w:r>
      <w:r w:rsidRPr="00D13792">
        <w:rPr>
          <w:rFonts w:cs="Arial"/>
          <w:sz w:val="20"/>
          <w:szCs w:val="20"/>
        </w:rPr>
        <w:t>para declarar violaciones a la Convención Americana por las detenciones arbitrarias, torturas, ejecuciones extrajudiciales, violaciones sexuales y otras formas de violencia sexual, trabajos forzosos y destrucción y robos de propiedad presuntamente cometidos entre los años 1981 y 1986 en perjuicio de los habitantes indígenas mayas achí de la aldea Chichupac y comunidades vecinas, en lo cual lleva razón el Estado. No obstante, no le asiste la razón al Estado en cuanto a las consecuencias continuas o permanentes de estos hechos, sea que se trate de delitos instantáneos o permanentes conforme al derecho penal interno. Cualquiera sea la calificación penal interna, lo continuo es la violación a la Convención que se sigue cometiendo en la actualidad, toda vez que la infracción de que conoce esta Corte es la de derecho internacional actual, dado que no juzga penalmente a los funcionarios, sino al Estado por violación a la Convención</w:t>
      </w:r>
      <w:r w:rsidRPr="00D13792">
        <w:rPr>
          <w:rFonts w:cs="Arial"/>
          <w:sz w:val="20"/>
          <w:szCs w:val="20"/>
          <w:vertAlign w:val="superscript"/>
        </w:rPr>
        <w:footnoteReference w:id="14"/>
      </w:r>
      <w:r w:rsidRPr="00D13792">
        <w:rPr>
          <w:rFonts w:cs="Arial"/>
          <w:sz w:val="20"/>
          <w:szCs w:val="20"/>
        </w:rPr>
        <w:t xml:space="preserve">. En tal sentido, yerra el Estado en cuanto objeta la competencia de la Corte respecto de la alegada desaparición forzada y la alegada omisión por parte del Estado de implementar garantías de retorno o un reasentamiento voluntario a favor de aquellas personas que permanecieron desplazadas luego del 9 de marzo de 1987, fecha a partir de la cual el Estado reconoció la competencia de la Corte, como también respecto de su alegada omisión de diligencia investigadora frente a graves violaciones a los derechos humanos, por ende, tampoco respecto de la reparación de los hechos. En vista de lo anterior, este Tribunal acoge parcialmente la excepción preliminar de falta de competencia </w:t>
      </w:r>
      <w:r w:rsidRPr="00D13792">
        <w:rPr>
          <w:rFonts w:cs="Arial"/>
          <w:i/>
          <w:iCs/>
          <w:sz w:val="20"/>
          <w:szCs w:val="20"/>
        </w:rPr>
        <w:t>ratione temporis.</w:t>
      </w:r>
    </w:p>
    <w:p w:rsidR="006A0E1C" w:rsidRPr="00D13792" w:rsidRDefault="006A0E1C" w:rsidP="006A0E1C">
      <w:pPr>
        <w:spacing w:line="240" w:lineRule="auto"/>
        <w:rPr>
          <w:sz w:val="20"/>
          <w:szCs w:val="20"/>
        </w:rPr>
      </w:pPr>
    </w:p>
    <w:p w:rsidR="006A0E1C" w:rsidRPr="00D13792" w:rsidRDefault="006A0E1C" w:rsidP="006A0E1C">
      <w:pPr>
        <w:pStyle w:val="Heading2"/>
        <w:rPr>
          <w:lang w:val="es-CR"/>
        </w:rPr>
      </w:pPr>
      <w:bookmarkStart w:id="67" w:name="_Toc469669993"/>
      <w:r w:rsidRPr="00D13792">
        <w:rPr>
          <w:lang w:val="es-CR"/>
        </w:rPr>
        <w:lastRenderedPageBreak/>
        <w:t xml:space="preserve">B. Excepción de falta de competencia </w:t>
      </w:r>
      <w:r w:rsidRPr="00D13792">
        <w:rPr>
          <w:i w:val="0"/>
          <w:lang w:val="es-CR"/>
        </w:rPr>
        <w:t>ratione materiae</w:t>
      </w:r>
      <w:bookmarkEnd w:id="67"/>
    </w:p>
    <w:p w:rsidR="006A0E1C" w:rsidRPr="00D13792" w:rsidRDefault="006A0E1C" w:rsidP="006A0E1C">
      <w:pPr>
        <w:tabs>
          <w:tab w:val="left" w:pos="720"/>
        </w:tabs>
        <w:spacing w:line="240" w:lineRule="auto"/>
        <w:rPr>
          <w:bCs/>
          <w:i/>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El Estado opuso una excepción de falta de competencia </w:t>
      </w:r>
      <w:r w:rsidRPr="00D13792">
        <w:rPr>
          <w:i/>
          <w:sz w:val="20"/>
          <w:szCs w:val="20"/>
        </w:rPr>
        <w:t>ratione materiae</w:t>
      </w:r>
      <w:r w:rsidRPr="00D13792">
        <w:rPr>
          <w:sz w:val="20"/>
          <w:szCs w:val="20"/>
        </w:rPr>
        <w:t xml:space="preserve"> con base en cuatro argumentos: 1) la alegada falta de competencia de la Corte para conocer de supuestas violaciones a la Convención Interamericana sobre Desaparición Forzada de Personas (CIDFP) y a la Convención Interamericana para Prevenir, Sancionar y Erradicar la Violencia contra la Mujer (“Convención de Belém do Pará”); 2) la alegada falta de competencia del Tribunal para determinar la comisión de delitos; 3) la alegada falta de competencia de la Corte en materia penal para pronunciarse sobre si hubo o no genocidio, así como para pronunciarse acerca de una violación a la Convención para la Prevención y la Sanción del Delito de Genocidio; y 4) la alegada falta de competencia del Tribunal para decretar la invalidez de la amnistía. A continuación, la Corte analizará los alegatos presentados por el Estado. El argumento 3) será analizado, según corresponda, junto con los argumentos 1) y 2).</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pStyle w:val="Heading3"/>
        <w:ind w:left="0"/>
        <w:rPr>
          <w:i/>
          <w:lang w:val="es-CR"/>
        </w:rPr>
      </w:pPr>
      <w:bookmarkStart w:id="68" w:name="_Toc469669994"/>
      <w:r w:rsidRPr="00D13792">
        <w:rPr>
          <w:i/>
          <w:lang w:val="es-CR"/>
        </w:rPr>
        <w:t>B.1. Alegada falta de competencia de la Corte para conocer de supuestas violaciones a la CIDFP, a la Convención de Belém do Pará y a la Convención para la Prevención y la Sanción del Delito de Genocidio</w:t>
      </w:r>
      <w:bookmarkEnd w:id="68"/>
    </w:p>
    <w:p w:rsidR="006A0E1C" w:rsidRPr="00D13792" w:rsidRDefault="006A0E1C" w:rsidP="006A0E1C">
      <w:pPr>
        <w:tabs>
          <w:tab w:val="left" w:pos="567"/>
        </w:tabs>
        <w:spacing w:line="240" w:lineRule="auto"/>
        <w:ind w:right="4"/>
        <w:rPr>
          <w:sz w:val="16"/>
          <w:szCs w:val="20"/>
        </w:rPr>
      </w:pPr>
    </w:p>
    <w:p w:rsidR="006A0E1C" w:rsidRPr="00D13792" w:rsidRDefault="006A0E1C" w:rsidP="006A0E1C">
      <w:pPr>
        <w:pStyle w:val="Heading4"/>
        <w:ind w:left="0" w:firstLine="0"/>
        <w:rPr>
          <w:lang w:val="es-CR"/>
        </w:rPr>
      </w:pPr>
      <w:r w:rsidRPr="00D13792">
        <w:rPr>
          <w:lang w:val="es-CR"/>
        </w:rPr>
        <w:t>B.1.1. Argumentos de la Comisión y de las partes</w:t>
      </w:r>
    </w:p>
    <w:p w:rsidR="006A0E1C" w:rsidRPr="00D13792" w:rsidRDefault="006A0E1C" w:rsidP="006A0E1C">
      <w:pPr>
        <w:tabs>
          <w:tab w:val="left" w:pos="567"/>
        </w:tabs>
        <w:spacing w:line="240" w:lineRule="auto"/>
        <w:ind w:right="4"/>
        <w:rPr>
          <w:i/>
          <w:sz w:val="16"/>
          <w:szCs w:val="20"/>
        </w:rPr>
      </w:pPr>
      <w:r w:rsidRPr="00D13792">
        <w:rPr>
          <w:i/>
          <w:sz w:val="20"/>
          <w:szCs w:val="20"/>
        </w:rPr>
        <w:t xml:space="preserve"> </w:t>
      </w: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El </w:t>
      </w:r>
      <w:r w:rsidRPr="00D13792">
        <w:rPr>
          <w:b/>
          <w:i/>
          <w:sz w:val="20"/>
          <w:szCs w:val="20"/>
        </w:rPr>
        <w:t>Estado</w:t>
      </w:r>
      <w:r w:rsidRPr="00D13792">
        <w:rPr>
          <w:sz w:val="20"/>
          <w:szCs w:val="20"/>
        </w:rPr>
        <w:t xml:space="preserve"> indicó que “la Corte carece de la competencia para conocer de supuestas violaciones a la [CIDFP], y de la Convención [de] Belém do Pará, ya que Guatemala no ha reconocido su competencia para conocer de violaciones a dichas convenciones”. </w:t>
      </w:r>
      <w:r w:rsidRPr="00D13792">
        <w:rPr>
          <w:rFonts w:eastAsia="Calibri" w:cs="Verdana"/>
          <w:spacing w:val="-2"/>
          <w:sz w:val="20"/>
          <w:szCs w:val="20"/>
        </w:rPr>
        <w:t xml:space="preserve">Asimismo, sostuvo que la desaparición forzada no estaba tipificada como delito en Guatemala en la época de los hechos del caso, y que debe aplicar </w:t>
      </w:r>
      <w:r w:rsidRPr="00D13792">
        <w:rPr>
          <w:sz w:val="20"/>
          <w:szCs w:val="20"/>
        </w:rPr>
        <w:t>su legislación nacional según los principios de que sin ley no hay delito, proceso ni pena. Finalmente, sostuvo que ni la Corte ni la Comisión “pueden pronunciarse acerca de la violación a la Convención para la Prevención y la Sanción del Delito de Genocidio”.</w:t>
      </w:r>
      <w:r w:rsidRPr="00D13792">
        <w:rPr>
          <w:b/>
          <w:sz w:val="20"/>
          <w:szCs w:val="20"/>
        </w:rPr>
        <w:t xml:space="preserve"> </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b/>
          <w:sz w:val="20"/>
          <w:szCs w:val="20"/>
        </w:rPr>
      </w:pPr>
      <w:r w:rsidRPr="00D13792">
        <w:rPr>
          <w:sz w:val="20"/>
          <w:szCs w:val="20"/>
        </w:rPr>
        <w:t xml:space="preserve">La </w:t>
      </w:r>
      <w:r w:rsidRPr="00D13792">
        <w:rPr>
          <w:b/>
          <w:i/>
          <w:sz w:val="20"/>
          <w:szCs w:val="20"/>
        </w:rPr>
        <w:t>Comisión</w:t>
      </w:r>
      <w:r w:rsidRPr="00D13792">
        <w:rPr>
          <w:sz w:val="20"/>
          <w:szCs w:val="20"/>
        </w:rPr>
        <w:t xml:space="preserve"> argumentó que en reiteradas ocasiones la Corte ha aplicado el artículo 7 de la Convención de Belém do Pará. Igualmente, señaló que la Corte ha reiterado de manera consistente que el artículo XIII de la CIDFP, en relación con el artículo 62 de la Convención Americana, fija la facultad de la Corte para conocer de los asuntos relacionados con el cumplimiento de los compromisos contraídos por los Estados Partes en aquel instrumento. Además, sostuvo que la determinación de la existencia o no de una desaparición forzada es un asunto de fondo, por lo que no corresponde pronunciarse de forma preliminar. </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Los </w:t>
      </w:r>
      <w:r w:rsidRPr="00D13792">
        <w:rPr>
          <w:b/>
          <w:i/>
          <w:sz w:val="20"/>
          <w:szCs w:val="20"/>
        </w:rPr>
        <w:t>representantes</w:t>
      </w:r>
      <w:r w:rsidRPr="00D13792">
        <w:rPr>
          <w:sz w:val="20"/>
          <w:szCs w:val="20"/>
        </w:rPr>
        <w:t xml:space="preserve"> indicaron que la Corte es competente de conocer la violación del artículo I de la CIDFP, así como del artículo 7 de la Convención de Belém do Pará, porque Guatemala ratificó la primera el 25 de febrero de 2000 y la segunda el 4 de abril de 1995. Por otra parte, argumentaron que debe interpretarse que la prohibición del genocidio es una extensión del derecho a la vida reconocido en la Convención Americana, tomando en cuenta “la norma de interpretación 29(c)” de dicho tratado, así como el hecho de que Guatemala ha ratificado la Convención para la Prevención y la Sanción del Delito de Genocidio. </w:t>
      </w:r>
    </w:p>
    <w:p w:rsidR="006A0E1C" w:rsidRPr="00D13792" w:rsidRDefault="006A0E1C" w:rsidP="006A0E1C">
      <w:pPr>
        <w:tabs>
          <w:tab w:val="left" w:pos="567"/>
        </w:tabs>
        <w:spacing w:line="240" w:lineRule="auto"/>
        <w:ind w:right="4"/>
        <w:rPr>
          <w:i/>
          <w:sz w:val="16"/>
          <w:szCs w:val="20"/>
        </w:rPr>
      </w:pPr>
    </w:p>
    <w:p w:rsidR="006A0E1C" w:rsidRPr="00D13792" w:rsidRDefault="006A0E1C" w:rsidP="006A0E1C">
      <w:pPr>
        <w:pStyle w:val="Heading4"/>
        <w:ind w:left="0" w:firstLine="0"/>
        <w:rPr>
          <w:lang w:val="es-CR"/>
        </w:rPr>
      </w:pPr>
      <w:r w:rsidRPr="00D13792">
        <w:rPr>
          <w:lang w:val="es-CR"/>
        </w:rPr>
        <w:t>B.1.2. Consideraciones de la Corte</w:t>
      </w:r>
    </w:p>
    <w:p w:rsidR="006A0E1C" w:rsidRPr="00D13792" w:rsidRDefault="006A0E1C" w:rsidP="006A0E1C">
      <w:pPr>
        <w:tabs>
          <w:tab w:val="left" w:pos="567"/>
        </w:tabs>
        <w:spacing w:line="240" w:lineRule="auto"/>
        <w:ind w:right="4"/>
        <w:rPr>
          <w:i/>
          <w:sz w:val="20"/>
          <w:szCs w:val="20"/>
        </w:rPr>
      </w:pPr>
    </w:p>
    <w:p w:rsidR="006A0E1C" w:rsidRPr="00D13792" w:rsidRDefault="006A0E1C" w:rsidP="006A0E1C">
      <w:pPr>
        <w:numPr>
          <w:ilvl w:val="0"/>
          <w:numId w:val="6"/>
        </w:numPr>
        <w:tabs>
          <w:tab w:val="left" w:pos="567"/>
          <w:tab w:val="num" w:pos="11028"/>
        </w:tabs>
        <w:spacing w:line="240" w:lineRule="auto"/>
        <w:ind w:right="4"/>
        <w:rPr>
          <w:sz w:val="20"/>
          <w:szCs w:val="20"/>
        </w:rPr>
      </w:pPr>
      <w:r w:rsidRPr="00D13792">
        <w:rPr>
          <w:rFonts w:eastAsia="Calibri"/>
          <w:spacing w:val="-2"/>
          <w:sz w:val="20"/>
          <w:szCs w:val="20"/>
          <w:lang w:eastAsia="en-US"/>
        </w:rPr>
        <w:t xml:space="preserve">En primer lugar, Guatemala depositó su instrumento de ratificación de la </w:t>
      </w:r>
      <w:r w:rsidRPr="00D13792">
        <w:rPr>
          <w:sz w:val="20"/>
          <w:szCs w:val="20"/>
        </w:rPr>
        <w:t xml:space="preserve">Convención Interamericana sobre Desaparición Forzada de Personas (CIDFP) en la Secretaría General de la OEA </w:t>
      </w:r>
      <w:r w:rsidRPr="00D13792">
        <w:rPr>
          <w:rFonts w:eastAsia="Calibri"/>
          <w:spacing w:val="-2"/>
          <w:sz w:val="20"/>
          <w:szCs w:val="20"/>
          <w:lang w:eastAsia="en-US"/>
        </w:rPr>
        <w:t xml:space="preserve">el </w:t>
      </w:r>
      <w:r w:rsidRPr="00D13792">
        <w:rPr>
          <w:sz w:val="20"/>
          <w:szCs w:val="20"/>
        </w:rPr>
        <w:t>25 de febrero de 2000, sin limitación a la competencia de la Corte ni reservas vigentes</w:t>
      </w:r>
      <w:r w:rsidRPr="00D13792">
        <w:rPr>
          <w:rStyle w:val="FootnoteReference"/>
          <w:spacing w:val="-2"/>
          <w:sz w:val="20"/>
          <w:szCs w:val="20"/>
          <w:lang w:eastAsia="en-US"/>
        </w:rPr>
        <w:footnoteReference w:id="15"/>
      </w:r>
      <w:r w:rsidRPr="00D13792">
        <w:rPr>
          <w:sz w:val="20"/>
          <w:szCs w:val="20"/>
        </w:rPr>
        <w:t xml:space="preserve">. </w:t>
      </w:r>
      <w:r w:rsidRPr="00D13792">
        <w:rPr>
          <w:spacing w:val="-2"/>
          <w:sz w:val="20"/>
          <w:szCs w:val="20"/>
        </w:rPr>
        <w:t>Esta Corte ha establecido de forma reiterada</w:t>
      </w:r>
      <w:r w:rsidRPr="00D13792">
        <w:rPr>
          <w:spacing w:val="-2"/>
          <w:sz w:val="20"/>
          <w:szCs w:val="20"/>
          <w:vertAlign w:val="superscript"/>
        </w:rPr>
        <w:footnoteReference w:id="16"/>
      </w:r>
      <w:r w:rsidRPr="00D13792">
        <w:rPr>
          <w:spacing w:val="-2"/>
          <w:sz w:val="20"/>
          <w:szCs w:val="20"/>
        </w:rPr>
        <w:t xml:space="preserve"> que el artículo XIII de la CIDFP</w:t>
      </w:r>
      <w:r w:rsidRPr="00D13792">
        <w:rPr>
          <w:rStyle w:val="FootnoteReference"/>
          <w:spacing w:val="-2"/>
          <w:sz w:val="20"/>
          <w:szCs w:val="20"/>
        </w:rPr>
        <w:footnoteReference w:id="17"/>
      </w:r>
      <w:r w:rsidRPr="00D13792">
        <w:rPr>
          <w:spacing w:val="-2"/>
          <w:sz w:val="20"/>
          <w:szCs w:val="20"/>
        </w:rPr>
        <w:t xml:space="preserve"> fija </w:t>
      </w:r>
      <w:r w:rsidRPr="00D13792">
        <w:rPr>
          <w:spacing w:val="-2"/>
          <w:sz w:val="20"/>
          <w:szCs w:val="20"/>
        </w:rPr>
        <w:lastRenderedPageBreak/>
        <w:t xml:space="preserve">la facultad del Tribunal para conocer de los asuntos relacionados con </w:t>
      </w:r>
      <w:r w:rsidRPr="00D13792">
        <w:rPr>
          <w:sz w:val="20"/>
          <w:szCs w:val="20"/>
        </w:rPr>
        <w:t>el</w:t>
      </w:r>
      <w:r w:rsidRPr="00D13792">
        <w:rPr>
          <w:spacing w:val="-2"/>
          <w:sz w:val="20"/>
          <w:szCs w:val="20"/>
        </w:rPr>
        <w:t xml:space="preserve"> cumplimiento de los compromisos contraídos por los Estados Partes a través de dicho instrumento. Por otra parte, la evaluación de si determinados hechos constituyeron desapariciones forzadas de conformidad con la Convención Americana y la CIDFP es un asunto de fondo, sobre el cual no corresponde pronunciarse de forma preliminar. Por tanto, la Corte desestima </w:t>
      </w:r>
      <w:r w:rsidRPr="00D13792">
        <w:rPr>
          <w:rFonts w:eastAsia="Calibri"/>
          <w:sz w:val="20"/>
          <w:szCs w:val="20"/>
        </w:rPr>
        <w:t>la</w:t>
      </w:r>
      <w:r w:rsidRPr="00D13792">
        <w:rPr>
          <w:rFonts w:eastAsia="Calibri"/>
          <w:b/>
          <w:sz w:val="20"/>
          <w:szCs w:val="20"/>
        </w:rPr>
        <w:t xml:space="preserve"> </w:t>
      </w:r>
      <w:r w:rsidRPr="00D13792">
        <w:rPr>
          <w:rFonts w:eastAsia="Calibri"/>
          <w:sz w:val="20"/>
          <w:szCs w:val="20"/>
        </w:rPr>
        <w:t>excepción preliminar</w:t>
      </w:r>
      <w:r w:rsidRPr="00D13792">
        <w:rPr>
          <w:rFonts w:eastAsia="Calibri"/>
          <w:b/>
          <w:sz w:val="20"/>
          <w:szCs w:val="20"/>
        </w:rPr>
        <w:t xml:space="preserve"> </w:t>
      </w:r>
      <w:r w:rsidRPr="00D13792">
        <w:rPr>
          <w:rFonts w:eastAsia="Calibri"/>
          <w:sz w:val="20"/>
          <w:szCs w:val="20"/>
        </w:rPr>
        <w:t>de falta de competencia de la Corte para conocer sobre alegadas violaciones de la CIDFP.</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rFonts w:eastAsia="Calibri" w:cs="Arial"/>
          <w:sz w:val="20"/>
          <w:szCs w:val="20"/>
        </w:rPr>
      </w:pPr>
      <w:r w:rsidRPr="00D13792">
        <w:rPr>
          <w:sz w:val="20"/>
          <w:szCs w:val="20"/>
        </w:rPr>
        <w:t>En segundo lugar, el Estado</w:t>
      </w:r>
      <w:r w:rsidRPr="00D13792">
        <w:rPr>
          <w:rFonts w:eastAsia="Calibri" w:cs="Arial"/>
          <w:sz w:val="20"/>
          <w:szCs w:val="20"/>
        </w:rPr>
        <w:t xml:space="preserve"> ratificó </w:t>
      </w:r>
      <w:r w:rsidRPr="00D13792">
        <w:rPr>
          <w:rFonts w:eastAsia="Calibri"/>
          <w:sz w:val="20"/>
          <w:szCs w:val="20"/>
        </w:rPr>
        <w:t>la</w:t>
      </w:r>
      <w:r w:rsidRPr="00D13792">
        <w:rPr>
          <w:rFonts w:eastAsia="Calibri" w:cs="Arial"/>
          <w:sz w:val="20"/>
          <w:szCs w:val="20"/>
        </w:rPr>
        <w:t xml:space="preserve"> Convención de Belém do Pará el 4 de enero de 1995 sin reservas o limitaciones. Como ha indicado la Corte en los </w:t>
      </w:r>
      <w:r w:rsidRPr="00D13792">
        <w:rPr>
          <w:rFonts w:eastAsia="Calibri"/>
          <w:sz w:val="20"/>
          <w:szCs w:val="20"/>
        </w:rPr>
        <w:t xml:space="preserve">casos </w:t>
      </w:r>
      <w:r w:rsidRPr="00D13792">
        <w:rPr>
          <w:rFonts w:eastAsia="Calibri"/>
          <w:i/>
          <w:sz w:val="20"/>
          <w:szCs w:val="20"/>
        </w:rPr>
        <w:t>González y otras (“Campo Algodonero”) Vs. México</w:t>
      </w:r>
      <w:r w:rsidRPr="00D13792">
        <w:rPr>
          <w:rFonts w:eastAsia="Calibri" w:cs="Arial"/>
          <w:sz w:val="20"/>
          <w:szCs w:val="20"/>
        </w:rPr>
        <w:t xml:space="preserve">, </w:t>
      </w:r>
      <w:r w:rsidRPr="00D13792">
        <w:rPr>
          <w:rFonts w:eastAsia="Calibri"/>
          <w:i/>
          <w:sz w:val="20"/>
          <w:szCs w:val="20"/>
        </w:rPr>
        <w:t xml:space="preserve">Veliz Franco y otros Vs. Guatemala, </w:t>
      </w:r>
      <w:r w:rsidRPr="00D13792">
        <w:rPr>
          <w:i/>
          <w:sz w:val="20"/>
          <w:szCs w:val="20"/>
        </w:rPr>
        <w:t>Espinoza González Vs. Perú</w:t>
      </w:r>
      <w:r w:rsidRPr="00D13792">
        <w:rPr>
          <w:rFonts w:eastAsia="Calibri"/>
          <w:i/>
          <w:sz w:val="20"/>
          <w:szCs w:val="20"/>
        </w:rPr>
        <w:t>, y Claudina Velásquez Paiz y otros Vs. Guatemala,</w:t>
      </w:r>
      <w:r w:rsidRPr="00D13792">
        <w:rPr>
          <w:rFonts w:eastAsia="Calibri" w:cs="Arial"/>
          <w:sz w:val="20"/>
          <w:szCs w:val="20"/>
        </w:rPr>
        <w:t xml:space="preserve"> “el tenor literal del artículo 12 de la Convención Belém do Pará concede competencia a la Corte, al no exceptuar de su aplicación ninguna de las normas y requisitos de procedimiento para las comunicaciones individuales”</w:t>
      </w:r>
      <w:r w:rsidRPr="00D13792">
        <w:rPr>
          <w:rFonts w:eastAsia="Calibri" w:cs="Arial"/>
          <w:sz w:val="20"/>
          <w:szCs w:val="20"/>
          <w:vertAlign w:val="superscript"/>
        </w:rPr>
        <w:footnoteReference w:id="18"/>
      </w:r>
      <w:r w:rsidRPr="00D13792">
        <w:rPr>
          <w:rFonts w:eastAsia="Calibri" w:cs="Arial"/>
          <w:sz w:val="20"/>
          <w:szCs w:val="20"/>
        </w:rPr>
        <w:t xml:space="preserve">. </w:t>
      </w:r>
      <w:r w:rsidRPr="00D13792">
        <w:rPr>
          <w:rFonts w:eastAsia="Calibri"/>
          <w:sz w:val="20"/>
          <w:szCs w:val="20"/>
        </w:rPr>
        <w:t>Cabe destacar que en otros casos contenciosos contra Guatemala</w:t>
      </w:r>
      <w:r w:rsidRPr="00D13792">
        <w:rPr>
          <w:rFonts w:eastAsia="Calibri"/>
          <w:sz w:val="20"/>
          <w:szCs w:val="20"/>
          <w:vertAlign w:val="superscript"/>
        </w:rPr>
        <w:footnoteReference w:id="19"/>
      </w:r>
      <w:r w:rsidRPr="00D13792">
        <w:rPr>
          <w:rFonts w:eastAsia="Calibri"/>
          <w:sz w:val="20"/>
          <w:szCs w:val="20"/>
        </w:rPr>
        <w:t xml:space="preserve">, la Corte declaró la responsabilidad del Estado por la violación del artículo 7 de la Convención de Belém do Pará y no encuentra elementos que justifiquen apartarse de su jurisprudencia. </w:t>
      </w:r>
      <w:r w:rsidRPr="00D13792">
        <w:rPr>
          <w:rFonts w:eastAsia="Calibri" w:cs="Arial"/>
          <w:sz w:val="20"/>
          <w:szCs w:val="20"/>
        </w:rPr>
        <w:t>Por</w:t>
      </w:r>
      <w:r w:rsidRPr="00D13792">
        <w:rPr>
          <w:rFonts w:eastAsia="Calibri"/>
          <w:sz w:val="20"/>
          <w:szCs w:val="20"/>
        </w:rPr>
        <w:t xml:space="preserve"> lo tanto, la Corte desestima la excepción preliminar de falta de competencia de la Corte para conocer sobre el artículo 7 de la Convención de Belém do Pará.</w:t>
      </w:r>
    </w:p>
    <w:p w:rsidR="006A0E1C" w:rsidRPr="00D13792" w:rsidRDefault="006A0E1C" w:rsidP="006A0E1C">
      <w:pPr>
        <w:tabs>
          <w:tab w:val="left" w:pos="567"/>
        </w:tabs>
        <w:spacing w:line="240" w:lineRule="auto"/>
        <w:ind w:right="4"/>
        <w:rPr>
          <w:rFonts w:eastAsia="Calibri" w:cs="Arial"/>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rFonts w:eastAsia="Calibri" w:cs="Arial"/>
          <w:sz w:val="20"/>
          <w:szCs w:val="20"/>
        </w:rPr>
        <w:t xml:space="preserve">En tercer lugar, la Corte nota que ni la Comisión ni los representantes han solicitado al Tribunal declarar una violación de </w:t>
      </w:r>
      <w:r w:rsidRPr="00D13792">
        <w:rPr>
          <w:sz w:val="20"/>
          <w:szCs w:val="20"/>
        </w:rPr>
        <w:t xml:space="preserve">la Convención para la Prevención y la Sanción del Delito de Genocidio (CPSDG). En consecuencia, </w:t>
      </w:r>
      <w:r w:rsidRPr="00D13792">
        <w:rPr>
          <w:rFonts w:eastAsia="Calibri"/>
          <w:sz w:val="20"/>
          <w:szCs w:val="20"/>
        </w:rPr>
        <w:t xml:space="preserve">la excepción preliminar de falta de competencia de la Corte para declarar violaciones </w:t>
      </w:r>
      <w:r w:rsidRPr="00D13792">
        <w:rPr>
          <w:sz w:val="20"/>
          <w:szCs w:val="20"/>
        </w:rPr>
        <w:t>de la CPSDG carece de objeto, por lo que es desestimada. Sin perjuicio de ello, como en otros casos, incluso contra Guatemala, la Corte considera útil y apropiado interpretar la Convención Americana, teniendo en cuenta otros tratados del derecho internacional humanitario</w:t>
      </w:r>
      <w:r w:rsidRPr="00D13792">
        <w:rPr>
          <w:sz w:val="20"/>
          <w:szCs w:val="20"/>
          <w:vertAlign w:val="superscript"/>
        </w:rPr>
        <w:footnoteReference w:id="20"/>
      </w:r>
      <w:r w:rsidRPr="00D13792">
        <w:rPr>
          <w:sz w:val="20"/>
          <w:szCs w:val="20"/>
        </w:rPr>
        <w:t xml:space="preserve"> y el derecho penal internacional</w:t>
      </w:r>
      <w:r w:rsidRPr="00D13792">
        <w:rPr>
          <w:sz w:val="20"/>
          <w:szCs w:val="20"/>
          <w:vertAlign w:val="superscript"/>
        </w:rPr>
        <w:footnoteReference w:id="21"/>
      </w:r>
      <w:r w:rsidRPr="00D13792">
        <w:rPr>
          <w:sz w:val="20"/>
          <w:szCs w:val="20"/>
        </w:rPr>
        <w:t xml:space="preserve">, habida consideración de su </w:t>
      </w:r>
      <w:r w:rsidRPr="00D13792">
        <w:rPr>
          <w:sz w:val="20"/>
          <w:szCs w:val="20"/>
        </w:rPr>
        <w:lastRenderedPageBreak/>
        <w:t>especificidad en la materia</w:t>
      </w:r>
      <w:r w:rsidRPr="00D13792">
        <w:rPr>
          <w:rStyle w:val="FootnoteReference"/>
          <w:sz w:val="20"/>
          <w:szCs w:val="20"/>
        </w:rPr>
        <w:footnoteReference w:id="22"/>
      </w:r>
      <w:r w:rsidRPr="00D13792">
        <w:rPr>
          <w:sz w:val="20"/>
          <w:szCs w:val="20"/>
        </w:rPr>
        <w:t xml:space="preserve">. </w:t>
      </w:r>
    </w:p>
    <w:p w:rsidR="006A0E1C" w:rsidRPr="00D13792" w:rsidRDefault="006A0E1C" w:rsidP="006A0E1C">
      <w:pPr>
        <w:tabs>
          <w:tab w:val="left" w:pos="567"/>
        </w:tabs>
        <w:spacing w:line="240" w:lineRule="auto"/>
        <w:ind w:right="4"/>
        <w:rPr>
          <w:sz w:val="16"/>
          <w:szCs w:val="20"/>
        </w:rPr>
      </w:pPr>
    </w:p>
    <w:p w:rsidR="006A0E1C" w:rsidRPr="00D13792" w:rsidRDefault="006A0E1C" w:rsidP="006A0E1C">
      <w:pPr>
        <w:pStyle w:val="Heading3"/>
        <w:ind w:left="0"/>
        <w:rPr>
          <w:i/>
          <w:lang w:val="es-CR"/>
        </w:rPr>
      </w:pPr>
      <w:bookmarkStart w:id="69" w:name="_Toc469669995"/>
      <w:r w:rsidRPr="00D13792">
        <w:rPr>
          <w:i/>
          <w:lang w:val="es-CR"/>
        </w:rPr>
        <w:t>B.2. Alegada falta de competencia para determinar la comisión de delitos</w:t>
      </w:r>
      <w:bookmarkEnd w:id="69"/>
      <w:r w:rsidRPr="00D13792">
        <w:rPr>
          <w:i/>
          <w:lang w:val="es-CR"/>
        </w:rPr>
        <w:t xml:space="preserve"> </w:t>
      </w:r>
    </w:p>
    <w:p w:rsidR="006A0E1C" w:rsidRPr="00D13792" w:rsidRDefault="006A0E1C" w:rsidP="006A0E1C">
      <w:pPr>
        <w:pStyle w:val="Heading4"/>
        <w:rPr>
          <w:lang w:val="es-CR"/>
        </w:rPr>
      </w:pPr>
    </w:p>
    <w:p w:rsidR="006A0E1C" w:rsidRPr="00D13792" w:rsidRDefault="006A0E1C" w:rsidP="006A0E1C">
      <w:pPr>
        <w:pStyle w:val="Heading4"/>
        <w:ind w:left="0" w:firstLine="0"/>
        <w:rPr>
          <w:lang w:val="es-CR"/>
        </w:rPr>
      </w:pPr>
      <w:r w:rsidRPr="00D13792">
        <w:rPr>
          <w:lang w:val="es-CR"/>
        </w:rPr>
        <w:t>B.2.1. Argumentos de la Comisión y de las partes</w:t>
      </w:r>
    </w:p>
    <w:p w:rsidR="006A0E1C" w:rsidRPr="00D13792" w:rsidRDefault="006A0E1C" w:rsidP="006A0E1C">
      <w:pPr>
        <w:tabs>
          <w:tab w:val="left" w:pos="567"/>
        </w:tabs>
        <w:spacing w:line="240" w:lineRule="auto"/>
        <w:ind w:right="4"/>
        <w:rPr>
          <w:b/>
          <w:i/>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El </w:t>
      </w:r>
      <w:r w:rsidRPr="00D13792">
        <w:rPr>
          <w:b/>
          <w:i/>
          <w:sz w:val="20"/>
          <w:szCs w:val="20"/>
        </w:rPr>
        <w:t>Estado</w:t>
      </w:r>
      <w:r w:rsidRPr="00D13792">
        <w:rPr>
          <w:sz w:val="20"/>
          <w:szCs w:val="20"/>
        </w:rPr>
        <w:t xml:space="preserve"> manifestó que ni “la Corte ni la Comisión pueden indicar que se cometieron delitos en el presente caso[,] ya que no son una Corte Penal ni tienen dicha competencia”. Así, solicitó a la Corte que “no señale al Estado por la comisión de delitos”. A modo de ejemplo, señaló que la </w:t>
      </w:r>
      <w:r w:rsidRPr="00D13792">
        <w:rPr>
          <w:rFonts w:eastAsia="Calibri" w:cs="Arial"/>
          <w:sz w:val="20"/>
          <w:szCs w:val="20"/>
        </w:rPr>
        <w:t>Comisión</w:t>
      </w:r>
      <w:r w:rsidRPr="00D13792">
        <w:rPr>
          <w:sz w:val="20"/>
          <w:szCs w:val="20"/>
        </w:rPr>
        <w:t xml:space="preserve"> se refirió de forma indebida a “homicidios, asesinatos, ejecuciones extrajudiciales, crimen de guerra, crimen de lesa humanidad, o genocidio […]”. </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La </w:t>
      </w:r>
      <w:r w:rsidRPr="00D13792">
        <w:rPr>
          <w:b/>
          <w:i/>
          <w:sz w:val="20"/>
          <w:szCs w:val="20"/>
        </w:rPr>
        <w:t>Comisión</w:t>
      </w:r>
      <w:r w:rsidRPr="00D13792">
        <w:rPr>
          <w:sz w:val="20"/>
          <w:szCs w:val="20"/>
        </w:rPr>
        <w:t xml:space="preserve"> sostuvo que “tanto la [Comisión] como la Corte han sido consistentes en indicar que su competencia no es de naturaleza penal, sino de naturaleza de supervisión del cumplimiento con las obligaciones libremente asumidos por los Estados partes”. Por otra parte, sostuvo que el argumento del Estado no constituye una excepción preliminar en tanto no pretende objetar la competencia de la Corte para conocer el caso.</w:t>
      </w:r>
      <w:r w:rsidRPr="00D13792">
        <w:rPr>
          <w:rFonts w:eastAsia="Calibri" w:cs="Verdana"/>
          <w:b/>
          <w:spacing w:val="-2"/>
          <w:sz w:val="20"/>
          <w:szCs w:val="20"/>
        </w:rPr>
        <w:t xml:space="preserve">  </w:t>
      </w:r>
    </w:p>
    <w:p w:rsidR="006A0E1C" w:rsidRPr="00D13792" w:rsidRDefault="006A0E1C" w:rsidP="006A0E1C">
      <w:pPr>
        <w:widowControl/>
        <w:autoSpaceDE w:val="0"/>
        <w:autoSpaceDN w:val="0"/>
        <w:spacing w:line="240" w:lineRule="auto"/>
        <w:textAlignment w:val="auto"/>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Los </w:t>
      </w:r>
      <w:r w:rsidRPr="00D13792">
        <w:rPr>
          <w:b/>
          <w:i/>
          <w:sz w:val="20"/>
          <w:szCs w:val="20"/>
        </w:rPr>
        <w:t>representantes</w:t>
      </w:r>
      <w:r w:rsidRPr="00D13792">
        <w:rPr>
          <w:sz w:val="20"/>
          <w:szCs w:val="20"/>
        </w:rPr>
        <w:t xml:space="preserve"> sostuvieron que “la desaparición forzada es una violación de derechos humanos […] que es de competencia de la Corte […] por constituir una violación múltiple y continuada de numerosos derechos reconocidos en la Convención […] y porque los actos constitutivos de desaparición forzada tienen carácter permanente mientras no se conozca el paradero de la víctima o se hallen sus restos”.</w:t>
      </w:r>
      <w:r w:rsidRPr="00D13792">
        <w:rPr>
          <w:b/>
          <w:sz w:val="20"/>
          <w:szCs w:val="20"/>
        </w:rPr>
        <w:t xml:space="preserve"> </w:t>
      </w:r>
      <w:r w:rsidRPr="00D13792">
        <w:rPr>
          <w:sz w:val="20"/>
          <w:szCs w:val="20"/>
        </w:rPr>
        <w:t>Asimismo, solicitaron a la Corte declarar que Guatemala aplicó una política de genocidio contra el pueblo maya achí de Rabinal y que existe una responsabilidad internacional agravada para el Estado que debe ser tomada en cuenta al momento de fijar las reparaciones, debido a que la “prohibición de genocidio debe ser una extensión del derecho a la vida […]”.</w:t>
      </w:r>
      <w:r w:rsidRPr="00D13792">
        <w:rPr>
          <w:b/>
          <w:sz w:val="20"/>
          <w:szCs w:val="20"/>
        </w:rPr>
        <w:t xml:space="preserve"> </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pStyle w:val="Heading4"/>
        <w:ind w:left="0" w:firstLine="0"/>
        <w:rPr>
          <w:b/>
          <w:lang w:val="es-CR"/>
        </w:rPr>
      </w:pPr>
      <w:r w:rsidRPr="00D13792">
        <w:rPr>
          <w:lang w:val="es-CR"/>
        </w:rPr>
        <w:t>B.2.2. Consideraciones de la Corte</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 w:val="left" w:pos="5400"/>
        </w:tabs>
        <w:spacing w:line="240" w:lineRule="auto"/>
        <w:ind w:right="4"/>
        <w:rPr>
          <w:sz w:val="20"/>
          <w:szCs w:val="20"/>
        </w:rPr>
      </w:pPr>
      <w:r w:rsidRPr="00D13792">
        <w:rPr>
          <w:sz w:val="20"/>
          <w:szCs w:val="20"/>
        </w:rPr>
        <w:t xml:space="preserve">Este Tribunal ya aclaró que </w:t>
      </w:r>
      <w:r w:rsidRPr="00D13792">
        <w:rPr>
          <w:rFonts w:eastAsia="Calibri" w:cs="Arial"/>
          <w:sz w:val="20"/>
          <w:szCs w:val="20"/>
        </w:rPr>
        <w:t xml:space="preserve">dentro del ámbito de su jurisdicción, le corresponde </w:t>
      </w:r>
      <w:r w:rsidRPr="00D13792">
        <w:rPr>
          <w:rFonts w:eastAsia="Calibri"/>
          <w:sz w:val="20"/>
          <w:szCs w:val="20"/>
        </w:rPr>
        <w:t xml:space="preserve">evaluar las acciones u omisiones de agentes </w:t>
      </w:r>
      <w:r w:rsidRPr="00D13792">
        <w:rPr>
          <w:sz w:val="20"/>
          <w:szCs w:val="20"/>
          <w:lang w:eastAsia="es-ES"/>
        </w:rPr>
        <w:t>estatales</w:t>
      </w:r>
      <w:r w:rsidRPr="00D13792">
        <w:rPr>
          <w:rFonts w:eastAsia="Calibri"/>
          <w:sz w:val="20"/>
          <w:szCs w:val="20"/>
        </w:rPr>
        <w:t xml:space="preserve"> en los casos ante ella y calificar las mismas de conformidad con la Convención </w:t>
      </w:r>
      <w:r w:rsidRPr="00D13792">
        <w:rPr>
          <w:rFonts w:eastAsia="Calibri" w:cs="Arial"/>
          <w:sz w:val="20"/>
          <w:szCs w:val="20"/>
        </w:rPr>
        <w:t>Americana</w:t>
      </w:r>
      <w:r w:rsidRPr="00D13792">
        <w:rPr>
          <w:rFonts w:eastAsia="Calibri"/>
          <w:sz w:val="20"/>
          <w:szCs w:val="20"/>
        </w:rPr>
        <w:t xml:space="preserve"> y demás tratados interamericanos que le otorgan competencia. Para este ejercicio, también podrá tomar en cuenta otros instrumentos internacionales, habida cuenta de su especificidad en la materia. Además, a la Corte n</w:t>
      </w:r>
      <w:r w:rsidRPr="00D13792">
        <w:rPr>
          <w:rFonts w:cs="Arial"/>
          <w:sz w:val="20"/>
          <w:szCs w:val="20"/>
        </w:rPr>
        <w:t>o le corresponde analizar ni determinar responsabilidades individuales, cuya definición compete a los tribunales penales internos e internacionales (</w:t>
      </w:r>
      <w:r w:rsidRPr="00D13792">
        <w:rPr>
          <w:rFonts w:cs="Arial"/>
          <w:i/>
          <w:sz w:val="20"/>
          <w:szCs w:val="20"/>
        </w:rPr>
        <w:t xml:space="preserve">supra </w:t>
      </w:r>
      <w:r w:rsidRPr="00D13792">
        <w:rPr>
          <w:rFonts w:cs="Arial"/>
          <w:sz w:val="20"/>
          <w:szCs w:val="20"/>
        </w:rPr>
        <w:t xml:space="preserve">párr. 20). </w:t>
      </w:r>
      <w:r w:rsidRPr="00D13792">
        <w:rPr>
          <w:sz w:val="20"/>
          <w:szCs w:val="20"/>
        </w:rPr>
        <w:t>De este modo, la excepción preliminar interpuesta por el Estado en cuanto a la falta de competencia de la Corte para pronunciarse sobre delitos carece de fundamento, por lo que es desestimada.</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pStyle w:val="Heading3"/>
        <w:ind w:left="0"/>
        <w:rPr>
          <w:i/>
          <w:lang w:val="es-CR"/>
        </w:rPr>
      </w:pPr>
      <w:bookmarkStart w:id="70" w:name="_Toc469669996"/>
      <w:r w:rsidRPr="00D13792">
        <w:rPr>
          <w:i/>
          <w:lang w:val="es-CR"/>
        </w:rPr>
        <w:t>B.3. Alegada falta de competencia para decretar la invalidez de la amnistía</w:t>
      </w:r>
      <w:bookmarkEnd w:id="70"/>
    </w:p>
    <w:p w:rsidR="006A0E1C" w:rsidRPr="00D13792" w:rsidRDefault="006A0E1C" w:rsidP="006A0E1C">
      <w:pPr>
        <w:pStyle w:val="Heading4"/>
        <w:rPr>
          <w:lang w:val="es-CR"/>
        </w:rPr>
      </w:pPr>
    </w:p>
    <w:p w:rsidR="006A0E1C" w:rsidRPr="00D13792" w:rsidRDefault="006A0E1C" w:rsidP="006A0E1C">
      <w:pPr>
        <w:pStyle w:val="Heading4"/>
        <w:tabs>
          <w:tab w:val="left" w:pos="360"/>
        </w:tabs>
        <w:ind w:left="0" w:firstLine="0"/>
        <w:rPr>
          <w:lang w:val="es-CR"/>
        </w:rPr>
      </w:pPr>
      <w:r w:rsidRPr="00D13792">
        <w:rPr>
          <w:lang w:val="es-CR"/>
        </w:rPr>
        <w:t>B.3.1. Argumentos de la Comisión y de las partes</w:t>
      </w:r>
    </w:p>
    <w:p w:rsidR="006A0E1C" w:rsidRPr="00D13792" w:rsidRDefault="006A0E1C" w:rsidP="006A0E1C">
      <w:pPr>
        <w:widowControl/>
        <w:autoSpaceDE w:val="0"/>
        <w:autoSpaceDN w:val="0"/>
        <w:spacing w:line="240" w:lineRule="auto"/>
        <w:textAlignment w:val="auto"/>
        <w:rPr>
          <w:sz w:val="20"/>
          <w:szCs w:val="20"/>
        </w:rPr>
      </w:pPr>
    </w:p>
    <w:p w:rsidR="006A0E1C" w:rsidRPr="00D13792" w:rsidRDefault="006A0E1C" w:rsidP="006A0E1C">
      <w:pPr>
        <w:numPr>
          <w:ilvl w:val="0"/>
          <w:numId w:val="6"/>
        </w:numPr>
        <w:tabs>
          <w:tab w:val="left" w:pos="567"/>
        </w:tabs>
        <w:spacing w:line="240" w:lineRule="auto"/>
        <w:ind w:right="4"/>
        <w:rPr>
          <w:rFonts w:eastAsia="Calibri"/>
          <w:sz w:val="20"/>
          <w:szCs w:val="20"/>
          <w:lang w:eastAsia="en-US"/>
        </w:rPr>
      </w:pPr>
      <w:r w:rsidRPr="00D13792">
        <w:rPr>
          <w:sz w:val="20"/>
          <w:szCs w:val="20"/>
        </w:rPr>
        <w:t xml:space="preserve">El </w:t>
      </w:r>
      <w:r w:rsidRPr="00D13792">
        <w:rPr>
          <w:b/>
          <w:i/>
          <w:sz w:val="20"/>
          <w:szCs w:val="20"/>
        </w:rPr>
        <w:t>Estado</w:t>
      </w:r>
      <w:r w:rsidRPr="00D13792">
        <w:rPr>
          <w:sz w:val="20"/>
          <w:szCs w:val="20"/>
        </w:rPr>
        <w:t xml:space="preserve"> indicó que la Corte carece de “competencia para decretar la invalidez de la amnistía” debido a que: i) esta fue promulgada por medio de la Ley de Reconciliación Nacional </w:t>
      </w:r>
      <w:r w:rsidRPr="00D13792">
        <w:rPr>
          <w:sz w:val="20"/>
          <w:szCs w:val="20"/>
        </w:rPr>
        <w:lastRenderedPageBreak/>
        <w:t xml:space="preserve">a fin de lograr una salida negociada al enfrentamiento armado interno; ii) la amnistía se negoció con la participaron de la mayoría de los sectores de la sociedad guatemalteca, y se tomaron en cuenta “los elementos de la verdad”, la creación de medidas de reparación a las víctimas y medidas de no repetición, así como las bases de incorporación de los grupos insurgentes a la vida del país; y iii) la amnistía en Guatemala no es una “auto amnistía” y no excluye los delitos más graves de trascendencia internacional. </w:t>
      </w:r>
      <w:r w:rsidRPr="00D13792">
        <w:rPr>
          <w:rFonts w:eastAsia="Calibri"/>
          <w:sz w:val="20"/>
          <w:szCs w:val="20"/>
          <w:lang w:eastAsia="en-US"/>
        </w:rPr>
        <w:t>De este modo, la amnistía promulgada en el caso de Guatemala sí cumpliría con los requisitos exigidos por la Corte para estar vigente</w:t>
      </w:r>
      <w:r w:rsidRPr="00D13792">
        <w:rPr>
          <w:rStyle w:val="FootnoteReference"/>
          <w:rFonts w:eastAsia="Calibri"/>
          <w:sz w:val="20"/>
          <w:szCs w:val="20"/>
          <w:lang w:eastAsia="en-US"/>
        </w:rPr>
        <w:footnoteReference w:id="23"/>
      </w:r>
      <w:r w:rsidRPr="00D13792">
        <w:rPr>
          <w:rFonts w:eastAsia="Calibri"/>
          <w:sz w:val="20"/>
          <w:szCs w:val="20"/>
          <w:lang w:eastAsia="en-US"/>
        </w:rPr>
        <w:t>.</w:t>
      </w:r>
      <w:r w:rsidRPr="00D13792">
        <w:rPr>
          <w:rFonts w:eastAsia="Calibri"/>
          <w:b/>
          <w:sz w:val="20"/>
          <w:szCs w:val="20"/>
          <w:lang w:eastAsia="en-US"/>
        </w:rPr>
        <w:t xml:space="preserve"> </w:t>
      </w:r>
    </w:p>
    <w:p w:rsidR="006A0E1C" w:rsidRPr="00D13792" w:rsidRDefault="006A0E1C" w:rsidP="006A0E1C">
      <w:pPr>
        <w:widowControl/>
        <w:autoSpaceDE w:val="0"/>
        <w:autoSpaceDN w:val="0"/>
        <w:spacing w:line="240" w:lineRule="auto"/>
        <w:jc w:val="left"/>
        <w:textAlignment w:val="auto"/>
        <w:rPr>
          <w:rFonts w:eastAsia="Calibri"/>
          <w:sz w:val="20"/>
          <w:szCs w:val="20"/>
          <w:lang w:eastAsia="en-US"/>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La </w:t>
      </w:r>
      <w:r w:rsidRPr="00D13792">
        <w:rPr>
          <w:b/>
          <w:i/>
          <w:sz w:val="20"/>
          <w:szCs w:val="20"/>
        </w:rPr>
        <w:t>Comisión</w:t>
      </w:r>
      <w:r w:rsidRPr="00D13792">
        <w:rPr>
          <w:sz w:val="20"/>
          <w:szCs w:val="20"/>
        </w:rPr>
        <w:t xml:space="preserve"> resaltó que “según los términos de los artículos 1 y 2 de la Convención Americana, entre otros, es precisamente un componente indispensable de la competencia de la Corte el analizar hasta qué punto un Estado ha incorporado las garantías de dicho tratado en su normativa, políticas y prácticas”. </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Los </w:t>
      </w:r>
      <w:r w:rsidRPr="00D13792">
        <w:rPr>
          <w:b/>
          <w:i/>
          <w:sz w:val="20"/>
          <w:szCs w:val="20"/>
        </w:rPr>
        <w:t>representantes</w:t>
      </w:r>
      <w:r w:rsidRPr="00D13792">
        <w:rPr>
          <w:sz w:val="20"/>
          <w:szCs w:val="20"/>
        </w:rPr>
        <w:t xml:space="preserve"> sostuvieron que “la aplicación de las disposiciones de amnistía de la Ley de Reconciliación Nacional contravendría las obligaciones derivadas de la Convención Americana […] y en otros instrumentos internacionales e impedirían la investigación y sanción de los responsables de las violaciones graves de los derechos humanos”.</w:t>
      </w:r>
      <w:r w:rsidRPr="00D13792">
        <w:rPr>
          <w:rFonts w:eastAsia="Calibri" w:cs="Verdana"/>
          <w:b/>
          <w:spacing w:val="-2"/>
          <w:sz w:val="20"/>
          <w:szCs w:val="20"/>
        </w:rPr>
        <w:t xml:space="preserve"> </w:t>
      </w:r>
    </w:p>
    <w:p w:rsidR="006A0E1C" w:rsidRPr="00D13792" w:rsidRDefault="006A0E1C" w:rsidP="006A0E1C">
      <w:pPr>
        <w:spacing w:line="240" w:lineRule="auto"/>
        <w:rPr>
          <w:sz w:val="20"/>
          <w:szCs w:val="20"/>
        </w:rPr>
      </w:pPr>
    </w:p>
    <w:p w:rsidR="006A0E1C" w:rsidRPr="00D13792" w:rsidRDefault="006A0E1C" w:rsidP="006A0E1C">
      <w:pPr>
        <w:spacing w:line="240" w:lineRule="auto"/>
        <w:rPr>
          <w:i/>
          <w:sz w:val="20"/>
          <w:szCs w:val="20"/>
        </w:rPr>
      </w:pPr>
      <w:r w:rsidRPr="00D13792">
        <w:rPr>
          <w:i/>
          <w:sz w:val="20"/>
          <w:szCs w:val="20"/>
        </w:rPr>
        <w:t>B.3.2. Consideraciones de la Corte</w:t>
      </w:r>
    </w:p>
    <w:p w:rsidR="006A0E1C" w:rsidRPr="00D13792" w:rsidRDefault="006A0E1C" w:rsidP="006A0E1C">
      <w:pPr>
        <w:spacing w:line="240" w:lineRule="auto"/>
        <w:rPr>
          <w:sz w:val="20"/>
          <w:szCs w:val="20"/>
        </w:rPr>
      </w:pPr>
    </w:p>
    <w:p w:rsidR="006A0E1C" w:rsidRPr="00D13792" w:rsidRDefault="006A0E1C" w:rsidP="006A0E1C">
      <w:pPr>
        <w:numPr>
          <w:ilvl w:val="0"/>
          <w:numId w:val="6"/>
        </w:numPr>
        <w:tabs>
          <w:tab w:val="left" w:pos="0"/>
        </w:tabs>
        <w:spacing w:line="240" w:lineRule="auto"/>
        <w:ind w:right="4"/>
        <w:rPr>
          <w:sz w:val="20"/>
          <w:szCs w:val="20"/>
        </w:rPr>
      </w:pPr>
      <w:r w:rsidRPr="00D13792">
        <w:rPr>
          <w:sz w:val="20"/>
          <w:szCs w:val="20"/>
        </w:rPr>
        <w:t xml:space="preserve">La Corte recuerda que las excepciones preliminares son actuaciones del Estado que buscan, de manera previa, impedir el análisis del fondo de un caso. Consecuentemente, si estos planteamientos no pudieran ser considerados sin entrar a analizar previamente el fondo de un caso, no pueden ser analizados mediante una excepción preliminar. Al respecto, el análisis de la validez de una ley es una cuestión de fondo. Además, ni la Comisión ni los representantes han solicitado al Tribunal declarar la invalidez de la Ley de Reconciliación Nacional en sí misma, sino que cuestionan su posible aplicación en el presente caso. Por estas razones, la excepción preliminar interpuesta por el Estado en cuanto a la alegada falta de competencia de la Corte para pronunciarse sobre la invalidez de la Ley de Reconciliación Nacional es desestimada.  </w:t>
      </w:r>
    </w:p>
    <w:p w:rsidR="006A0E1C" w:rsidRPr="00D13792" w:rsidRDefault="006A0E1C" w:rsidP="006A0E1C">
      <w:pPr>
        <w:spacing w:line="240" w:lineRule="auto"/>
        <w:rPr>
          <w:sz w:val="20"/>
          <w:szCs w:val="20"/>
        </w:rPr>
      </w:pPr>
    </w:p>
    <w:p w:rsidR="006A0E1C" w:rsidRPr="00D13792" w:rsidRDefault="006A0E1C" w:rsidP="006A0E1C">
      <w:pPr>
        <w:pStyle w:val="Heading2"/>
        <w:rPr>
          <w:lang w:val="es-CR"/>
        </w:rPr>
      </w:pPr>
      <w:bookmarkStart w:id="71" w:name="_Toc469669997"/>
      <w:r w:rsidRPr="00D13792">
        <w:rPr>
          <w:lang w:val="es-CR"/>
        </w:rPr>
        <w:t>C. Excepción de falta de agotamiento de recursos internos</w:t>
      </w:r>
      <w:bookmarkEnd w:id="71"/>
    </w:p>
    <w:p w:rsidR="006A0E1C" w:rsidRPr="00D13792" w:rsidRDefault="006A0E1C" w:rsidP="006A0E1C">
      <w:pPr>
        <w:pStyle w:val="Heading4"/>
        <w:rPr>
          <w:lang w:val="es-CR" w:eastAsia="es-MX"/>
        </w:rPr>
      </w:pPr>
    </w:p>
    <w:p w:rsidR="006A0E1C" w:rsidRPr="00D13792" w:rsidRDefault="006A0E1C" w:rsidP="006A0E1C">
      <w:pPr>
        <w:pStyle w:val="Heading4"/>
        <w:ind w:left="0" w:firstLine="0"/>
        <w:rPr>
          <w:b/>
          <w:lang w:val="es-CR"/>
        </w:rPr>
      </w:pPr>
      <w:r w:rsidRPr="00D13792">
        <w:rPr>
          <w:lang w:val="es-CR"/>
        </w:rPr>
        <w:t>C.1. Argumentos de la Comisión y de las partes</w:t>
      </w:r>
    </w:p>
    <w:p w:rsidR="006A0E1C" w:rsidRPr="00D13792" w:rsidRDefault="006A0E1C" w:rsidP="006A0E1C">
      <w:pPr>
        <w:tabs>
          <w:tab w:val="left" w:pos="720"/>
        </w:tabs>
        <w:spacing w:line="240" w:lineRule="auto"/>
        <w:rPr>
          <w:bCs/>
          <w:i/>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El </w:t>
      </w:r>
      <w:r w:rsidRPr="00D13792">
        <w:rPr>
          <w:b/>
          <w:i/>
          <w:sz w:val="20"/>
          <w:szCs w:val="20"/>
        </w:rPr>
        <w:t>Estado</w:t>
      </w:r>
      <w:r w:rsidRPr="00D13792">
        <w:rPr>
          <w:sz w:val="20"/>
          <w:szCs w:val="20"/>
        </w:rPr>
        <w:t xml:space="preserve"> presentó una excepción de falta de agotamiento de los recursos internos, argumentando que las presuntas víctimas no interpusieron el recurso de </w:t>
      </w:r>
      <w:r w:rsidRPr="00D13792">
        <w:rPr>
          <w:i/>
          <w:sz w:val="20"/>
          <w:szCs w:val="20"/>
        </w:rPr>
        <w:t xml:space="preserve">habeas corpus </w:t>
      </w:r>
      <w:r w:rsidRPr="00D13792">
        <w:rPr>
          <w:sz w:val="20"/>
          <w:szCs w:val="20"/>
        </w:rPr>
        <w:t xml:space="preserve">o exhibición personal en </w:t>
      </w:r>
      <w:r w:rsidRPr="00D13792">
        <w:rPr>
          <w:rFonts w:eastAsia="Batang" w:cs="Times"/>
          <w:sz w:val="20"/>
          <w:szCs w:val="20"/>
          <w:lang w:eastAsia="en-US"/>
        </w:rPr>
        <w:t>ninguno</w:t>
      </w:r>
      <w:r w:rsidRPr="00D13792">
        <w:rPr>
          <w:sz w:val="20"/>
          <w:szCs w:val="20"/>
        </w:rPr>
        <w:t xml:space="preserve"> de los casos de desapariciones o detenciones ilegales, ni acudieron al Programa Nacional de Resarcimiento (PNR), como recurso administrativo creado para brindar resarcimiento individual y/o colectivo a las víctimas civiles de violaciones a los derechos humanos ocurridas durante el enfrentamiento armado interno, que incluye el apoyo material y psicológico a las víctimas y sus familiares. </w:t>
      </w:r>
    </w:p>
    <w:p w:rsidR="006A0E1C" w:rsidRPr="00D13792" w:rsidRDefault="006A0E1C" w:rsidP="006A0E1C">
      <w:pPr>
        <w:tabs>
          <w:tab w:val="left" w:pos="720"/>
        </w:tabs>
        <w:spacing w:line="240" w:lineRule="auto"/>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La </w:t>
      </w:r>
      <w:r w:rsidRPr="00D13792">
        <w:rPr>
          <w:b/>
          <w:i/>
          <w:sz w:val="20"/>
          <w:szCs w:val="20"/>
        </w:rPr>
        <w:t>Comisión</w:t>
      </w:r>
      <w:r w:rsidRPr="00D13792">
        <w:rPr>
          <w:sz w:val="20"/>
          <w:szCs w:val="20"/>
        </w:rPr>
        <w:t xml:space="preserve"> argumentó que la presente excepción preliminar es extemporánea, ya que “en la etapa de admisibilidad el Estado no alegó que los dos recursos señalados en su contestación escrita debían haber sido agotado[s…]”. En la etapa de admisibilidad ante la Comisión, Guatemala únicamente alegó que “exist[ían] procesos penales pendientes”, y una vez “en la etapa de fondo el Estado alegó que un grupo de víctimas habrían recibido una indemnización por parte del PNR”. Luego de la emisión del Informe de Fondo, Guatemala “no precisó […] los montos que habrían recibido los familiares de las víctimas y su conexión con los </w:t>
      </w:r>
      <w:r w:rsidRPr="00D13792">
        <w:rPr>
          <w:sz w:val="20"/>
          <w:szCs w:val="20"/>
        </w:rPr>
        <w:lastRenderedPageBreak/>
        <w:t xml:space="preserve">hechos y violaciones declaradas […]”. En consecuencia, sostuvo que los argumentos del Estado sobre este punto no configuran una excepción preliminar y deben ser tomados en cuenta por la Corte al momento de determinar las reparaciones que correspondan”. </w:t>
      </w:r>
    </w:p>
    <w:p w:rsidR="006A0E1C" w:rsidRPr="00D13792" w:rsidRDefault="006A0E1C" w:rsidP="006A0E1C">
      <w:pPr>
        <w:tabs>
          <w:tab w:val="left" w:pos="567"/>
        </w:tabs>
        <w:spacing w:line="240" w:lineRule="auto"/>
        <w:ind w:right="4"/>
        <w:rPr>
          <w:sz w:val="20"/>
          <w:szCs w:val="20"/>
        </w:rPr>
      </w:pPr>
      <w:r w:rsidRPr="00D13792">
        <w:rPr>
          <w:sz w:val="20"/>
          <w:szCs w:val="20"/>
        </w:rPr>
        <w:t xml:space="preserve"> </w:t>
      </w: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Los </w:t>
      </w:r>
      <w:r w:rsidRPr="00D13792">
        <w:rPr>
          <w:b/>
          <w:i/>
          <w:sz w:val="20"/>
          <w:szCs w:val="20"/>
        </w:rPr>
        <w:t>representantes</w:t>
      </w:r>
      <w:r w:rsidRPr="00D13792">
        <w:rPr>
          <w:sz w:val="20"/>
          <w:szCs w:val="20"/>
        </w:rPr>
        <w:t xml:space="preserve"> indicaron que la excepción debe ser declarada “sin lugar […] porque la obligación de investigar </w:t>
      </w:r>
      <w:r w:rsidRPr="00D13792">
        <w:rPr>
          <w:i/>
          <w:sz w:val="20"/>
          <w:szCs w:val="20"/>
        </w:rPr>
        <w:t>ex officio</w:t>
      </w:r>
      <w:r w:rsidRPr="00D13792">
        <w:rPr>
          <w:sz w:val="20"/>
          <w:szCs w:val="20"/>
        </w:rPr>
        <w:t xml:space="preserve"> del Estado, es independiente de que se presente una denuncia […]”. Señalaron que los familiares de las presuntas víctimas son los que impulsaron las investigaciones; sin embargo, las autoridades no han esclarecido los hechos ni determinado el paradero de los desaparecidos. Además, señalaron que la excepción de no agotamiento de recursos internos debe plantearse en la etapa de admisibilidad ante la Comisión. </w:t>
      </w:r>
    </w:p>
    <w:p w:rsidR="006A0E1C" w:rsidRPr="00D13792" w:rsidRDefault="006A0E1C" w:rsidP="006A0E1C">
      <w:pPr>
        <w:spacing w:line="240" w:lineRule="auto"/>
        <w:rPr>
          <w:sz w:val="20"/>
          <w:szCs w:val="20"/>
        </w:rPr>
      </w:pPr>
    </w:p>
    <w:p w:rsidR="006A0E1C" w:rsidRPr="00D13792" w:rsidRDefault="006A0E1C" w:rsidP="006A0E1C">
      <w:pPr>
        <w:pStyle w:val="Heading3"/>
        <w:ind w:left="0"/>
        <w:rPr>
          <w:b w:val="0"/>
          <w:i/>
          <w:lang w:val="es-CR"/>
        </w:rPr>
      </w:pPr>
      <w:bookmarkStart w:id="72" w:name="_Toc469669998"/>
      <w:r w:rsidRPr="00D13792">
        <w:rPr>
          <w:b w:val="0"/>
          <w:i/>
          <w:lang w:val="es-CR"/>
        </w:rPr>
        <w:t>C.2. Consideraciones de la Corte</w:t>
      </w:r>
      <w:bookmarkEnd w:id="72"/>
    </w:p>
    <w:p w:rsidR="006A0E1C" w:rsidRPr="00D13792" w:rsidRDefault="006A0E1C" w:rsidP="006A0E1C">
      <w:pPr>
        <w:tabs>
          <w:tab w:val="left" w:pos="567"/>
        </w:tabs>
        <w:spacing w:line="240" w:lineRule="auto"/>
        <w:ind w:right="4"/>
        <w:rPr>
          <w:rFonts w:cs="Cambria"/>
          <w:i/>
          <w:sz w:val="20"/>
          <w:szCs w:val="20"/>
        </w:rPr>
      </w:pPr>
    </w:p>
    <w:p w:rsidR="006A0E1C" w:rsidRPr="00D13792" w:rsidRDefault="006A0E1C" w:rsidP="006A0E1C">
      <w:pPr>
        <w:pStyle w:val="ListParagraph"/>
        <w:numPr>
          <w:ilvl w:val="0"/>
          <w:numId w:val="6"/>
        </w:numPr>
        <w:spacing w:after="0" w:line="240" w:lineRule="auto"/>
        <w:jc w:val="both"/>
        <w:rPr>
          <w:rFonts w:ascii="Verdana" w:hAnsi="Verdana" w:cs="Cambria"/>
          <w:sz w:val="20"/>
          <w:szCs w:val="20"/>
          <w:lang w:val="es-CR"/>
        </w:rPr>
      </w:pPr>
      <w:r w:rsidRPr="00D13792">
        <w:rPr>
          <w:rFonts w:ascii="Verdana" w:eastAsia="Batang" w:hAnsi="Verdana" w:cs="Times"/>
          <w:sz w:val="20"/>
          <w:szCs w:val="20"/>
          <w:lang w:val="es-CR" w:eastAsia="en-US"/>
        </w:rPr>
        <w:t xml:space="preserve">El artículo 46.1.a) de la Convención Americana dispone que para determinar la admisibilidad de una petición o comunicación presentada ante la Comisión Interamericana, de conformidad con los artículos 44 o 45 de la Convención, es necesario que se hayan interpuesto y agotado los </w:t>
      </w:r>
      <w:r w:rsidRPr="00D13792">
        <w:rPr>
          <w:rFonts w:ascii="Verdana" w:eastAsia="Calibri" w:hAnsi="Verdana" w:cs="TimesNewRomanPSMT"/>
          <w:sz w:val="20"/>
          <w:szCs w:val="20"/>
          <w:lang w:val="es-CR" w:eastAsia="en-US"/>
        </w:rPr>
        <w:t>recursos</w:t>
      </w:r>
      <w:r w:rsidRPr="00D13792">
        <w:rPr>
          <w:rFonts w:ascii="Verdana" w:eastAsia="Batang" w:hAnsi="Verdana" w:cs="Times"/>
          <w:sz w:val="20"/>
          <w:szCs w:val="20"/>
          <w:lang w:val="es-CR" w:eastAsia="en-US"/>
        </w:rPr>
        <w:t xml:space="preserve"> de la jurisdicción interna, conforme a los principios del Derecho Internacional generalmente reconocidos. En este sentido, la Corte ha sostenido que una objeción al ejercicio de su jurisdicción basada en la supuesta falta de agotamiento de los recursos internos debe ser presentada en el momento procesal oportuno, esto es, durante el procedimiento de admisibilidad ante la Comisión. </w:t>
      </w:r>
      <w:r w:rsidRPr="00D13792">
        <w:rPr>
          <w:rFonts w:ascii="Verdana" w:eastAsia="Verdana" w:hAnsi="Verdana" w:cs="Verdana"/>
          <w:sz w:val="20"/>
          <w:szCs w:val="20"/>
          <w:lang w:val="es-CR" w:eastAsia="en-US"/>
        </w:rPr>
        <w:t>Al</w:t>
      </w:r>
      <w:r w:rsidRPr="00D13792">
        <w:rPr>
          <w:rFonts w:ascii="Verdana" w:eastAsia="Verdana" w:hAnsi="Verdana" w:cs="Verdana"/>
          <w:spacing w:val="16"/>
          <w:sz w:val="20"/>
          <w:szCs w:val="20"/>
          <w:lang w:val="es-CR" w:eastAsia="en-US"/>
        </w:rPr>
        <w:t xml:space="preserve"> </w:t>
      </w:r>
      <w:r w:rsidRPr="00D13792">
        <w:rPr>
          <w:rFonts w:ascii="Verdana" w:eastAsia="Verdana" w:hAnsi="Verdana" w:cs="Verdana"/>
          <w:spacing w:val="-2"/>
          <w:sz w:val="20"/>
          <w:szCs w:val="20"/>
          <w:lang w:val="es-CR" w:eastAsia="en-US"/>
        </w:rPr>
        <w:t>a</w:t>
      </w:r>
      <w:r w:rsidRPr="00D13792">
        <w:rPr>
          <w:rFonts w:ascii="Verdana" w:eastAsia="Verdana" w:hAnsi="Verdana" w:cs="Verdana"/>
          <w:spacing w:val="3"/>
          <w:sz w:val="20"/>
          <w:szCs w:val="20"/>
          <w:lang w:val="es-CR" w:eastAsia="en-US"/>
        </w:rPr>
        <w:t>l</w:t>
      </w:r>
      <w:r w:rsidRPr="00D13792">
        <w:rPr>
          <w:rFonts w:ascii="Verdana" w:eastAsia="Verdana" w:hAnsi="Verdana" w:cs="Verdana"/>
          <w:spacing w:val="-1"/>
          <w:sz w:val="20"/>
          <w:szCs w:val="20"/>
          <w:lang w:val="es-CR" w:eastAsia="en-US"/>
        </w:rPr>
        <w:t>e</w:t>
      </w:r>
      <w:r w:rsidRPr="00D13792">
        <w:rPr>
          <w:rFonts w:ascii="Verdana" w:eastAsia="Verdana" w:hAnsi="Verdana" w:cs="Verdana"/>
          <w:spacing w:val="1"/>
          <w:sz w:val="20"/>
          <w:szCs w:val="20"/>
          <w:lang w:val="es-CR" w:eastAsia="en-US"/>
        </w:rPr>
        <w:t>g</w:t>
      </w:r>
      <w:r w:rsidRPr="00D13792">
        <w:rPr>
          <w:rFonts w:ascii="Verdana" w:eastAsia="Verdana" w:hAnsi="Verdana" w:cs="Verdana"/>
          <w:sz w:val="20"/>
          <w:szCs w:val="20"/>
          <w:lang w:val="es-CR" w:eastAsia="en-US"/>
        </w:rPr>
        <w:t>ar</w:t>
      </w:r>
      <w:r w:rsidRPr="00D13792">
        <w:rPr>
          <w:rFonts w:ascii="Verdana" w:eastAsia="Verdana" w:hAnsi="Verdana" w:cs="Verdana"/>
          <w:spacing w:val="4"/>
          <w:sz w:val="20"/>
          <w:szCs w:val="20"/>
          <w:lang w:val="es-CR" w:eastAsia="en-US"/>
        </w:rPr>
        <w:t xml:space="preserve"> </w:t>
      </w:r>
      <w:r w:rsidRPr="00D13792">
        <w:rPr>
          <w:rFonts w:ascii="Verdana" w:eastAsia="Verdana" w:hAnsi="Verdana" w:cs="Verdana"/>
          <w:spacing w:val="3"/>
          <w:sz w:val="20"/>
          <w:szCs w:val="20"/>
          <w:lang w:val="es-CR" w:eastAsia="en-US"/>
        </w:rPr>
        <w:t>l</w:t>
      </w:r>
      <w:r w:rsidRPr="00D13792">
        <w:rPr>
          <w:rFonts w:ascii="Verdana" w:eastAsia="Verdana" w:hAnsi="Verdana" w:cs="Verdana"/>
          <w:sz w:val="20"/>
          <w:szCs w:val="20"/>
          <w:lang w:val="es-CR" w:eastAsia="en-US"/>
        </w:rPr>
        <w:t>a</w:t>
      </w:r>
      <w:r w:rsidRPr="00D13792">
        <w:rPr>
          <w:rFonts w:ascii="Verdana" w:eastAsia="Verdana" w:hAnsi="Verdana" w:cs="Verdana"/>
          <w:spacing w:val="10"/>
          <w:sz w:val="20"/>
          <w:szCs w:val="20"/>
          <w:lang w:val="es-CR" w:eastAsia="en-US"/>
        </w:rPr>
        <w:t xml:space="preserve"> </w:t>
      </w:r>
      <w:r w:rsidRPr="00D13792">
        <w:rPr>
          <w:rFonts w:ascii="Verdana" w:eastAsia="Verdana" w:hAnsi="Verdana" w:cs="Verdana"/>
          <w:sz w:val="20"/>
          <w:szCs w:val="20"/>
          <w:lang w:val="es-CR" w:eastAsia="en-US"/>
        </w:rPr>
        <w:t>fa</w:t>
      </w:r>
      <w:r w:rsidRPr="00D13792">
        <w:rPr>
          <w:rFonts w:ascii="Verdana" w:eastAsia="Verdana" w:hAnsi="Verdana" w:cs="Verdana"/>
          <w:spacing w:val="3"/>
          <w:sz w:val="20"/>
          <w:szCs w:val="20"/>
          <w:lang w:val="es-CR" w:eastAsia="en-US"/>
        </w:rPr>
        <w:t>l</w:t>
      </w:r>
      <w:r w:rsidRPr="00D13792">
        <w:rPr>
          <w:rFonts w:ascii="Verdana" w:eastAsia="Verdana" w:hAnsi="Verdana" w:cs="Verdana"/>
          <w:spacing w:val="1"/>
          <w:sz w:val="20"/>
          <w:szCs w:val="20"/>
          <w:lang w:val="es-CR" w:eastAsia="en-US"/>
        </w:rPr>
        <w:t>t</w:t>
      </w:r>
      <w:r w:rsidRPr="00D13792">
        <w:rPr>
          <w:rFonts w:ascii="Verdana" w:eastAsia="Verdana" w:hAnsi="Verdana" w:cs="Verdana"/>
          <w:sz w:val="20"/>
          <w:szCs w:val="20"/>
          <w:lang w:val="es-CR" w:eastAsia="en-US"/>
        </w:rPr>
        <w:t>a</w:t>
      </w:r>
      <w:r w:rsidRPr="00D13792">
        <w:rPr>
          <w:rFonts w:ascii="Verdana" w:eastAsia="Verdana" w:hAnsi="Verdana" w:cs="Verdana"/>
          <w:spacing w:val="7"/>
          <w:sz w:val="20"/>
          <w:szCs w:val="20"/>
          <w:lang w:val="es-CR" w:eastAsia="en-US"/>
        </w:rPr>
        <w:t xml:space="preserve"> </w:t>
      </w:r>
      <w:r w:rsidRPr="00D13792">
        <w:rPr>
          <w:rFonts w:ascii="Verdana" w:eastAsia="Verdana" w:hAnsi="Verdana" w:cs="Verdana"/>
          <w:spacing w:val="1"/>
          <w:sz w:val="20"/>
          <w:szCs w:val="20"/>
          <w:lang w:val="es-CR" w:eastAsia="en-US"/>
        </w:rPr>
        <w:t>d</w:t>
      </w:r>
      <w:r w:rsidRPr="00D13792">
        <w:rPr>
          <w:rFonts w:ascii="Verdana" w:eastAsia="Verdana" w:hAnsi="Verdana" w:cs="Verdana"/>
          <w:sz w:val="20"/>
          <w:szCs w:val="20"/>
          <w:lang w:val="es-CR" w:eastAsia="en-US"/>
        </w:rPr>
        <w:t>e</w:t>
      </w:r>
      <w:r w:rsidRPr="00D13792">
        <w:rPr>
          <w:rFonts w:ascii="Verdana" w:eastAsia="Verdana" w:hAnsi="Verdana" w:cs="Verdana"/>
          <w:spacing w:val="10"/>
          <w:sz w:val="20"/>
          <w:szCs w:val="20"/>
          <w:lang w:val="es-CR" w:eastAsia="en-US"/>
        </w:rPr>
        <w:t xml:space="preserve"> </w:t>
      </w:r>
      <w:r w:rsidRPr="00D13792">
        <w:rPr>
          <w:rFonts w:ascii="Verdana" w:eastAsia="Verdana" w:hAnsi="Verdana" w:cs="Verdana"/>
          <w:sz w:val="20"/>
          <w:szCs w:val="20"/>
          <w:lang w:val="es-CR" w:eastAsia="en-US"/>
        </w:rPr>
        <w:t>a</w:t>
      </w:r>
      <w:r w:rsidRPr="00D13792">
        <w:rPr>
          <w:rFonts w:ascii="Verdana" w:eastAsia="Verdana" w:hAnsi="Verdana" w:cs="Verdana"/>
          <w:spacing w:val="1"/>
          <w:sz w:val="20"/>
          <w:szCs w:val="20"/>
          <w:lang w:val="es-CR" w:eastAsia="en-US"/>
        </w:rPr>
        <w:t>g</w:t>
      </w:r>
      <w:r w:rsidRPr="00D13792">
        <w:rPr>
          <w:rFonts w:ascii="Verdana" w:eastAsia="Verdana" w:hAnsi="Verdana" w:cs="Verdana"/>
          <w:spacing w:val="-1"/>
          <w:sz w:val="20"/>
          <w:szCs w:val="20"/>
          <w:lang w:val="es-CR" w:eastAsia="en-US"/>
        </w:rPr>
        <w:t>o</w:t>
      </w:r>
      <w:r w:rsidRPr="00D13792">
        <w:rPr>
          <w:rFonts w:ascii="Verdana" w:eastAsia="Verdana" w:hAnsi="Verdana" w:cs="Verdana"/>
          <w:spacing w:val="1"/>
          <w:sz w:val="20"/>
          <w:szCs w:val="20"/>
          <w:lang w:val="es-CR" w:eastAsia="en-US"/>
        </w:rPr>
        <w:t>t</w:t>
      </w:r>
      <w:r w:rsidRPr="00D13792">
        <w:rPr>
          <w:rFonts w:ascii="Verdana" w:eastAsia="Verdana" w:hAnsi="Verdana" w:cs="Verdana"/>
          <w:sz w:val="20"/>
          <w:szCs w:val="20"/>
          <w:lang w:val="es-CR" w:eastAsia="en-US"/>
        </w:rPr>
        <w:t>a</w:t>
      </w:r>
      <w:r w:rsidRPr="00D13792">
        <w:rPr>
          <w:rFonts w:ascii="Verdana" w:eastAsia="Verdana" w:hAnsi="Verdana" w:cs="Verdana"/>
          <w:spacing w:val="1"/>
          <w:sz w:val="20"/>
          <w:szCs w:val="20"/>
          <w:lang w:val="es-CR" w:eastAsia="en-US"/>
        </w:rPr>
        <w:t>m</w:t>
      </w:r>
      <w:r w:rsidRPr="00D13792">
        <w:rPr>
          <w:rFonts w:ascii="Verdana" w:eastAsia="Verdana" w:hAnsi="Verdana" w:cs="Verdana"/>
          <w:spacing w:val="3"/>
          <w:sz w:val="20"/>
          <w:szCs w:val="20"/>
          <w:lang w:val="es-CR" w:eastAsia="en-US"/>
        </w:rPr>
        <w:t>i</w:t>
      </w:r>
      <w:r w:rsidRPr="00D13792">
        <w:rPr>
          <w:rFonts w:ascii="Verdana" w:eastAsia="Verdana" w:hAnsi="Verdana" w:cs="Verdana"/>
          <w:spacing w:val="-1"/>
          <w:sz w:val="20"/>
          <w:szCs w:val="20"/>
          <w:lang w:val="es-CR" w:eastAsia="en-US"/>
        </w:rPr>
        <w:t>e</w:t>
      </w:r>
      <w:r w:rsidRPr="00D13792">
        <w:rPr>
          <w:rFonts w:ascii="Verdana" w:eastAsia="Verdana" w:hAnsi="Verdana" w:cs="Verdana"/>
          <w:spacing w:val="1"/>
          <w:sz w:val="20"/>
          <w:szCs w:val="20"/>
          <w:lang w:val="es-CR" w:eastAsia="en-US"/>
        </w:rPr>
        <w:t>nt</w:t>
      </w:r>
      <w:r w:rsidRPr="00D13792">
        <w:rPr>
          <w:rFonts w:ascii="Verdana" w:eastAsia="Verdana" w:hAnsi="Verdana" w:cs="Verdana"/>
          <w:sz w:val="20"/>
          <w:szCs w:val="20"/>
          <w:lang w:val="es-CR" w:eastAsia="en-US"/>
        </w:rPr>
        <w:t xml:space="preserve">o </w:t>
      </w:r>
      <w:r w:rsidRPr="00D13792">
        <w:rPr>
          <w:rFonts w:ascii="Verdana" w:eastAsia="Verdana" w:hAnsi="Verdana" w:cs="Verdana"/>
          <w:spacing w:val="1"/>
          <w:sz w:val="20"/>
          <w:szCs w:val="20"/>
          <w:lang w:val="es-CR" w:eastAsia="en-US"/>
        </w:rPr>
        <w:t>d</w:t>
      </w:r>
      <w:r w:rsidRPr="00D13792">
        <w:rPr>
          <w:rFonts w:ascii="Verdana" w:eastAsia="Verdana" w:hAnsi="Verdana" w:cs="Verdana"/>
          <w:sz w:val="20"/>
          <w:szCs w:val="20"/>
          <w:lang w:val="es-CR" w:eastAsia="en-US"/>
        </w:rPr>
        <w:t>e</w:t>
      </w:r>
      <w:r w:rsidRPr="00D13792">
        <w:rPr>
          <w:rFonts w:ascii="Verdana" w:eastAsia="Verdana" w:hAnsi="Verdana" w:cs="Verdana"/>
          <w:spacing w:val="10"/>
          <w:sz w:val="20"/>
          <w:szCs w:val="20"/>
          <w:lang w:val="es-CR" w:eastAsia="en-US"/>
        </w:rPr>
        <w:t xml:space="preserve"> </w:t>
      </w:r>
      <w:r w:rsidRPr="00D13792">
        <w:rPr>
          <w:rFonts w:ascii="Verdana" w:eastAsia="Verdana" w:hAnsi="Verdana" w:cs="Verdana"/>
          <w:spacing w:val="3"/>
          <w:sz w:val="20"/>
          <w:szCs w:val="20"/>
          <w:lang w:val="es-CR" w:eastAsia="en-US"/>
        </w:rPr>
        <w:t>l</w:t>
      </w:r>
      <w:r w:rsidRPr="00D13792">
        <w:rPr>
          <w:rFonts w:ascii="Verdana" w:eastAsia="Verdana" w:hAnsi="Verdana" w:cs="Verdana"/>
          <w:spacing w:val="-1"/>
          <w:sz w:val="20"/>
          <w:szCs w:val="20"/>
          <w:lang w:val="es-CR" w:eastAsia="en-US"/>
        </w:rPr>
        <w:t>o</w:t>
      </w:r>
      <w:r w:rsidRPr="00D13792">
        <w:rPr>
          <w:rFonts w:ascii="Verdana" w:eastAsia="Verdana" w:hAnsi="Verdana" w:cs="Verdana"/>
          <w:sz w:val="20"/>
          <w:szCs w:val="20"/>
          <w:lang w:val="es-CR" w:eastAsia="en-US"/>
        </w:rPr>
        <w:t>s</w:t>
      </w:r>
      <w:r w:rsidRPr="00D13792">
        <w:rPr>
          <w:rFonts w:ascii="Verdana" w:eastAsia="Verdana" w:hAnsi="Verdana" w:cs="Verdana"/>
          <w:spacing w:val="11"/>
          <w:sz w:val="20"/>
          <w:szCs w:val="20"/>
          <w:lang w:val="es-CR" w:eastAsia="en-US"/>
        </w:rPr>
        <w:t xml:space="preserve"> </w:t>
      </w:r>
      <w:r w:rsidRPr="00D13792">
        <w:rPr>
          <w:rFonts w:ascii="Verdana" w:eastAsia="Verdana" w:hAnsi="Verdana" w:cs="Verdana"/>
          <w:spacing w:val="-1"/>
          <w:sz w:val="20"/>
          <w:szCs w:val="20"/>
          <w:lang w:val="es-CR" w:eastAsia="en-US"/>
        </w:rPr>
        <w:t>re</w:t>
      </w:r>
      <w:r w:rsidRPr="00D13792">
        <w:rPr>
          <w:rFonts w:ascii="Verdana" w:eastAsia="Verdana" w:hAnsi="Verdana" w:cs="Verdana"/>
          <w:sz w:val="20"/>
          <w:szCs w:val="20"/>
          <w:lang w:val="es-CR" w:eastAsia="en-US"/>
        </w:rPr>
        <w:t>cu</w:t>
      </w:r>
      <w:r w:rsidRPr="00D13792">
        <w:rPr>
          <w:rFonts w:ascii="Verdana" w:eastAsia="Verdana" w:hAnsi="Verdana" w:cs="Verdana"/>
          <w:spacing w:val="2"/>
          <w:sz w:val="20"/>
          <w:szCs w:val="20"/>
          <w:lang w:val="es-CR" w:eastAsia="en-US"/>
        </w:rPr>
        <w:t>r</w:t>
      </w:r>
      <w:r w:rsidRPr="00D13792">
        <w:rPr>
          <w:rFonts w:ascii="Verdana" w:eastAsia="Verdana" w:hAnsi="Verdana" w:cs="Verdana"/>
          <w:sz w:val="20"/>
          <w:szCs w:val="20"/>
          <w:lang w:val="es-CR" w:eastAsia="en-US"/>
        </w:rPr>
        <w:t>s</w:t>
      </w:r>
      <w:r w:rsidRPr="00D13792">
        <w:rPr>
          <w:rFonts w:ascii="Verdana" w:eastAsia="Verdana" w:hAnsi="Verdana" w:cs="Verdana"/>
          <w:spacing w:val="1"/>
          <w:sz w:val="20"/>
          <w:szCs w:val="20"/>
          <w:lang w:val="es-CR" w:eastAsia="en-US"/>
        </w:rPr>
        <w:t>o</w:t>
      </w:r>
      <w:r w:rsidRPr="00D13792">
        <w:rPr>
          <w:rFonts w:ascii="Verdana" w:eastAsia="Verdana" w:hAnsi="Verdana" w:cs="Verdana"/>
          <w:sz w:val="20"/>
          <w:szCs w:val="20"/>
          <w:lang w:val="es-CR" w:eastAsia="en-US"/>
        </w:rPr>
        <w:t>s</w:t>
      </w:r>
      <w:r w:rsidRPr="00D13792">
        <w:rPr>
          <w:rFonts w:ascii="Verdana" w:eastAsia="Verdana" w:hAnsi="Verdana" w:cs="Verdana"/>
          <w:spacing w:val="5"/>
          <w:sz w:val="20"/>
          <w:szCs w:val="20"/>
          <w:lang w:val="es-CR" w:eastAsia="en-US"/>
        </w:rPr>
        <w:t xml:space="preserve"> </w:t>
      </w:r>
      <w:r w:rsidRPr="00D13792">
        <w:rPr>
          <w:rFonts w:ascii="Verdana" w:eastAsia="Verdana" w:hAnsi="Verdana" w:cs="Verdana"/>
          <w:spacing w:val="3"/>
          <w:sz w:val="20"/>
          <w:szCs w:val="20"/>
          <w:lang w:val="es-CR" w:eastAsia="en-US"/>
        </w:rPr>
        <w:t>i</w:t>
      </w:r>
      <w:r w:rsidRPr="00D13792">
        <w:rPr>
          <w:rFonts w:ascii="Verdana" w:eastAsia="Verdana" w:hAnsi="Verdana" w:cs="Verdana"/>
          <w:spacing w:val="1"/>
          <w:sz w:val="20"/>
          <w:szCs w:val="20"/>
          <w:lang w:val="es-CR" w:eastAsia="en-US"/>
        </w:rPr>
        <w:t>nt</w:t>
      </w:r>
      <w:r w:rsidRPr="00D13792">
        <w:rPr>
          <w:rFonts w:ascii="Verdana" w:eastAsia="Verdana" w:hAnsi="Verdana" w:cs="Verdana"/>
          <w:spacing w:val="-1"/>
          <w:sz w:val="20"/>
          <w:szCs w:val="20"/>
          <w:lang w:val="es-CR" w:eastAsia="en-US"/>
        </w:rPr>
        <w:t>er</w:t>
      </w:r>
      <w:r w:rsidRPr="00D13792">
        <w:rPr>
          <w:rFonts w:ascii="Verdana" w:eastAsia="Verdana" w:hAnsi="Verdana" w:cs="Verdana"/>
          <w:spacing w:val="1"/>
          <w:sz w:val="20"/>
          <w:szCs w:val="20"/>
          <w:lang w:val="es-CR" w:eastAsia="en-US"/>
        </w:rPr>
        <w:t>n</w:t>
      </w:r>
      <w:r w:rsidRPr="00D13792">
        <w:rPr>
          <w:rFonts w:ascii="Verdana" w:eastAsia="Verdana" w:hAnsi="Verdana" w:cs="Verdana"/>
          <w:spacing w:val="-1"/>
          <w:sz w:val="20"/>
          <w:szCs w:val="20"/>
          <w:lang w:val="es-CR" w:eastAsia="en-US"/>
        </w:rPr>
        <w:t>o</w:t>
      </w:r>
      <w:r w:rsidRPr="00D13792">
        <w:rPr>
          <w:rFonts w:ascii="Verdana" w:eastAsia="Verdana" w:hAnsi="Verdana" w:cs="Verdana"/>
          <w:sz w:val="20"/>
          <w:szCs w:val="20"/>
          <w:lang w:val="es-CR" w:eastAsia="en-US"/>
        </w:rPr>
        <w:t>s c</w:t>
      </w:r>
      <w:r w:rsidRPr="00D13792">
        <w:rPr>
          <w:rFonts w:ascii="Verdana" w:eastAsia="Verdana" w:hAnsi="Verdana" w:cs="Verdana"/>
          <w:spacing w:val="1"/>
          <w:sz w:val="20"/>
          <w:szCs w:val="20"/>
          <w:lang w:val="es-CR" w:eastAsia="en-US"/>
        </w:rPr>
        <w:t>o</w:t>
      </w:r>
      <w:r w:rsidRPr="00D13792">
        <w:rPr>
          <w:rFonts w:ascii="Verdana" w:eastAsia="Verdana" w:hAnsi="Verdana" w:cs="Verdana"/>
          <w:spacing w:val="-1"/>
          <w:sz w:val="20"/>
          <w:szCs w:val="20"/>
          <w:lang w:val="es-CR" w:eastAsia="en-US"/>
        </w:rPr>
        <w:t>r</w:t>
      </w:r>
      <w:r w:rsidRPr="00D13792">
        <w:rPr>
          <w:rFonts w:ascii="Verdana" w:eastAsia="Verdana" w:hAnsi="Verdana" w:cs="Verdana"/>
          <w:spacing w:val="1"/>
          <w:sz w:val="20"/>
          <w:szCs w:val="20"/>
          <w:lang w:val="es-CR" w:eastAsia="en-US"/>
        </w:rPr>
        <w:t>r</w:t>
      </w:r>
      <w:r w:rsidRPr="00D13792">
        <w:rPr>
          <w:rFonts w:ascii="Verdana" w:eastAsia="Verdana" w:hAnsi="Verdana" w:cs="Verdana"/>
          <w:spacing w:val="-1"/>
          <w:sz w:val="20"/>
          <w:szCs w:val="20"/>
          <w:lang w:val="es-CR" w:eastAsia="en-US"/>
        </w:rPr>
        <w:t>e</w:t>
      </w:r>
      <w:r w:rsidRPr="00D13792">
        <w:rPr>
          <w:rFonts w:ascii="Verdana" w:eastAsia="Verdana" w:hAnsi="Verdana" w:cs="Verdana"/>
          <w:sz w:val="20"/>
          <w:szCs w:val="20"/>
          <w:lang w:val="es-CR" w:eastAsia="en-US"/>
        </w:rPr>
        <w:t>s</w:t>
      </w:r>
      <w:r w:rsidRPr="00D13792">
        <w:rPr>
          <w:rFonts w:ascii="Verdana" w:eastAsia="Verdana" w:hAnsi="Verdana" w:cs="Verdana"/>
          <w:spacing w:val="2"/>
          <w:sz w:val="20"/>
          <w:szCs w:val="20"/>
          <w:lang w:val="es-CR" w:eastAsia="en-US"/>
        </w:rPr>
        <w:t>p</w:t>
      </w:r>
      <w:r w:rsidRPr="00D13792">
        <w:rPr>
          <w:rFonts w:ascii="Verdana" w:eastAsia="Verdana" w:hAnsi="Verdana" w:cs="Verdana"/>
          <w:spacing w:val="-1"/>
          <w:sz w:val="20"/>
          <w:szCs w:val="20"/>
          <w:lang w:val="es-CR" w:eastAsia="en-US"/>
        </w:rPr>
        <w:t>o</w:t>
      </w:r>
      <w:r w:rsidRPr="00D13792">
        <w:rPr>
          <w:rFonts w:ascii="Verdana" w:eastAsia="Verdana" w:hAnsi="Verdana" w:cs="Verdana"/>
          <w:spacing w:val="1"/>
          <w:sz w:val="20"/>
          <w:szCs w:val="20"/>
          <w:lang w:val="es-CR" w:eastAsia="en-US"/>
        </w:rPr>
        <w:t>nd</w:t>
      </w:r>
      <w:r w:rsidRPr="00D13792">
        <w:rPr>
          <w:rFonts w:ascii="Verdana" w:eastAsia="Verdana" w:hAnsi="Verdana" w:cs="Verdana"/>
          <w:sz w:val="20"/>
          <w:szCs w:val="20"/>
          <w:lang w:val="es-CR" w:eastAsia="en-US"/>
        </w:rPr>
        <w:t>e</w:t>
      </w:r>
      <w:r w:rsidRPr="00D13792">
        <w:rPr>
          <w:rFonts w:ascii="Verdana" w:eastAsia="Verdana" w:hAnsi="Verdana" w:cs="Verdana"/>
          <w:spacing w:val="-12"/>
          <w:sz w:val="20"/>
          <w:szCs w:val="20"/>
          <w:lang w:val="es-CR" w:eastAsia="en-US"/>
        </w:rPr>
        <w:t xml:space="preserve"> </w:t>
      </w:r>
      <w:r w:rsidRPr="00D13792">
        <w:rPr>
          <w:rFonts w:ascii="Verdana" w:eastAsia="Verdana" w:hAnsi="Verdana" w:cs="Verdana"/>
          <w:sz w:val="20"/>
          <w:szCs w:val="20"/>
          <w:lang w:val="es-CR" w:eastAsia="en-US"/>
        </w:rPr>
        <w:t>al</w:t>
      </w:r>
      <w:r w:rsidRPr="00D13792">
        <w:rPr>
          <w:rFonts w:ascii="Verdana" w:eastAsia="Verdana" w:hAnsi="Verdana" w:cs="Verdana"/>
          <w:spacing w:val="2"/>
          <w:sz w:val="20"/>
          <w:szCs w:val="20"/>
          <w:lang w:val="es-CR" w:eastAsia="en-US"/>
        </w:rPr>
        <w:t xml:space="preserve"> </w:t>
      </w:r>
      <w:r w:rsidRPr="00D13792">
        <w:rPr>
          <w:rFonts w:ascii="Verdana" w:eastAsia="Verdana" w:hAnsi="Verdana" w:cs="Verdana"/>
          <w:spacing w:val="-1"/>
          <w:sz w:val="20"/>
          <w:szCs w:val="20"/>
          <w:lang w:val="es-CR" w:eastAsia="en-US"/>
        </w:rPr>
        <w:t>E</w:t>
      </w:r>
      <w:r w:rsidRPr="00D13792">
        <w:rPr>
          <w:rFonts w:ascii="Verdana" w:eastAsia="Verdana" w:hAnsi="Verdana" w:cs="Verdana"/>
          <w:sz w:val="20"/>
          <w:szCs w:val="20"/>
          <w:lang w:val="es-CR" w:eastAsia="en-US"/>
        </w:rPr>
        <w:t>sta</w:t>
      </w:r>
      <w:r w:rsidRPr="00D13792">
        <w:rPr>
          <w:rFonts w:ascii="Verdana" w:eastAsia="Verdana" w:hAnsi="Verdana" w:cs="Verdana"/>
          <w:spacing w:val="1"/>
          <w:sz w:val="20"/>
          <w:szCs w:val="20"/>
          <w:lang w:val="es-CR" w:eastAsia="en-US"/>
        </w:rPr>
        <w:t>d</w:t>
      </w:r>
      <w:r w:rsidRPr="00D13792">
        <w:rPr>
          <w:rFonts w:ascii="Verdana" w:eastAsia="Verdana" w:hAnsi="Verdana" w:cs="Verdana"/>
          <w:sz w:val="20"/>
          <w:szCs w:val="20"/>
          <w:lang w:val="es-CR" w:eastAsia="en-US"/>
        </w:rPr>
        <w:t>o</w:t>
      </w:r>
      <w:r w:rsidRPr="00D13792">
        <w:rPr>
          <w:rFonts w:ascii="Verdana" w:eastAsia="Verdana" w:hAnsi="Verdana" w:cs="Verdana"/>
          <w:spacing w:val="-2"/>
          <w:sz w:val="20"/>
          <w:szCs w:val="20"/>
          <w:lang w:val="es-CR" w:eastAsia="en-US"/>
        </w:rPr>
        <w:t xml:space="preserve"> </w:t>
      </w:r>
      <w:r w:rsidRPr="00D13792">
        <w:rPr>
          <w:rFonts w:ascii="Verdana" w:eastAsia="Verdana" w:hAnsi="Verdana" w:cs="Verdana"/>
          <w:spacing w:val="1"/>
          <w:sz w:val="20"/>
          <w:szCs w:val="20"/>
          <w:lang w:val="es-CR" w:eastAsia="en-US"/>
        </w:rPr>
        <w:t>e</w:t>
      </w:r>
      <w:r w:rsidRPr="00D13792">
        <w:rPr>
          <w:rFonts w:ascii="Verdana" w:eastAsia="Verdana" w:hAnsi="Verdana" w:cs="Verdana"/>
          <w:sz w:val="20"/>
          <w:szCs w:val="20"/>
          <w:lang w:val="es-CR" w:eastAsia="en-US"/>
        </w:rPr>
        <w:t>sp</w:t>
      </w:r>
      <w:r w:rsidRPr="00D13792">
        <w:rPr>
          <w:rFonts w:ascii="Verdana" w:eastAsia="Verdana" w:hAnsi="Verdana" w:cs="Verdana"/>
          <w:spacing w:val="-1"/>
          <w:sz w:val="20"/>
          <w:szCs w:val="20"/>
          <w:lang w:val="es-CR" w:eastAsia="en-US"/>
        </w:rPr>
        <w:t>e</w:t>
      </w:r>
      <w:r w:rsidRPr="00D13792">
        <w:rPr>
          <w:rFonts w:ascii="Verdana" w:eastAsia="Verdana" w:hAnsi="Verdana" w:cs="Verdana"/>
          <w:sz w:val="20"/>
          <w:szCs w:val="20"/>
          <w:lang w:val="es-CR" w:eastAsia="en-US"/>
        </w:rPr>
        <w:t>c</w:t>
      </w:r>
      <w:r w:rsidRPr="00D13792">
        <w:rPr>
          <w:rFonts w:ascii="Verdana" w:eastAsia="Verdana" w:hAnsi="Verdana" w:cs="Verdana"/>
          <w:spacing w:val="2"/>
          <w:sz w:val="20"/>
          <w:szCs w:val="20"/>
          <w:lang w:val="es-CR" w:eastAsia="en-US"/>
        </w:rPr>
        <w:t>i</w:t>
      </w:r>
      <w:r w:rsidRPr="00D13792">
        <w:rPr>
          <w:rFonts w:ascii="Verdana" w:eastAsia="Verdana" w:hAnsi="Verdana" w:cs="Verdana"/>
          <w:sz w:val="20"/>
          <w:szCs w:val="20"/>
          <w:lang w:val="es-CR" w:eastAsia="en-US"/>
        </w:rPr>
        <w:t>f</w:t>
      </w:r>
      <w:r w:rsidRPr="00D13792">
        <w:rPr>
          <w:rFonts w:ascii="Verdana" w:eastAsia="Verdana" w:hAnsi="Verdana" w:cs="Verdana"/>
          <w:spacing w:val="2"/>
          <w:sz w:val="20"/>
          <w:szCs w:val="20"/>
          <w:lang w:val="es-CR" w:eastAsia="en-US"/>
        </w:rPr>
        <w:t>i</w:t>
      </w:r>
      <w:r w:rsidRPr="00D13792">
        <w:rPr>
          <w:rFonts w:ascii="Verdana" w:eastAsia="Verdana" w:hAnsi="Verdana" w:cs="Verdana"/>
          <w:sz w:val="20"/>
          <w:szCs w:val="20"/>
          <w:lang w:val="es-CR" w:eastAsia="en-US"/>
        </w:rPr>
        <w:t>car</w:t>
      </w:r>
      <w:r w:rsidRPr="00D13792">
        <w:rPr>
          <w:rFonts w:ascii="Verdana" w:eastAsia="Verdana" w:hAnsi="Verdana" w:cs="Verdana"/>
          <w:spacing w:val="-11"/>
          <w:sz w:val="20"/>
          <w:szCs w:val="20"/>
          <w:lang w:val="es-CR" w:eastAsia="en-US"/>
        </w:rPr>
        <w:t xml:space="preserve"> </w:t>
      </w:r>
      <w:r w:rsidRPr="00D13792">
        <w:rPr>
          <w:rFonts w:ascii="Verdana" w:eastAsia="Verdana" w:hAnsi="Verdana" w:cs="Verdana"/>
          <w:spacing w:val="3"/>
          <w:sz w:val="20"/>
          <w:szCs w:val="20"/>
          <w:lang w:val="es-CR" w:eastAsia="en-US"/>
        </w:rPr>
        <w:t>cuáles</w:t>
      </w:r>
      <w:r w:rsidRPr="00D13792">
        <w:rPr>
          <w:rFonts w:ascii="Verdana" w:eastAsia="Verdana" w:hAnsi="Verdana" w:cs="Verdana"/>
          <w:spacing w:val="-4"/>
          <w:sz w:val="20"/>
          <w:szCs w:val="20"/>
          <w:lang w:val="es-CR" w:eastAsia="en-US"/>
        </w:rPr>
        <w:t xml:space="preserve"> </w:t>
      </w:r>
      <w:r w:rsidRPr="00D13792">
        <w:rPr>
          <w:rFonts w:ascii="Verdana" w:eastAsia="Verdana" w:hAnsi="Verdana" w:cs="Verdana"/>
          <w:sz w:val="20"/>
          <w:szCs w:val="20"/>
          <w:lang w:val="es-CR" w:eastAsia="en-US"/>
        </w:rPr>
        <w:t>a</w:t>
      </w:r>
      <w:r w:rsidRPr="00D13792">
        <w:rPr>
          <w:rFonts w:ascii="Verdana" w:eastAsia="Verdana" w:hAnsi="Verdana" w:cs="Verdana"/>
          <w:spacing w:val="1"/>
          <w:sz w:val="20"/>
          <w:szCs w:val="20"/>
          <w:lang w:val="es-CR" w:eastAsia="en-US"/>
        </w:rPr>
        <w:t>ú</w:t>
      </w:r>
      <w:r w:rsidRPr="00D13792">
        <w:rPr>
          <w:rFonts w:ascii="Verdana" w:eastAsia="Verdana" w:hAnsi="Verdana" w:cs="Verdana"/>
          <w:sz w:val="20"/>
          <w:szCs w:val="20"/>
          <w:lang w:val="es-CR" w:eastAsia="en-US"/>
        </w:rPr>
        <w:t>n</w:t>
      </w:r>
      <w:r w:rsidRPr="00D13792">
        <w:rPr>
          <w:rFonts w:ascii="Verdana" w:eastAsia="Verdana" w:hAnsi="Verdana" w:cs="Verdana"/>
          <w:spacing w:val="-2"/>
          <w:sz w:val="20"/>
          <w:szCs w:val="20"/>
          <w:lang w:val="es-CR" w:eastAsia="en-US"/>
        </w:rPr>
        <w:t xml:space="preserve"> </w:t>
      </w:r>
      <w:r w:rsidRPr="00D13792">
        <w:rPr>
          <w:rFonts w:ascii="Verdana" w:eastAsia="Verdana" w:hAnsi="Verdana" w:cs="Verdana"/>
          <w:spacing w:val="1"/>
          <w:sz w:val="20"/>
          <w:szCs w:val="20"/>
          <w:lang w:val="es-CR" w:eastAsia="en-US"/>
        </w:rPr>
        <w:t>n</w:t>
      </w:r>
      <w:r w:rsidRPr="00D13792">
        <w:rPr>
          <w:rFonts w:ascii="Verdana" w:eastAsia="Verdana" w:hAnsi="Verdana" w:cs="Verdana"/>
          <w:sz w:val="20"/>
          <w:szCs w:val="20"/>
          <w:lang w:val="es-CR" w:eastAsia="en-US"/>
        </w:rPr>
        <w:t>o</w:t>
      </w:r>
      <w:r w:rsidRPr="00D13792">
        <w:rPr>
          <w:rFonts w:ascii="Verdana" w:eastAsia="Verdana" w:hAnsi="Verdana" w:cs="Verdana"/>
          <w:spacing w:val="-2"/>
          <w:sz w:val="20"/>
          <w:szCs w:val="20"/>
          <w:lang w:val="es-CR" w:eastAsia="en-US"/>
        </w:rPr>
        <w:t xml:space="preserve"> </w:t>
      </w:r>
      <w:r w:rsidRPr="00D13792">
        <w:rPr>
          <w:rFonts w:ascii="Verdana" w:eastAsia="Verdana" w:hAnsi="Verdana" w:cs="Verdana"/>
          <w:spacing w:val="2"/>
          <w:sz w:val="20"/>
          <w:szCs w:val="20"/>
          <w:lang w:val="es-CR" w:eastAsia="en-US"/>
        </w:rPr>
        <w:t>s</w:t>
      </w:r>
      <w:r w:rsidRPr="00D13792">
        <w:rPr>
          <w:rFonts w:ascii="Verdana" w:eastAsia="Verdana" w:hAnsi="Verdana" w:cs="Verdana"/>
          <w:sz w:val="20"/>
          <w:szCs w:val="20"/>
          <w:lang w:val="es-CR" w:eastAsia="en-US"/>
        </w:rPr>
        <w:t>e</w:t>
      </w:r>
      <w:r w:rsidRPr="00D13792">
        <w:rPr>
          <w:rFonts w:ascii="Verdana" w:eastAsia="Verdana" w:hAnsi="Verdana" w:cs="Verdana"/>
          <w:spacing w:val="1"/>
          <w:sz w:val="20"/>
          <w:szCs w:val="20"/>
          <w:lang w:val="es-CR" w:eastAsia="en-US"/>
        </w:rPr>
        <w:t xml:space="preserve"> h</w:t>
      </w:r>
      <w:r w:rsidRPr="00D13792">
        <w:rPr>
          <w:rFonts w:ascii="Verdana" w:eastAsia="Verdana" w:hAnsi="Verdana" w:cs="Verdana"/>
          <w:sz w:val="20"/>
          <w:szCs w:val="20"/>
          <w:lang w:val="es-CR" w:eastAsia="en-US"/>
        </w:rPr>
        <w:t>an</w:t>
      </w:r>
      <w:r w:rsidRPr="00D13792">
        <w:rPr>
          <w:rFonts w:ascii="Verdana" w:eastAsia="Verdana" w:hAnsi="Verdana" w:cs="Verdana"/>
          <w:spacing w:val="-1"/>
          <w:sz w:val="20"/>
          <w:szCs w:val="20"/>
          <w:lang w:val="es-CR" w:eastAsia="en-US"/>
        </w:rPr>
        <w:t xml:space="preserve"> </w:t>
      </w:r>
      <w:r w:rsidRPr="00D13792">
        <w:rPr>
          <w:rFonts w:ascii="Verdana" w:eastAsia="Verdana" w:hAnsi="Verdana" w:cs="Verdana"/>
          <w:sz w:val="20"/>
          <w:szCs w:val="20"/>
          <w:lang w:val="es-CR" w:eastAsia="en-US"/>
        </w:rPr>
        <w:t>a</w:t>
      </w:r>
      <w:r w:rsidRPr="00D13792">
        <w:rPr>
          <w:rFonts w:ascii="Verdana" w:eastAsia="Verdana" w:hAnsi="Verdana" w:cs="Verdana"/>
          <w:spacing w:val="1"/>
          <w:sz w:val="20"/>
          <w:szCs w:val="20"/>
          <w:lang w:val="es-CR" w:eastAsia="en-US"/>
        </w:rPr>
        <w:t>g</w:t>
      </w:r>
      <w:r w:rsidRPr="00D13792">
        <w:rPr>
          <w:rFonts w:ascii="Verdana" w:eastAsia="Verdana" w:hAnsi="Verdana" w:cs="Verdana"/>
          <w:spacing w:val="-1"/>
          <w:sz w:val="20"/>
          <w:szCs w:val="20"/>
          <w:lang w:val="es-CR" w:eastAsia="en-US"/>
        </w:rPr>
        <w:t>o</w:t>
      </w:r>
      <w:r w:rsidRPr="00D13792">
        <w:rPr>
          <w:rFonts w:ascii="Verdana" w:eastAsia="Verdana" w:hAnsi="Verdana" w:cs="Verdana"/>
          <w:spacing w:val="1"/>
          <w:sz w:val="20"/>
          <w:szCs w:val="20"/>
          <w:lang w:val="es-CR" w:eastAsia="en-US"/>
        </w:rPr>
        <w:t>t</w:t>
      </w:r>
      <w:r w:rsidRPr="00D13792">
        <w:rPr>
          <w:rFonts w:ascii="Verdana" w:eastAsia="Verdana" w:hAnsi="Verdana" w:cs="Verdana"/>
          <w:sz w:val="20"/>
          <w:szCs w:val="20"/>
          <w:lang w:val="es-CR" w:eastAsia="en-US"/>
        </w:rPr>
        <w:t>a</w:t>
      </w:r>
      <w:r w:rsidRPr="00D13792">
        <w:rPr>
          <w:rFonts w:ascii="Verdana" w:eastAsia="Verdana" w:hAnsi="Verdana" w:cs="Verdana"/>
          <w:spacing w:val="1"/>
          <w:sz w:val="20"/>
          <w:szCs w:val="20"/>
          <w:lang w:val="es-CR" w:eastAsia="en-US"/>
        </w:rPr>
        <w:t>d</w:t>
      </w:r>
      <w:r w:rsidRPr="00D13792">
        <w:rPr>
          <w:rFonts w:ascii="Verdana" w:eastAsia="Verdana" w:hAnsi="Verdana" w:cs="Verdana"/>
          <w:spacing w:val="-1"/>
          <w:sz w:val="20"/>
          <w:szCs w:val="20"/>
          <w:lang w:val="es-CR" w:eastAsia="en-US"/>
        </w:rPr>
        <w:t>o</w:t>
      </w:r>
      <w:r w:rsidRPr="00D13792">
        <w:rPr>
          <w:rFonts w:ascii="Verdana" w:eastAsia="Verdana" w:hAnsi="Verdana" w:cs="Verdana"/>
          <w:sz w:val="20"/>
          <w:szCs w:val="20"/>
          <w:lang w:val="es-CR" w:eastAsia="en-US"/>
        </w:rPr>
        <w:t>,</w:t>
      </w:r>
      <w:r w:rsidRPr="00D13792">
        <w:rPr>
          <w:rFonts w:ascii="Verdana" w:eastAsia="Verdana" w:hAnsi="Verdana" w:cs="Verdana"/>
          <w:spacing w:val="-8"/>
          <w:sz w:val="20"/>
          <w:szCs w:val="20"/>
          <w:lang w:val="es-CR" w:eastAsia="en-US"/>
        </w:rPr>
        <w:t xml:space="preserve"> </w:t>
      </w:r>
      <w:r w:rsidRPr="00D13792">
        <w:rPr>
          <w:rFonts w:ascii="Verdana" w:eastAsia="Verdana" w:hAnsi="Verdana" w:cs="Verdana"/>
          <w:sz w:val="20"/>
          <w:szCs w:val="20"/>
          <w:lang w:val="es-CR" w:eastAsia="en-US"/>
        </w:rPr>
        <w:t xml:space="preserve">y </w:t>
      </w:r>
      <w:r w:rsidRPr="00D13792">
        <w:rPr>
          <w:rFonts w:ascii="Verdana" w:eastAsia="Verdana" w:hAnsi="Verdana" w:cs="Verdana"/>
          <w:spacing w:val="3"/>
          <w:sz w:val="20"/>
          <w:szCs w:val="20"/>
          <w:lang w:val="es-CR" w:eastAsia="en-US"/>
        </w:rPr>
        <w:t>d</w:t>
      </w:r>
      <w:r w:rsidRPr="00D13792">
        <w:rPr>
          <w:rFonts w:ascii="Verdana" w:eastAsia="Verdana" w:hAnsi="Verdana" w:cs="Verdana"/>
          <w:spacing w:val="-1"/>
          <w:sz w:val="20"/>
          <w:szCs w:val="20"/>
          <w:lang w:val="es-CR" w:eastAsia="en-US"/>
        </w:rPr>
        <w:t>e</w:t>
      </w:r>
      <w:r w:rsidRPr="00D13792">
        <w:rPr>
          <w:rFonts w:ascii="Verdana" w:eastAsia="Verdana" w:hAnsi="Verdana" w:cs="Verdana"/>
          <w:sz w:val="20"/>
          <w:szCs w:val="20"/>
          <w:lang w:val="es-CR" w:eastAsia="en-US"/>
        </w:rPr>
        <w:t>m</w:t>
      </w:r>
      <w:r w:rsidRPr="00D13792">
        <w:rPr>
          <w:rFonts w:ascii="Verdana" w:eastAsia="Verdana" w:hAnsi="Verdana" w:cs="Verdana"/>
          <w:spacing w:val="2"/>
          <w:sz w:val="20"/>
          <w:szCs w:val="20"/>
          <w:lang w:val="es-CR" w:eastAsia="en-US"/>
        </w:rPr>
        <w:t>o</w:t>
      </w:r>
      <w:r w:rsidRPr="00D13792">
        <w:rPr>
          <w:rFonts w:ascii="Verdana" w:eastAsia="Verdana" w:hAnsi="Verdana" w:cs="Verdana"/>
          <w:sz w:val="20"/>
          <w:szCs w:val="20"/>
          <w:lang w:val="es-CR" w:eastAsia="en-US"/>
        </w:rPr>
        <w:t>st</w:t>
      </w:r>
      <w:r w:rsidRPr="00D13792">
        <w:rPr>
          <w:rFonts w:ascii="Verdana" w:eastAsia="Verdana" w:hAnsi="Verdana" w:cs="Verdana"/>
          <w:spacing w:val="1"/>
          <w:sz w:val="20"/>
          <w:szCs w:val="20"/>
          <w:lang w:val="es-CR" w:eastAsia="en-US"/>
        </w:rPr>
        <w:t>r</w:t>
      </w:r>
      <w:r w:rsidRPr="00D13792">
        <w:rPr>
          <w:rFonts w:ascii="Verdana" w:eastAsia="Verdana" w:hAnsi="Verdana" w:cs="Verdana"/>
          <w:sz w:val="20"/>
          <w:szCs w:val="20"/>
          <w:lang w:val="es-CR" w:eastAsia="en-US"/>
        </w:rPr>
        <w:t>ar</w:t>
      </w:r>
      <w:r w:rsidRPr="00D13792">
        <w:rPr>
          <w:rFonts w:ascii="Verdana" w:eastAsia="Verdana" w:hAnsi="Verdana" w:cs="Verdana"/>
          <w:spacing w:val="-10"/>
          <w:sz w:val="20"/>
          <w:szCs w:val="20"/>
          <w:lang w:val="es-CR" w:eastAsia="en-US"/>
        </w:rPr>
        <w:t xml:space="preserve"> </w:t>
      </w:r>
      <w:r w:rsidRPr="00D13792">
        <w:rPr>
          <w:rFonts w:ascii="Verdana" w:eastAsia="Verdana" w:hAnsi="Verdana" w:cs="Verdana"/>
          <w:spacing w:val="1"/>
          <w:sz w:val="20"/>
          <w:szCs w:val="20"/>
          <w:lang w:val="es-CR" w:eastAsia="en-US"/>
        </w:rPr>
        <w:t>qu</w:t>
      </w:r>
      <w:r w:rsidRPr="00D13792">
        <w:rPr>
          <w:rFonts w:ascii="Verdana" w:eastAsia="Verdana" w:hAnsi="Verdana" w:cs="Verdana"/>
          <w:sz w:val="20"/>
          <w:szCs w:val="20"/>
          <w:lang w:val="es-CR" w:eastAsia="en-US"/>
        </w:rPr>
        <w:t xml:space="preserve">e </w:t>
      </w:r>
      <w:r w:rsidRPr="00D13792">
        <w:rPr>
          <w:rFonts w:ascii="Verdana" w:eastAsia="Verdana" w:hAnsi="Verdana" w:cs="Verdana"/>
          <w:spacing w:val="2"/>
          <w:sz w:val="20"/>
          <w:szCs w:val="20"/>
          <w:lang w:val="es-CR" w:eastAsia="en-US"/>
        </w:rPr>
        <w:t>s</w:t>
      </w:r>
      <w:r w:rsidRPr="00D13792">
        <w:rPr>
          <w:rFonts w:ascii="Verdana" w:eastAsia="Verdana" w:hAnsi="Verdana" w:cs="Verdana"/>
          <w:sz w:val="20"/>
          <w:szCs w:val="20"/>
          <w:lang w:val="es-CR" w:eastAsia="en-US"/>
        </w:rPr>
        <w:t>e</w:t>
      </w:r>
      <w:r w:rsidRPr="00D13792">
        <w:rPr>
          <w:rFonts w:ascii="Verdana" w:eastAsia="Verdana" w:hAnsi="Verdana" w:cs="Verdana"/>
          <w:spacing w:val="8"/>
          <w:sz w:val="20"/>
          <w:szCs w:val="20"/>
          <w:lang w:val="es-CR" w:eastAsia="en-US"/>
        </w:rPr>
        <w:t xml:space="preserve"> </w:t>
      </w:r>
      <w:r w:rsidRPr="00D13792">
        <w:rPr>
          <w:rFonts w:ascii="Verdana" w:eastAsia="Verdana" w:hAnsi="Verdana" w:cs="Verdana"/>
          <w:spacing w:val="-1"/>
          <w:sz w:val="20"/>
          <w:szCs w:val="20"/>
          <w:lang w:val="es-CR" w:eastAsia="en-US"/>
        </w:rPr>
        <w:t>e</w:t>
      </w:r>
      <w:r w:rsidRPr="00D13792">
        <w:rPr>
          <w:rFonts w:ascii="Verdana" w:eastAsia="Verdana" w:hAnsi="Verdana" w:cs="Verdana"/>
          <w:spacing w:val="3"/>
          <w:sz w:val="20"/>
          <w:szCs w:val="20"/>
          <w:lang w:val="es-CR" w:eastAsia="en-US"/>
        </w:rPr>
        <w:t>n</w:t>
      </w:r>
      <w:r w:rsidRPr="00D13792">
        <w:rPr>
          <w:rFonts w:ascii="Verdana" w:eastAsia="Verdana" w:hAnsi="Verdana" w:cs="Verdana"/>
          <w:sz w:val="20"/>
          <w:szCs w:val="20"/>
          <w:lang w:val="es-CR" w:eastAsia="en-US"/>
        </w:rPr>
        <w:t>c</w:t>
      </w:r>
      <w:r w:rsidRPr="00D13792">
        <w:rPr>
          <w:rFonts w:ascii="Verdana" w:eastAsia="Verdana" w:hAnsi="Verdana" w:cs="Verdana"/>
          <w:spacing w:val="1"/>
          <w:sz w:val="20"/>
          <w:szCs w:val="20"/>
          <w:lang w:val="es-CR" w:eastAsia="en-US"/>
        </w:rPr>
        <w:t>ont</w:t>
      </w:r>
      <w:r w:rsidRPr="00D13792">
        <w:rPr>
          <w:rFonts w:ascii="Verdana" w:eastAsia="Verdana" w:hAnsi="Verdana" w:cs="Verdana"/>
          <w:spacing w:val="-1"/>
          <w:sz w:val="20"/>
          <w:szCs w:val="20"/>
          <w:lang w:val="es-CR" w:eastAsia="en-US"/>
        </w:rPr>
        <w:t>r</w:t>
      </w:r>
      <w:r w:rsidRPr="00D13792">
        <w:rPr>
          <w:rFonts w:ascii="Verdana" w:eastAsia="Verdana" w:hAnsi="Verdana" w:cs="Verdana"/>
          <w:sz w:val="20"/>
          <w:szCs w:val="20"/>
          <w:lang w:val="es-CR" w:eastAsia="en-US"/>
        </w:rPr>
        <w:t>a</w:t>
      </w:r>
      <w:r w:rsidRPr="00D13792">
        <w:rPr>
          <w:rFonts w:ascii="Verdana" w:eastAsia="Verdana" w:hAnsi="Verdana" w:cs="Verdana"/>
          <w:spacing w:val="1"/>
          <w:sz w:val="20"/>
          <w:szCs w:val="20"/>
          <w:lang w:val="es-CR" w:eastAsia="en-US"/>
        </w:rPr>
        <w:t>b</w:t>
      </w:r>
      <w:r w:rsidRPr="00D13792">
        <w:rPr>
          <w:rFonts w:ascii="Verdana" w:eastAsia="Verdana" w:hAnsi="Verdana" w:cs="Verdana"/>
          <w:sz w:val="20"/>
          <w:szCs w:val="20"/>
          <w:lang w:val="es-CR" w:eastAsia="en-US"/>
        </w:rPr>
        <w:t>an</w:t>
      </w:r>
      <w:r w:rsidRPr="00D13792">
        <w:rPr>
          <w:rFonts w:ascii="Verdana" w:eastAsia="Verdana" w:hAnsi="Verdana" w:cs="Verdana"/>
          <w:spacing w:val="1"/>
          <w:sz w:val="20"/>
          <w:szCs w:val="20"/>
          <w:lang w:val="es-CR" w:eastAsia="en-US"/>
        </w:rPr>
        <w:t xml:space="preserve"> d</w:t>
      </w:r>
      <w:r w:rsidRPr="00D13792">
        <w:rPr>
          <w:rFonts w:ascii="Verdana" w:eastAsia="Verdana" w:hAnsi="Verdana" w:cs="Verdana"/>
          <w:spacing w:val="3"/>
          <w:sz w:val="20"/>
          <w:szCs w:val="20"/>
          <w:lang w:val="es-CR" w:eastAsia="en-US"/>
        </w:rPr>
        <w:t>i</w:t>
      </w:r>
      <w:r w:rsidRPr="00D13792">
        <w:rPr>
          <w:rFonts w:ascii="Verdana" w:eastAsia="Verdana" w:hAnsi="Verdana" w:cs="Verdana"/>
          <w:sz w:val="20"/>
          <w:szCs w:val="20"/>
          <w:lang w:val="es-CR" w:eastAsia="en-US"/>
        </w:rPr>
        <w:t>sp</w:t>
      </w:r>
      <w:r w:rsidRPr="00D13792">
        <w:rPr>
          <w:rFonts w:ascii="Verdana" w:eastAsia="Verdana" w:hAnsi="Verdana" w:cs="Verdana"/>
          <w:spacing w:val="-1"/>
          <w:sz w:val="20"/>
          <w:szCs w:val="20"/>
          <w:lang w:val="es-CR" w:eastAsia="en-US"/>
        </w:rPr>
        <w:t>on</w:t>
      </w:r>
      <w:r w:rsidRPr="00D13792">
        <w:rPr>
          <w:rFonts w:ascii="Verdana" w:eastAsia="Verdana" w:hAnsi="Verdana" w:cs="Verdana"/>
          <w:spacing w:val="3"/>
          <w:sz w:val="20"/>
          <w:szCs w:val="20"/>
          <w:lang w:val="es-CR" w:eastAsia="en-US"/>
        </w:rPr>
        <w:t>i</w:t>
      </w:r>
      <w:r w:rsidRPr="00D13792">
        <w:rPr>
          <w:rFonts w:ascii="Verdana" w:eastAsia="Verdana" w:hAnsi="Verdana" w:cs="Verdana"/>
          <w:spacing w:val="-2"/>
          <w:sz w:val="20"/>
          <w:szCs w:val="20"/>
          <w:lang w:val="es-CR" w:eastAsia="en-US"/>
        </w:rPr>
        <w:t>b</w:t>
      </w:r>
      <w:r w:rsidRPr="00D13792">
        <w:rPr>
          <w:rFonts w:ascii="Verdana" w:eastAsia="Verdana" w:hAnsi="Verdana" w:cs="Verdana"/>
          <w:spacing w:val="3"/>
          <w:sz w:val="20"/>
          <w:szCs w:val="20"/>
          <w:lang w:val="es-CR" w:eastAsia="en-US"/>
        </w:rPr>
        <w:t>l</w:t>
      </w:r>
      <w:r w:rsidRPr="00D13792">
        <w:rPr>
          <w:rFonts w:ascii="Verdana" w:eastAsia="Verdana" w:hAnsi="Verdana" w:cs="Verdana"/>
          <w:spacing w:val="-1"/>
          <w:sz w:val="20"/>
          <w:szCs w:val="20"/>
          <w:lang w:val="es-CR" w:eastAsia="en-US"/>
        </w:rPr>
        <w:t>e</w:t>
      </w:r>
      <w:r w:rsidRPr="00D13792">
        <w:rPr>
          <w:rFonts w:ascii="Verdana" w:eastAsia="Verdana" w:hAnsi="Verdana" w:cs="Verdana"/>
          <w:sz w:val="20"/>
          <w:szCs w:val="20"/>
          <w:lang w:val="es-CR" w:eastAsia="en-US"/>
        </w:rPr>
        <w:t>s y</w:t>
      </w:r>
      <w:r w:rsidRPr="00D13792">
        <w:rPr>
          <w:rFonts w:ascii="Verdana" w:eastAsia="Verdana" w:hAnsi="Verdana" w:cs="Verdana"/>
          <w:spacing w:val="10"/>
          <w:sz w:val="20"/>
          <w:szCs w:val="20"/>
          <w:lang w:val="es-CR" w:eastAsia="en-US"/>
        </w:rPr>
        <w:t xml:space="preserve"> </w:t>
      </w:r>
      <w:r w:rsidRPr="00D13792">
        <w:rPr>
          <w:rFonts w:ascii="Verdana" w:eastAsia="Verdana" w:hAnsi="Verdana" w:cs="Verdana"/>
          <w:spacing w:val="1"/>
          <w:sz w:val="20"/>
          <w:szCs w:val="20"/>
          <w:lang w:val="es-CR" w:eastAsia="en-US"/>
        </w:rPr>
        <w:t>e</w:t>
      </w:r>
      <w:r w:rsidRPr="00D13792">
        <w:rPr>
          <w:rFonts w:ascii="Verdana" w:eastAsia="Verdana" w:hAnsi="Verdana" w:cs="Verdana"/>
          <w:spacing w:val="-1"/>
          <w:sz w:val="20"/>
          <w:szCs w:val="20"/>
          <w:lang w:val="es-CR" w:eastAsia="en-US"/>
        </w:rPr>
        <w:t>r</w:t>
      </w:r>
      <w:r w:rsidRPr="00D13792">
        <w:rPr>
          <w:rFonts w:ascii="Verdana" w:eastAsia="Verdana" w:hAnsi="Verdana" w:cs="Verdana"/>
          <w:sz w:val="20"/>
          <w:szCs w:val="20"/>
          <w:lang w:val="es-CR" w:eastAsia="en-US"/>
        </w:rPr>
        <w:t>an</w:t>
      </w:r>
      <w:r w:rsidRPr="00D13792">
        <w:rPr>
          <w:rFonts w:ascii="Verdana" w:eastAsia="Verdana" w:hAnsi="Verdana" w:cs="Verdana"/>
          <w:spacing w:val="9"/>
          <w:sz w:val="20"/>
          <w:szCs w:val="20"/>
          <w:lang w:val="es-CR" w:eastAsia="en-US"/>
        </w:rPr>
        <w:t xml:space="preserve"> </w:t>
      </w:r>
      <w:r w:rsidRPr="00D13792">
        <w:rPr>
          <w:rFonts w:ascii="Verdana" w:eastAsia="Verdana" w:hAnsi="Verdana" w:cs="Verdana"/>
          <w:sz w:val="20"/>
          <w:szCs w:val="20"/>
          <w:lang w:val="es-CR" w:eastAsia="en-US"/>
        </w:rPr>
        <w:t>a</w:t>
      </w:r>
      <w:r w:rsidRPr="00D13792">
        <w:rPr>
          <w:rFonts w:ascii="Verdana" w:eastAsia="Verdana" w:hAnsi="Verdana" w:cs="Verdana"/>
          <w:spacing w:val="1"/>
          <w:sz w:val="20"/>
          <w:szCs w:val="20"/>
          <w:lang w:val="es-CR" w:eastAsia="en-US"/>
        </w:rPr>
        <w:t>d</w:t>
      </w:r>
      <w:r w:rsidRPr="00D13792">
        <w:rPr>
          <w:rFonts w:ascii="Verdana" w:eastAsia="Verdana" w:hAnsi="Verdana" w:cs="Verdana"/>
          <w:spacing w:val="-1"/>
          <w:sz w:val="20"/>
          <w:szCs w:val="20"/>
          <w:lang w:val="es-CR" w:eastAsia="en-US"/>
        </w:rPr>
        <w:t>e</w:t>
      </w:r>
      <w:r w:rsidRPr="00D13792">
        <w:rPr>
          <w:rFonts w:ascii="Verdana" w:eastAsia="Verdana" w:hAnsi="Verdana" w:cs="Verdana"/>
          <w:sz w:val="20"/>
          <w:szCs w:val="20"/>
          <w:lang w:val="es-CR" w:eastAsia="en-US"/>
        </w:rPr>
        <w:t>cu</w:t>
      </w:r>
      <w:r w:rsidRPr="00D13792">
        <w:rPr>
          <w:rFonts w:ascii="Verdana" w:eastAsia="Verdana" w:hAnsi="Verdana" w:cs="Verdana"/>
          <w:spacing w:val="1"/>
          <w:sz w:val="20"/>
          <w:szCs w:val="20"/>
          <w:lang w:val="es-CR" w:eastAsia="en-US"/>
        </w:rPr>
        <w:t>a</w:t>
      </w:r>
      <w:r w:rsidRPr="00D13792">
        <w:rPr>
          <w:rFonts w:ascii="Verdana" w:eastAsia="Verdana" w:hAnsi="Verdana" w:cs="Verdana"/>
          <w:spacing w:val="3"/>
          <w:sz w:val="20"/>
          <w:szCs w:val="20"/>
          <w:lang w:val="es-CR" w:eastAsia="en-US"/>
        </w:rPr>
        <w:t>d</w:t>
      </w:r>
      <w:r w:rsidRPr="00D13792">
        <w:rPr>
          <w:rFonts w:ascii="Verdana" w:eastAsia="Verdana" w:hAnsi="Verdana" w:cs="Verdana"/>
          <w:spacing w:val="-1"/>
          <w:sz w:val="20"/>
          <w:szCs w:val="20"/>
          <w:lang w:val="es-CR" w:eastAsia="en-US"/>
        </w:rPr>
        <w:t>o</w:t>
      </w:r>
      <w:r w:rsidRPr="00D13792">
        <w:rPr>
          <w:rFonts w:ascii="Verdana" w:eastAsia="Verdana" w:hAnsi="Verdana" w:cs="Verdana"/>
          <w:sz w:val="20"/>
          <w:szCs w:val="20"/>
          <w:lang w:val="es-CR" w:eastAsia="en-US"/>
        </w:rPr>
        <w:t xml:space="preserve">s, </w:t>
      </w:r>
      <w:r w:rsidRPr="00D13792">
        <w:rPr>
          <w:rFonts w:ascii="Verdana" w:eastAsia="Verdana" w:hAnsi="Verdana" w:cs="Verdana"/>
          <w:spacing w:val="3"/>
          <w:sz w:val="20"/>
          <w:szCs w:val="20"/>
          <w:lang w:val="es-CR" w:eastAsia="en-US"/>
        </w:rPr>
        <w:t>i</w:t>
      </w:r>
      <w:r w:rsidRPr="00D13792">
        <w:rPr>
          <w:rFonts w:ascii="Verdana" w:eastAsia="Verdana" w:hAnsi="Verdana" w:cs="Verdana"/>
          <w:spacing w:val="1"/>
          <w:sz w:val="20"/>
          <w:szCs w:val="20"/>
          <w:lang w:val="es-CR" w:eastAsia="en-US"/>
        </w:rPr>
        <w:t>d</w:t>
      </w:r>
      <w:r w:rsidRPr="00D13792">
        <w:rPr>
          <w:rFonts w:ascii="Verdana" w:eastAsia="Verdana" w:hAnsi="Verdana" w:cs="Verdana"/>
          <w:spacing w:val="-1"/>
          <w:sz w:val="20"/>
          <w:szCs w:val="20"/>
          <w:lang w:val="es-CR" w:eastAsia="en-US"/>
        </w:rPr>
        <w:t>ó</w:t>
      </w:r>
      <w:r w:rsidRPr="00D13792">
        <w:rPr>
          <w:rFonts w:ascii="Verdana" w:eastAsia="Verdana" w:hAnsi="Verdana" w:cs="Verdana"/>
          <w:spacing w:val="1"/>
          <w:sz w:val="20"/>
          <w:szCs w:val="20"/>
          <w:lang w:val="es-CR" w:eastAsia="en-US"/>
        </w:rPr>
        <w:t>n</w:t>
      </w:r>
      <w:r w:rsidRPr="00D13792">
        <w:rPr>
          <w:rFonts w:ascii="Verdana" w:eastAsia="Verdana" w:hAnsi="Verdana" w:cs="Verdana"/>
          <w:spacing w:val="-1"/>
          <w:sz w:val="20"/>
          <w:szCs w:val="20"/>
          <w:lang w:val="es-CR" w:eastAsia="en-US"/>
        </w:rPr>
        <w:t>e</w:t>
      </w:r>
      <w:r w:rsidRPr="00D13792">
        <w:rPr>
          <w:rFonts w:ascii="Verdana" w:eastAsia="Verdana" w:hAnsi="Verdana" w:cs="Verdana"/>
          <w:spacing w:val="1"/>
          <w:sz w:val="20"/>
          <w:szCs w:val="20"/>
          <w:lang w:val="es-CR" w:eastAsia="en-US"/>
        </w:rPr>
        <w:t>o</w:t>
      </w:r>
      <w:r w:rsidRPr="00D13792">
        <w:rPr>
          <w:rFonts w:ascii="Verdana" w:eastAsia="Verdana" w:hAnsi="Verdana" w:cs="Verdana"/>
          <w:sz w:val="20"/>
          <w:szCs w:val="20"/>
          <w:lang w:val="es-CR" w:eastAsia="en-US"/>
        </w:rPr>
        <w:t>s</w:t>
      </w:r>
      <w:r w:rsidRPr="00D13792">
        <w:rPr>
          <w:rFonts w:ascii="Verdana" w:eastAsia="Verdana" w:hAnsi="Verdana" w:cs="Verdana"/>
          <w:spacing w:val="6"/>
          <w:sz w:val="20"/>
          <w:szCs w:val="20"/>
          <w:lang w:val="es-CR" w:eastAsia="en-US"/>
        </w:rPr>
        <w:t xml:space="preserve"> </w:t>
      </w:r>
      <w:r w:rsidRPr="00D13792">
        <w:rPr>
          <w:rFonts w:ascii="Verdana" w:eastAsia="Verdana" w:hAnsi="Verdana" w:cs="Verdana"/>
          <w:sz w:val="20"/>
          <w:szCs w:val="20"/>
          <w:lang w:val="es-CR" w:eastAsia="en-US"/>
        </w:rPr>
        <w:t>y</w:t>
      </w:r>
      <w:r w:rsidRPr="00D13792">
        <w:rPr>
          <w:rFonts w:ascii="Verdana" w:eastAsia="Verdana" w:hAnsi="Verdana" w:cs="Verdana"/>
          <w:spacing w:val="10"/>
          <w:sz w:val="20"/>
          <w:szCs w:val="20"/>
          <w:lang w:val="es-CR" w:eastAsia="en-US"/>
        </w:rPr>
        <w:t xml:space="preserve"> </w:t>
      </w:r>
      <w:r w:rsidRPr="00D13792">
        <w:rPr>
          <w:rFonts w:ascii="Verdana" w:eastAsia="Verdana" w:hAnsi="Verdana" w:cs="Verdana"/>
          <w:spacing w:val="-1"/>
          <w:sz w:val="20"/>
          <w:szCs w:val="20"/>
          <w:lang w:val="es-CR" w:eastAsia="en-US"/>
        </w:rPr>
        <w:t>e</w:t>
      </w:r>
      <w:r w:rsidRPr="00D13792">
        <w:rPr>
          <w:rFonts w:ascii="Verdana" w:eastAsia="Verdana" w:hAnsi="Verdana" w:cs="Verdana"/>
          <w:spacing w:val="2"/>
          <w:sz w:val="20"/>
          <w:szCs w:val="20"/>
          <w:lang w:val="es-CR" w:eastAsia="en-US"/>
        </w:rPr>
        <w:t>f</w:t>
      </w:r>
      <w:r w:rsidRPr="00D13792">
        <w:rPr>
          <w:rFonts w:ascii="Verdana" w:eastAsia="Verdana" w:hAnsi="Verdana" w:cs="Verdana"/>
          <w:spacing w:val="-1"/>
          <w:sz w:val="20"/>
          <w:szCs w:val="20"/>
          <w:lang w:val="es-CR" w:eastAsia="en-US"/>
        </w:rPr>
        <w:t>e</w:t>
      </w:r>
      <w:r w:rsidRPr="00D13792">
        <w:rPr>
          <w:rFonts w:ascii="Verdana" w:eastAsia="Verdana" w:hAnsi="Verdana" w:cs="Verdana"/>
          <w:sz w:val="20"/>
          <w:szCs w:val="20"/>
          <w:lang w:val="es-CR" w:eastAsia="en-US"/>
        </w:rPr>
        <w:t>ct</w:t>
      </w:r>
      <w:r w:rsidRPr="00D13792">
        <w:rPr>
          <w:rFonts w:ascii="Verdana" w:eastAsia="Verdana" w:hAnsi="Verdana" w:cs="Verdana"/>
          <w:spacing w:val="3"/>
          <w:sz w:val="20"/>
          <w:szCs w:val="20"/>
          <w:lang w:val="es-CR" w:eastAsia="en-US"/>
        </w:rPr>
        <w:t>i</w:t>
      </w:r>
      <w:r w:rsidRPr="00D13792">
        <w:rPr>
          <w:rFonts w:ascii="Verdana" w:eastAsia="Verdana" w:hAnsi="Verdana" w:cs="Verdana"/>
          <w:sz w:val="20"/>
          <w:szCs w:val="20"/>
          <w:lang w:val="es-CR" w:eastAsia="en-US"/>
        </w:rPr>
        <w:t>v</w:t>
      </w:r>
      <w:r w:rsidRPr="00D13792">
        <w:rPr>
          <w:rFonts w:ascii="Verdana" w:eastAsia="Verdana" w:hAnsi="Verdana" w:cs="Verdana"/>
          <w:spacing w:val="-1"/>
          <w:sz w:val="20"/>
          <w:szCs w:val="20"/>
          <w:lang w:val="es-CR" w:eastAsia="en-US"/>
        </w:rPr>
        <w:t>o</w:t>
      </w:r>
      <w:r w:rsidRPr="00D13792">
        <w:rPr>
          <w:rFonts w:ascii="Verdana" w:eastAsia="Verdana" w:hAnsi="Verdana" w:cs="Verdana"/>
          <w:spacing w:val="10"/>
          <w:sz w:val="20"/>
          <w:szCs w:val="20"/>
          <w:lang w:val="es-CR" w:eastAsia="en-US"/>
        </w:rPr>
        <w:t>s</w:t>
      </w:r>
      <w:r w:rsidRPr="00D13792">
        <w:rPr>
          <w:rFonts w:ascii="Verdana" w:eastAsia="Batang" w:hAnsi="Verdana"/>
          <w:sz w:val="20"/>
          <w:szCs w:val="20"/>
          <w:vertAlign w:val="superscript"/>
          <w:lang w:val="es-CR"/>
        </w:rPr>
        <w:footnoteReference w:id="24"/>
      </w:r>
      <w:r w:rsidRPr="00D13792">
        <w:rPr>
          <w:rFonts w:ascii="Verdana" w:eastAsia="Verdana" w:hAnsi="Verdana" w:cs="Verdana"/>
          <w:sz w:val="20"/>
          <w:szCs w:val="20"/>
          <w:lang w:val="es-CR" w:eastAsia="en-US"/>
        </w:rPr>
        <w:t>.</w:t>
      </w:r>
      <w:r w:rsidRPr="00D13792">
        <w:rPr>
          <w:rFonts w:ascii="Verdana" w:hAnsi="Verdana" w:cs="Cambria"/>
          <w:sz w:val="20"/>
          <w:szCs w:val="20"/>
          <w:lang w:val="es-CR"/>
        </w:rPr>
        <w:t xml:space="preserve"> En este sentido, el Tribunal ha manifestado que no corresponde ni a la Corte ni a la Comisión identificar </w:t>
      </w:r>
      <w:r w:rsidRPr="00D13792">
        <w:rPr>
          <w:rFonts w:ascii="Verdana" w:hAnsi="Verdana" w:cs="Cambria"/>
          <w:i/>
          <w:sz w:val="20"/>
          <w:szCs w:val="20"/>
          <w:lang w:val="es-CR"/>
        </w:rPr>
        <w:t>ex officio</w:t>
      </w:r>
      <w:r w:rsidRPr="00D13792">
        <w:rPr>
          <w:rFonts w:ascii="Verdana" w:hAnsi="Verdana" w:cs="Cambria"/>
          <w:sz w:val="20"/>
          <w:szCs w:val="20"/>
          <w:lang w:val="es-CR"/>
        </w:rPr>
        <w:t xml:space="preserve"> cuáles son los recursos internos pendientes de agotamiento. Por ello, no compete a los órganos internacionales subsanar la falta de precisión de los alegatos del Estado</w:t>
      </w:r>
      <w:r w:rsidRPr="00D13792">
        <w:rPr>
          <w:rFonts w:ascii="Verdana" w:hAnsi="Verdana" w:cs="Cambria"/>
          <w:sz w:val="20"/>
          <w:szCs w:val="20"/>
          <w:vertAlign w:val="superscript"/>
          <w:lang w:val="es-CR"/>
        </w:rPr>
        <w:footnoteReference w:id="25"/>
      </w:r>
      <w:r w:rsidRPr="00D13792">
        <w:rPr>
          <w:rFonts w:ascii="Verdana" w:hAnsi="Verdana" w:cs="Cambria"/>
          <w:sz w:val="20"/>
          <w:szCs w:val="20"/>
          <w:lang w:val="es-CR"/>
        </w:rPr>
        <w:t>.</w:t>
      </w:r>
    </w:p>
    <w:p w:rsidR="006A0E1C" w:rsidRPr="00D13792" w:rsidRDefault="006A0E1C" w:rsidP="006A0E1C">
      <w:pPr>
        <w:spacing w:line="240" w:lineRule="auto"/>
        <w:rPr>
          <w:sz w:val="20"/>
          <w:szCs w:val="20"/>
        </w:rPr>
      </w:pPr>
    </w:p>
    <w:p w:rsidR="006A0E1C" w:rsidRPr="00D13792" w:rsidRDefault="006A0E1C" w:rsidP="006A0E1C">
      <w:pPr>
        <w:numPr>
          <w:ilvl w:val="0"/>
          <w:numId w:val="6"/>
        </w:numPr>
        <w:tabs>
          <w:tab w:val="left" w:pos="567"/>
        </w:tabs>
        <w:spacing w:line="240" w:lineRule="auto"/>
        <w:ind w:right="4"/>
        <w:rPr>
          <w:rFonts w:cs="Cambria"/>
          <w:sz w:val="20"/>
          <w:szCs w:val="20"/>
        </w:rPr>
      </w:pPr>
      <w:r w:rsidRPr="00D13792">
        <w:rPr>
          <w:rFonts w:cs="Cambria"/>
          <w:sz w:val="20"/>
          <w:szCs w:val="20"/>
        </w:rPr>
        <w:t>En su escrito de contestación a la demanda, el Estado presentó ante la Corte la excepción preliminar de falta de agotamiento de recursos internos con base en dos argumentos: i) la existencia y falta de agotamiento del recurso de hábeas corpus o exhibición personal, y ii) la existencia y falta de agotamiento del recurso administrativo denominado “Programa Nacional de Resarcimiento” (PNR).</w:t>
      </w:r>
    </w:p>
    <w:p w:rsidR="006A0E1C" w:rsidRPr="00D13792" w:rsidRDefault="006A0E1C" w:rsidP="006A0E1C">
      <w:pPr>
        <w:tabs>
          <w:tab w:val="left" w:pos="567"/>
        </w:tabs>
        <w:spacing w:line="240" w:lineRule="auto"/>
        <w:ind w:right="4"/>
        <w:rPr>
          <w:rFonts w:cs="Cambria"/>
          <w:sz w:val="20"/>
          <w:szCs w:val="20"/>
        </w:rPr>
      </w:pPr>
    </w:p>
    <w:p w:rsidR="006A0E1C" w:rsidRPr="00D13792" w:rsidRDefault="006A0E1C" w:rsidP="006A0E1C">
      <w:pPr>
        <w:numPr>
          <w:ilvl w:val="0"/>
          <w:numId w:val="6"/>
        </w:numPr>
        <w:tabs>
          <w:tab w:val="left" w:pos="567"/>
        </w:tabs>
        <w:spacing w:line="240" w:lineRule="auto"/>
        <w:ind w:right="4"/>
        <w:rPr>
          <w:rFonts w:cs="Cambria"/>
          <w:sz w:val="20"/>
          <w:szCs w:val="20"/>
        </w:rPr>
      </w:pPr>
      <w:r w:rsidRPr="00D13792">
        <w:rPr>
          <w:rFonts w:cs="Cambria"/>
          <w:sz w:val="20"/>
          <w:szCs w:val="20"/>
        </w:rPr>
        <w:t>Al respecto, la Corte observa que la petición inicial ante la Comisión fue presentada el 13 de diciembre de 2007 y trasladada al Estado el 14 de julio de 2008. La respuesta del Estado fue recibida el 10 de septiembre de 2008. En ese momento, el Estado indicó que no existía “un agotamiento de los recursos administrativos y judiciales disponibles en el ordenamiento interno […]”</w:t>
      </w:r>
      <w:r w:rsidRPr="00D13792">
        <w:rPr>
          <w:rFonts w:cs="Cambria"/>
          <w:sz w:val="20"/>
          <w:szCs w:val="20"/>
          <w:vertAlign w:val="superscript"/>
        </w:rPr>
        <w:footnoteReference w:id="26"/>
      </w:r>
      <w:r w:rsidRPr="00D13792">
        <w:rPr>
          <w:rFonts w:cs="Cambria"/>
          <w:sz w:val="20"/>
          <w:szCs w:val="20"/>
        </w:rPr>
        <w:t>. Manifestó que las investigaciones penales se encontraban en la fase de investigación y que se continuaría indagando sobre “las causas que ocasionaron el retardo en el diligenciamiento del proceso ya identificado”</w:t>
      </w:r>
      <w:r w:rsidRPr="00D13792">
        <w:rPr>
          <w:rFonts w:cs="Cambria"/>
          <w:sz w:val="20"/>
          <w:szCs w:val="20"/>
          <w:vertAlign w:val="superscript"/>
        </w:rPr>
        <w:footnoteReference w:id="27"/>
      </w:r>
      <w:r w:rsidRPr="00D13792">
        <w:rPr>
          <w:rFonts w:cs="Cambria"/>
          <w:sz w:val="20"/>
          <w:szCs w:val="20"/>
        </w:rPr>
        <w:t xml:space="preserve">, y sostuvo que existían otros recursos administrativos, como el PNR, que tampoco habían sido agotados. Así, la Corte destaca que el Estado no mencionó la disponibilidad del recurso de hábeas corpus o exhibición personal en dicho escrito, ni en ningún momento durante la etapa de admisibilidad ante la Comisión. Por tanto, este alegato del Estado es extemporáneo. </w:t>
      </w:r>
    </w:p>
    <w:p w:rsidR="006A0E1C" w:rsidRPr="00D13792" w:rsidRDefault="006A0E1C" w:rsidP="006A0E1C">
      <w:pPr>
        <w:tabs>
          <w:tab w:val="left" w:pos="567"/>
        </w:tabs>
        <w:spacing w:line="240" w:lineRule="auto"/>
        <w:ind w:right="4"/>
        <w:rPr>
          <w:rFonts w:cs="Cambria"/>
          <w:sz w:val="20"/>
          <w:szCs w:val="20"/>
        </w:rPr>
      </w:pPr>
    </w:p>
    <w:p w:rsidR="006A0E1C" w:rsidRPr="00D13792" w:rsidRDefault="006A0E1C" w:rsidP="006A0E1C">
      <w:pPr>
        <w:numPr>
          <w:ilvl w:val="0"/>
          <w:numId w:val="6"/>
        </w:numPr>
        <w:tabs>
          <w:tab w:val="left" w:pos="567"/>
        </w:tabs>
        <w:spacing w:line="240" w:lineRule="auto"/>
        <w:ind w:right="4"/>
        <w:rPr>
          <w:rFonts w:eastAsia="Batang" w:cs="Times"/>
          <w:sz w:val="20"/>
          <w:szCs w:val="20"/>
          <w:lang w:eastAsia="en-US"/>
        </w:rPr>
      </w:pPr>
      <w:r w:rsidRPr="00D13792">
        <w:rPr>
          <w:rFonts w:cs="Cambria"/>
          <w:sz w:val="20"/>
          <w:szCs w:val="20"/>
        </w:rPr>
        <w:t xml:space="preserve">En cuanto al segundo argumento, la Corte ya estableció en el párrafo anterior que este </w:t>
      </w:r>
      <w:r w:rsidRPr="00D13792">
        <w:rPr>
          <w:rFonts w:cs="Cambria"/>
          <w:sz w:val="20"/>
          <w:szCs w:val="20"/>
        </w:rPr>
        <w:lastRenderedPageBreak/>
        <w:t>fue presentado en el momento procesal oportuno. Sin embargo, el Estado no indicó al Tribunal los motivos por los cuales el Programa Nacional de Resarcimiento sería un recurso adecuado, idóneo y efectivo para reparar las violaciones específicas alegadas en el presente caso sobre las cuales esta Corte tiene competencia (</w:t>
      </w:r>
      <w:r w:rsidRPr="00D13792">
        <w:rPr>
          <w:rFonts w:cs="Cambria"/>
          <w:i/>
          <w:sz w:val="20"/>
          <w:szCs w:val="20"/>
        </w:rPr>
        <w:t xml:space="preserve">supra </w:t>
      </w:r>
      <w:r w:rsidRPr="00D13792">
        <w:rPr>
          <w:rFonts w:cs="Cambria"/>
          <w:sz w:val="20"/>
          <w:szCs w:val="20"/>
        </w:rPr>
        <w:t>párr. 24), más allá de señalar que fue creado como recurso administrativo “para brindar resarcimiento individual y/o colectivo a las víctimas civiles de violaciones a los derechos humanos ocurridas durante el enfrentamiento armado interno, que incluye el apoyo material y psicológico a los familiares de las víctimas fallecidas y a las víctimas sobrevivientes”</w:t>
      </w:r>
      <w:r w:rsidRPr="00D13792">
        <w:rPr>
          <w:rFonts w:cs="Cambria"/>
          <w:sz w:val="20"/>
          <w:szCs w:val="20"/>
          <w:vertAlign w:val="superscript"/>
        </w:rPr>
        <w:footnoteReference w:id="28"/>
      </w:r>
      <w:r w:rsidRPr="00D13792">
        <w:rPr>
          <w:rFonts w:cs="Cambria"/>
          <w:sz w:val="20"/>
          <w:szCs w:val="20"/>
        </w:rPr>
        <w:t xml:space="preserve">. En todo caso, el Tribunal considera que, en casos como el presente, en que se alegan graves violaciones a los derechos humanos, la interposición de la denuncia penal es suficiente para satisfacer los requerimientos del artículo 46.1.a de la </w:t>
      </w:r>
      <w:r w:rsidRPr="00D13792">
        <w:rPr>
          <w:rFonts w:eastAsia="Batang" w:cs="Times"/>
          <w:sz w:val="20"/>
          <w:szCs w:val="20"/>
          <w:lang w:eastAsia="en-US"/>
        </w:rPr>
        <w:t>Convención</w:t>
      </w:r>
      <w:r w:rsidRPr="00D13792">
        <w:rPr>
          <w:rFonts w:eastAsia="Batang" w:cs="Times"/>
          <w:sz w:val="20"/>
          <w:szCs w:val="20"/>
          <w:vertAlign w:val="superscript"/>
          <w:lang w:eastAsia="en-US"/>
        </w:rPr>
        <w:footnoteReference w:id="29"/>
      </w:r>
      <w:r w:rsidRPr="00D13792">
        <w:rPr>
          <w:rFonts w:eastAsia="Batang" w:cs="Times"/>
          <w:sz w:val="20"/>
          <w:szCs w:val="20"/>
          <w:lang w:eastAsia="en-US"/>
        </w:rPr>
        <w:t xml:space="preserve">. </w:t>
      </w:r>
    </w:p>
    <w:p w:rsidR="006A0E1C" w:rsidRPr="00D13792" w:rsidRDefault="006A0E1C" w:rsidP="006A0E1C">
      <w:pPr>
        <w:tabs>
          <w:tab w:val="left" w:pos="567"/>
        </w:tabs>
        <w:spacing w:line="240" w:lineRule="auto"/>
        <w:ind w:right="4"/>
        <w:rPr>
          <w:rFonts w:cs="Cambria"/>
          <w:i/>
          <w:sz w:val="20"/>
          <w:szCs w:val="20"/>
        </w:rPr>
      </w:pPr>
    </w:p>
    <w:p w:rsidR="006A0E1C" w:rsidRPr="00D13792" w:rsidRDefault="006A0E1C" w:rsidP="006A0E1C">
      <w:pPr>
        <w:numPr>
          <w:ilvl w:val="0"/>
          <w:numId w:val="6"/>
        </w:numPr>
        <w:tabs>
          <w:tab w:val="left" w:pos="567"/>
        </w:tabs>
        <w:spacing w:line="240" w:lineRule="auto"/>
        <w:ind w:right="4"/>
        <w:rPr>
          <w:rFonts w:cs="Cambria"/>
          <w:sz w:val="20"/>
          <w:szCs w:val="20"/>
        </w:rPr>
      </w:pPr>
      <w:r w:rsidRPr="00D13792">
        <w:rPr>
          <w:rFonts w:cs="Cambria"/>
          <w:sz w:val="20"/>
          <w:szCs w:val="20"/>
        </w:rPr>
        <w:t>En vista de lo anterior, la Corte desestima la excepción preliminar de falta de agotamiento de los recursos internos.</w:t>
      </w:r>
    </w:p>
    <w:p w:rsidR="006A0E1C" w:rsidRPr="00D13792" w:rsidRDefault="006A0E1C" w:rsidP="006A0E1C">
      <w:pPr>
        <w:tabs>
          <w:tab w:val="left" w:pos="567"/>
        </w:tabs>
        <w:spacing w:line="240" w:lineRule="auto"/>
        <w:rPr>
          <w:sz w:val="20"/>
          <w:szCs w:val="20"/>
        </w:rPr>
      </w:pPr>
    </w:p>
    <w:p w:rsidR="006A0E1C" w:rsidRPr="00D13792" w:rsidRDefault="006A0E1C" w:rsidP="006A0E1C">
      <w:pPr>
        <w:pStyle w:val="Heading2"/>
        <w:rPr>
          <w:lang w:val="es-CR"/>
        </w:rPr>
      </w:pPr>
      <w:bookmarkStart w:id="73" w:name="_Toc469669999"/>
      <w:r w:rsidRPr="00D13792">
        <w:rPr>
          <w:lang w:val="es-CR"/>
        </w:rPr>
        <w:t>D. Excepción de carencia de la facultad para presentar otra reclamación por los mismos hechos</w:t>
      </w:r>
      <w:bookmarkEnd w:id="73"/>
    </w:p>
    <w:p w:rsidR="006A0E1C" w:rsidRPr="00D13792" w:rsidRDefault="006A0E1C" w:rsidP="006A0E1C">
      <w:pPr>
        <w:pStyle w:val="Heading4"/>
        <w:rPr>
          <w:rFonts w:eastAsia="Calibri"/>
          <w:lang w:val="es-CR"/>
        </w:rPr>
      </w:pPr>
    </w:p>
    <w:p w:rsidR="006A0E1C" w:rsidRPr="00D13792" w:rsidRDefault="006A0E1C" w:rsidP="006A0E1C">
      <w:pPr>
        <w:pStyle w:val="Heading4"/>
        <w:ind w:left="0" w:firstLine="0"/>
        <w:rPr>
          <w:b/>
          <w:lang w:val="es-CR"/>
        </w:rPr>
      </w:pPr>
      <w:r w:rsidRPr="00D13792">
        <w:rPr>
          <w:lang w:val="es-CR"/>
        </w:rPr>
        <w:t>D.1. Argumentos de la Comisión y de las partes</w:t>
      </w:r>
    </w:p>
    <w:p w:rsidR="006A0E1C" w:rsidRPr="00D13792" w:rsidRDefault="006A0E1C" w:rsidP="006A0E1C">
      <w:pPr>
        <w:tabs>
          <w:tab w:val="left" w:pos="720"/>
        </w:tabs>
        <w:spacing w:line="240" w:lineRule="auto"/>
        <w:rPr>
          <w:bCs/>
          <w:i/>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El </w:t>
      </w:r>
      <w:r w:rsidRPr="00D13792">
        <w:rPr>
          <w:b/>
          <w:i/>
          <w:sz w:val="20"/>
          <w:szCs w:val="20"/>
        </w:rPr>
        <w:t>Estado</w:t>
      </w:r>
      <w:r w:rsidRPr="00D13792">
        <w:rPr>
          <w:sz w:val="20"/>
          <w:szCs w:val="20"/>
        </w:rPr>
        <w:t xml:space="preserve"> solicitó a la Corte abstenerse de conocer del presente caso, “ya que la mayoría de las presuntas víctimas ya han sido resarcidas [a través del Programa Nacional de Resarcimiento] y debido a que </w:t>
      </w:r>
      <w:r w:rsidRPr="00D13792">
        <w:rPr>
          <w:rFonts w:cs="Cambria"/>
          <w:sz w:val="20"/>
          <w:szCs w:val="20"/>
        </w:rPr>
        <w:t>las</w:t>
      </w:r>
      <w:r w:rsidRPr="00D13792">
        <w:rPr>
          <w:sz w:val="20"/>
          <w:szCs w:val="20"/>
        </w:rPr>
        <w:t xml:space="preserve"> mismas firmaron en su momento, un finiquito en el cual se obligaron a no presentar en el futuro alguna otra reclamación en contra del Estado”.</w:t>
      </w:r>
    </w:p>
    <w:p w:rsidR="006A0E1C" w:rsidRPr="00D13792" w:rsidRDefault="006A0E1C" w:rsidP="006A0E1C">
      <w:pPr>
        <w:tabs>
          <w:tab w:val="left" w:pos="720"/>
        </w:tabs>
        <w:spacing w:line="240" w:lineRule="auto"/>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La </w:t>
      </w:r>
      <w:r w:rsidRPr="00D13792">
        <w:rPr>
          <w:b/>
          <w:i/>
          <w:sz w:val="20"/>
          <w:szCs w:val="20"/>
        </w:rPr>
        <w:t>Comisión</w:t>
      </w:r>
      <w:r w:rsidRPr="00D13792">
        <w:rPr>
          <w:sz w:val="20"/>
          <w:szCs w:val="20"/>
        </w:rPr>
        <w:t xml:space="preserve"> no se refirió de forma específica a este punto. Los </w:t>
      </w:r>
      <w:r w:rsidRPr="00D13792">
        <w:rPr>
          <w:b/>
          <w:i/>
          <w:sz w:val="20"/>
          <w:szCs w:val="20"/>
        </w:rPr>
        <w:t>representantes</w:t>
      </w:r>
      <w:r w:rsidRPr="00D13792">
        <w:rPr>
          <w:sz w:val="20"/>
          <w:szCs w:val="20"/>
        </w:rPr>
        <w:t xml:space="preserve"> argumentaron que “Guatemala no ha reparado justa, digna e integralmente las consecuencias de la totalidad de violaciones a los derechos humanos cometidos en contra de l[a]s [presuntas] víctimas [y] sobrevivientes […] porque el [PNR] no responde a los estándares internacionales de reparación aceptados”. </w:t>
      </w:r>
    </w:p>
    <w:p w:rsidR="006A0E1C" w:rsidRPr="00D13792" w:rsidRDefault="006A0E1C" w:rsidP="006A0E1C">
      <w:pPr>
        <w:spacing w:line="240" w:lineRule="auto"/>
        <w:rPr>
          <w:sz w:val="20"/>
          <w:szCs w:val="20"/>
        </w:rPr>
      </w:pPr>
    </w:p>
    <w:p w:rsidR="006A0E1C" w:rsidRPr="00D13792" w:rsidRDefault="006A0E1C" w:rsidP="006A0E1C">
      <w:pPr>
        <w:pStyle w:val="Heading3"/>
        <w:ind w:left="0"/>
        <w:rPr>
          <w:b w:val="0"/>
          <w:i/>
          <w:lang w:val="es-CR"/>
        </w:rPr>
      </w:pPr>
      <w:bookmarkStart w:id="74" w:name="_Toc469670000"/>
      <w:r w:rsidRPr="00D13792">
        <w:rPr>
          <w:b w:val="0"/>
          <w:i/>
          <w:lang w:val="es-CR"/>
        </w:rPr>
        <w:t>D.2. Consideraciones de la Corte</w:t>
      </w:r>
      <w:bookmarkEnd w:id="74"/>
    </w:p>
    <w:p w:rsidR="006A0E1C" w:rsidRPr="00D13792" w:rsidRDefault="006A0E1C" w:rsidP="006A0E1C">
      <w:pPr>
        <w:spacing w:line="240" w:lineRule="auto"/>
        <w:rPr>
          <w:sz w:val="20"/>
          <w:szCs w:val="20"/>
        </w:rPr>
      </w:pPr>
    </w:p>
    <w:p w:rsidR="006A0E1C" w:rsidRPr="00D13792" w:rsidRDefault="006A0E1C" w:rsidP="006A0E1C">
      <w:pPr>
        <w:numPr>
          <w:ilvl w:val="0"/>
          <w:numId w:val="6"/>
        </w:numPr>
        <w:tabs>
          <w:tab w:val="left" w:pos="567"/>
        </w:tabs>
        <w:spacing w:line="240" w:lineRule="auto"/>
        <w:ind w:right="4"/>
        <w:rPr>
          <w:i/>
          <w:sz w:val="20"/>
          <w:szCs w:val="20"/>
        </w:rPr>
      </w:pPr>
      <w:r w:rsidRPr="00D13792">
        <w:rPr>
          <w:sz w:val="20"/>
          <w:szCs w:val="20"/>
        </w:rPr>
        <w:t>En virtud del principio de complementariedad</w:t>
      </w:r>
      <w:r w:rsidRPr="00D13792">
        <w:rPr>
          <w:sz w:val="20"/>
          <w:szCs w:val="20"/>
          <w:vertAlign w:val="superscript"/>
        </w:rPr>
        <w:footnoteReference w:id="30"/>
      </w:r>
      <w:r w:rsidRPr="00D13792">
        <w:rPr>
          <w:sz w:val="20"/>
          <w:szCs w:val="20"/>
        </w:rPr>
        <w:t>, en tanto órganos internos hayan cumplido en forma adecuada el deber de investigar y posibilitado la reparación de las presuntas víctimas, puede no ser necesario que la Corte analice la violación de derechos sustantivos. No obstante, habiéndose alegado la inobservancia de dichos deberes, la Corte considera que, como en otros casos</w:t>
      </w:r>
      <w:r w:rsidRPr="00D13792">
        <w:rPr>
          <w:sz w:val="20"/>
          <w:szCs w:val="20"/>
          <w:vertAlign w:val="superscript"/>
        </w:rPr>
        <w:footnoteReference w:id="31"/>
      </w:r>
      <w:r w:rsidRPr="00D13792">
        <w:rPr>
          <w:sz w:val="20"/>
          <w:szCs w:val="20"/>
        </w:rPr>
        <w:t xml:space="preserve">, </w:t>
      </w:r>
      <w:r w:rsidRPr="00D13792">
        <w:rPr>
          <w:spacing w:val="-2"/>
          <w:sz w:val="20"/>
          <w:szCs w:val="20"/>
        </w:rPr>
        <w:t xml:space="preserve">los alegatos del Estado deben ser analizados en el Capítulo de Reparaciones </w:t>
      </w:r>
      <w:r w:rsidRPr="00D13792">
        <w:rPr>
          <w:i/>
          <w:spacing w:val="-2"/>
          <w:sz w:val="20"/>
          <w:szCs w:val="20"/>
        </w:rPr>
        <w:t>infra</w:t>
      </w:r>
      <w:r w:rsidRPr="00D13792">
        <w:rPr>
          <w:sz w:val="20"/>
          <w:szCs w:val="20"/>
        </w:rPr>
        <w:t>. Por lo tanto, el Tribunal desestima esta excepción preliminar.</w:t>
      </w:r>
      <w:r w:rsidRPr="00D13792">
        <w:rPr>
          <w:i/>
          <w:sz w:val="20"/>
          <w:szCs w:val="20"/>
        </w:rPr>
        <w:t xml:space="preserve"> </w:t>
      </w:r>
    </w:p>
    <w:p w:rsidR="006A0E1C" w:rsidRPr="00D13792" w:rsidRDefault="006A0E1C" w:rsidP="006A0E1C">
      <w:pPr>
        <w:pStyle w:val="Heading1"/>
        <w:rPr>
          <w:lang w:val="es-CR"/>
        </w:rPr>
      </w:pPr>
    </w:p>
    <w:p w:rsidR="006A0E1C" w:rsidRPr="00D13792" w:rsidRDefault="006A0E1C" w:rsidP="006A0E1C">
      <w:pPr>
        <w:pStyle w:val="Heading1"/>
        <w:rPr>
          <w:lang w:val="es-CR"/>
        </w:rPr>
      </w:pPr>
      <w:bookmarkStart w:id="75" w:name="_Toc469670001"/>
      <w:r w:rsidRPr="00D13792">
        <w:rPr>
          <w:lang w:val="es-CR"/>
        </w:rPr>
        <w:t>V</w:t>
      </w:r>
      <w:r w:rsidRPr="00D13792">
        <w:rPr>
          <w:rStyle w:val="TitleChar"/>
          <w:rFonts w:ascii="Verdana" w:hAnsi="Verdana"/>
          <w:lang w:val="es-CR"/>
        </w:rPr>
        <w:br/>
        <w:t>RECONOCIMIENTO PARCIAL DE RESPONSABILIDAD</w:t>
      </w:r>
      <w:bookmarkEnd w:id="75"/>
    </w:p>
    <w:p w:rsidR="006A0E1C" w:rsidRPr="00D13792" w:rsidRDefault="006A0E1C" w:rsidP="006A0E1C">
      <w:pPr>
        <w:tabs>
          <w:tab w:val="left" w:pos="567"/>
        </w:tabs>
        <w:spacing w:line="240" w:lineRule="auto"/>
        <w:ind w:right="4"/>
        <w:rPr>
          <w:rFonts w:eastAsia="MS ????"/>
          <w:b/>
          <w:bCs/>
          <w:caps/>
          <w:snapToGrid w:val="0"/>
          <w:spacing w:val="-2"/>
          <w:sz w:val="16"/>
          <w:szCs w:val="20"/>
          <w:lang w:eastAsia="es-ES"/>
        </w:rPr>
      </w:pPr>
    </w:p>
    <w:p w:rsidR="006A0E1C" w:rsidRPr="00D13792" w:rsidRDefault="006A0E1C" w:rsidP="006A0E1C">
      <w:pPr>
        <w:pStyle w:val="Heading2"/>
        <w:numPr>
          <w:ilvl w:val="0"/>
          <w:numId w:val="33"/>
        </w:numPr>
        <w:tabs>
          <w:tab w:val="clear" w:pos="720"/>
          <w:tab w:val="left" w:pos="0"/>
        </w:tabs>
        <w:ind w:left="0" w:firstLine="0"/>
        <w:rPr>
          <w:lang w:val="es-CR"/>
        </w:rPr>
      </w:pPr>
      <w:bookmarkStart w:id="76" w:name="_Toc469670002"/>
      <w:r w:rsidRPr="00D13792">
        <w:rPr>
          <w:lang w:val="es-CR"/>
        </w:rPr>
        <w:t>Reconocimiento parcial de responsabilidad del Estado y observaciones de la Comisión y de los representantes</w:t>
      </w:r>
      <w:bookmarkEnd w:id="76"/>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rFonts w:eastAsia="MS ????"/>
          <w:bCs/>
          <w:caps/>
          <w:snapToGrid w:val="0"/>
          <w:spacing w:val="-2"/>
          <w:sz w:val="20"/>
          <w:szCs w:val="20"/>
          <w:lang w:eastAsia="es-ES"/>
        </w:rPr>
        <w:t>E</w:t>
      </w:r>
      <w:r w:rsidRPr="00D13792">
        <w:rPr>
          <w:rFonts w:eastAsia="Calibri"/>
          <w:color w:val="000000"/>
          <w:sz w:val="20"/>
          <w:szCs w:val="20"/>
        </w:rPr>
        <w:t xml:space="preserve">n la audiencia pública, el </w:t>
      </w:r>
      <w:r w:rsidRPr="00D13792">
        <w:rPr>
          <w:rFonts w:eastAsia="Calibri"/>
          <w:b/>
          <w:i/>
          <w:color w:val="000000"/>
          <w:sz w:val="20"/>
          <w:szCs w:val="20"/>
        </w:rPr>
        <w:t>Estado</w:t>
      </w:r>
      <w:r w:rsidRPr="00D13792">
        <w:rPr>
          <w:rFonts w:eastAsia="Calibri"/>
          <w:color w:val="000000"/>
          <w:sz w:val="20"/>
          <w:szCs w:val="20"/>
        </w:rPr>
        <w:t xml:space="preserve"> propuso un acuerdo de solución amistosa y manifestó que esto “deb[ía] interpretarse como un reconocimiento de responsabilidad estatal por no cumplir con los artículos 8 de garantías judiciales y 25 de protección judicial de la Convención”. “[T]eniendo en cuenta que la averiguación de los hechos del presente caso hasta ahora no ha presentado resultados positivos, invit[ó] a las partes a crear una comisión veedora y evaluadora de las actuaciones pendientes […]”. </w:t>
      </w:r>
      <w:r w:rsidRPr="00D13792">
        <w:rPr>
          <w:sz w:val="20"/>
          <w:szCs w:val="20"/>
        </w:rPr>
        <w:t xml:space="preserve">Por otra parte, en su contestación Guatemala </w:t>
      </w:r>
      <w:r w:rsidRPr="00D13792">
        <w:rPr>
          <w:rFonts w:eastAsia="Calibri"/>
          <w:sz w:val="20"/>
          <w:szCs w:val="20"/>
        </w:rPr>
        <w:t xml:space="preserve">sostuvo que “en ningún </w:t>
      </w:r>
      <w:r w:rsidRPr="00D13792">
        <w:rPr>
          <w:sz w:val="20"/>
          <w:szCs w:val="20"/>
        </w:rPr>
        <w:t>momento pretend[ía] negar [</w:t>
      </w:r>
      <w:r w:rsidRPr="00D13792">
        <w:rPr>
          <w:rFonts w:eastAsia="Calibri"/>
          <w:sz w:val="20"/>
          <w:szCs w:val="20"/>
        </w:rPr>
        <w:t>que sucedieron</w:t>
      </w:r>
      <w:r w:rsidRPr="00D13792">
        <w:rPr>
          <w:sz w:val="20"/>
          <w:szCs w:val="20"/>
        </w:rPr>
        <w:t xml:space="preserve">] los hechos </w:t>
      </w:r>
      <w:r w:rsidRPr="00D13792">
        <w:rPr>
          <w:rFonts w:eastAsia="Calibri"/>
          <w:sz w:val="20"/>
          <w:szCs w:val="20"/>
        </w:rPr>
        <w:t xml:space="preserve">[…] o que niegue que exista responsabilidad del Estado si ha habido dolo, negligencia o culpa institucional o de funcionarios o empleados públicos; ni […] que esté evadiendo la obligación del Estado de resarcir a las víctimas”. Sin embargo, solicitó que la Corte se abstenga de pronunciarse al respecto ya que </w:t>
      </w:r>
      <w:r w:rsidRPr="00D13792">
        <w:rPr>
          <w:sz w:val="20"/>
          <w:szCs w:val="20"/>
        </w:rPr>
        <w:t xml:space="preserve">carece de competencia para conocer de dichos hechos. </w:t>
      </w:r>
    </w:p>
    <w:p w:rsidR="006A0E1C" w:rsidRPr="00D13792" w:rsidRDefault="006A0E1C" w:rsidP="006A0E1C">
      <w:pPr>
        <w:tabs>
          <w:tab w:val="left" w:pos="567"/>
        </w:tabs>
        <w:spacing w:line="240" w:lineRule="auto"/>
        <w:ind w:right="4"/>
        <w:rPr>
          <w:rFonts w:eastAsia="Calibri"/>
          <w:color w:val="000000"/>
          <w:sz w:val="20"/>
          <w:szCs w:val="20"/>
        </w:rPr>
      </w:pPr>
    </w:p>
    <w:p w:rsidR="006A0E1C" w:rsidRPr="00D13792" w:rsidRDefault="006A0E1C" w:rsidP="006A0E1C">
      <w:pPr>
        <w:numPr>
          <w:ilvl w:val="0"/>
          <w:numId w:val="6"/>
        </w:numPr>
        <w:tabs>
          <w:tab w:val="left" w:pos="567"/>
        </w:tabs>
        <w:spacing w:line="240" w:lineRule="auto"/>
        <w:ind w:right="4"/>
        <w:rPr>
          <w:b/>
          <w:spacing w:val="-2"/>
          <w:sz w:val="20"/>
          <w:szCs w:val="20"/>
        </w:rPr>
      </w:pPr>
      <w:r w:rsidRPr="00D13792">
        <w:rPr>
          <w:spacing w:val="-2"/>
          <w:sz w:val="20"/>
          <w:szCs w:val="20"/>
        </w:rPr>
        <w:t xml:space="preserve">En la </w:t>
      </w:r>
      <w:r w:rsidRPr="00D13792">
        <w:rPr>
          <w:rFonts w:eastAsia="Calibri"/>
          <w:color w:val="000000"/>
          <w:sz w:val="20"/>
          <w:szCs w:val="20"/>
        </w:rPr>
        <w:t>audiencia</w:t>
      </w:r>
      <w:r w:rsidRPr="00D13792">
        <w:rPr>
          <w:spacing w:val="-2"/>
          <w:sz w:val="20"/>
          <w:szCs w:val="20"/>
        </w:rPr>
        <w:t xml:space="preserve"> pública y en sus alegatos finales escritos, los </w:t>
      </w:r>
      <w:r w:rsidRPr="00D13792">
        <w:rPr>
          <w:b/>
          <w:i/>
          <w:spacing w:val="-2"/>
          <w:sz w:val="20"/>
          <w:szCs w:val="20"/>
        </w:rPr>
        <w:t>representantes</w:t>
      </w:r>
      <w:r w:rsidRPr="00D13792">
        <w:rPr>
          <w:b/>
          <w:spacing w:val="-2"/>
          <w:sz w:val="20"/>
          <w:szCs w:val="20"/>
        </w:rPr>
        <w:t xml:space="preserve"> </w:t>
      </w:r>
      <w:r w:rsidRPr="00D13792">
        <w:rPr>
          <w:spacing w:val="-2"/>
          <w:sz w:val="20"/>
          <w:szCs w:val="20"/>
        </w:rPr>
        <w:t>rechazaron la propuesta de solución amistosa y</w:t>
      </w:r>
      <w:r w:rsidRPr="00D13792">
        <w:rPr>
          <w:b/>
          <w:spacing w:val="-2"/>
          <w:sz w:val="20"/>
          <w:szCs w:val="20"/>
        </w:rPr>
        <w:t xml:space="preserve"> </w:t>
      </w:r>
      <w:r w:rsidRPr="00D13792">
        <w:rPr>
          <w:spacing w:val="-2"/>
          <w:sz w:val="20"/>
          <w:szCs w:val="20"/>
        </w:rPr>
        <w:t xml:space="preserve">solicitaron que se otorgue efectos jurídicos a “la </w:t>
      </w:r>
      <w:r w:rsidRPr="00D13792">
        <w:rPr>
          <w:rFonts w:eastAsia="Calibri"/>
          <w:color w:val="000000"/>
          <w:sz w:val="20"/>
          <w:szCs w:val="20"/>
        </w:rPr>
        <w:t>aceptación</w:t>
      </w:r>
      <w:r w:rsidRPr="00D13792">
        <w:rPr>
          <w:spacing w:val="-2"/>
          <w:sz w:val="20"/>
          <w:szCs w:val="20"/>
        </w:rPr>
        <w:t xml:space="preserve"> de la responsabilidad internacional de fecha 2[9] de julio de 2011 del Estado”</w:t>
      </w:r>
      <w:r w:rsidRPr="00D13792">
        <w:rPr>
          <w:rStyle w:val="FootnoteReference"/>
          <w:spacing w:val="-2"/>
          <w:sz w:val="20"/>
          <w:szCs w:val="20"/>
        </w:rPr>
        <w:footnoteReference w:id="32"/>
      </w:r>
      <w:r w:rsidRPr="00D13792">
        <w:rPr>
          <w:spacing w:val="-2"/>
          <w:sz w:val="20"/>
          <w:szCs w:val="20"/>
        </w:rPr>
        <w:t xml:space="preserve"> ante la Comisión y al reconocimiento de responsabilidad internacional realizado en la audiencia pública. Manifestaron que, “aunque […] no lo indicó expresamente”, se puede interpretar que el Estado reconoció su responsabilidad internacional en relación con las violaciones alegadas y fundamentadas por los peticionarios y que “el reconocimiento […] abarca todos los hechos del presente caso”. Asimismo, solicitaron que se considere lo indicado en la contestación del Estado. </w:t>
      </w:r>
      <w:r w:rsidRPr="00D13792">
        <w:rPr>
          <w:b/>
          <w:spacing w:val="-2"/>
          <w:sz w:val="20"/>
          <w:szCs w:val="20"/>
        </w:rPr>
        <w:t xml:space="preserve"> </w:t>
      </w:r>
    </w:p>
    <w:p w:rsidR="006A0E1C" w:rsidRPr="00D13792" w:rsidRDefault="006A0E1C" w:rsidP="006A0E1C">
      <w:pPr>
        <w:tabs>
          <w:tab w:val="left" w:pos="567"/>
        </w:tabs>
        <w:spacing w:line="240" w:lineRule="auto"/>
        <w:ind w:right="4" w:firstLine="708"/>
        <w:rPr>
          <w:b/>
          <w:spacing w:val="-2"/>
          <w:sz w:val="20"/>
          <w:szCs w:val="20"/>
        </w:rPr>
      </w:pPr>
    </w:p>
    <w:p w:rsidR="006A0E1C" w:rsidRPr="00D13792" w:rsidRDefault="006A0E1C" w:rsidP="006A0E1C">
      <w:pPr>
        <w:numPr>
          <w:ilvl w:val="0"/>
          <w:numId w:val="6"/>
        </w:numPr>
        <w:tabs>
          <w:tab w:val="left" w:pos="567"/>
        </w:tabs>
        <w:spacing w:line="240" w:lineRule="auto"/>
        <w:ind w:right="4"/>
        <w:rPr>
          <w:b/>
          <w:spacing w:val="-2"/>
          <w:sz w:val="20"/>
          <w:szCs w:val="20"/>
        </w:rPr>
      </w:pPr>
      <w:r w:rsidRPr="00D13792">
        <w:rPr>
          <w:spacing w:val="-2"/>
          <w:sz w:val="20"/>
          <w:szCs w:val="20"/>
        </w:rPr>
        <w:t xml:space="preserve">La </w:t>
      </w:r>
      <w:r w:rsidRPr="00D13792">
        <w:rPr>
          <w:b/>
          <w:i/>
          <w:spacing w:val="-2"/>
          <w:sz w:val="20"/>
          <w:szCs w:val="20"/>
        </w:rPr>
        <w:t>Comisión</w:t>
      </w:r>
      <w:r w:rsidRPr="00D13792">
        <w:rPr>
          <w:spacing w:val="-2"/>
          <w:sz w:val="20"/>
          <w:szCs w:val="20"/>
        </w:rPr>
        <w:t xml:space="preserve"> no se refirió de forma específica al reconocimiento de responsabilidad de los artículos 8 y 25 de la Convención realizado por el Estado en la audiencia pública. Sin embargo, se refirió al reconocimiento de responsabilidad efectuado por el Estado ante la Comisión y a la supuesta reiteración de dicho reconocimiento en la contestación, en el marco de la excepción preliminar </w:t>
      </w:r>
      <w:r w:rsidRPr="00D13792">
        <w:rPr>
          <w:i/>
          <w:spacing w:val="-2"/>
          <w:sz w:val="20"/>
          <w:szCs w:val="20"/>
        </w:rPr>
        <w:t>ratione temporis</w:t>
      </w:r>
      <w:r w:rsidRPr="00D13792">
        <w:rPr>
          <w:spacing w:val="-2"/>
          <w:sz w:val="20"/>
          <w:szCs w:val="20"/>
        </w:rPr>
        <w:t xml:space="preserve"> interpuesta por Guatemala (</w:t>
      </w:r>
      <w:r w:rsidRPr="00D13792">
        <w:rPr>
          <w:i/>
          <w:spacing w:val="-2"/>
          <w:sz w:val="20"/>
          <w:szCs w:val="20"/>
        </w:rPr>
        <w:t>supra</w:t>
      </w:r>
      <w:r w:rsidRPr="00D13792">
        <w:rPr>
          <w:spacing w:val="-2"/>
          <w:sz w:val="20"/>
          <w:szCs w:val="20"/>
        </w:rPr>
        <w:t xml:space="preserve"> párr. 15).</w:t>
      </w:r>
    </w:p>
    <w:p w:rsidR="006A0E1C" w:rsidRPr="00D13792" w:rsidRDefault="006A0E1C" w:rsidP="006A0E1C">
      <w:pPr>
        <w:tabs>
          <w:tab w:val="left" w:pos="567"/>
        </w:tabs>
        <w:spacing w:line="240" w:lineRule="auto"/>
        <w:ind w:right="4"/>
        <w:rPr>
          <w:rFonts w:eastAsia="Calibri"/>
          <w:color w:val="000000"/>
          <w:sz w:val="20"/>
          <w:szCs w:val="20"/>
        </w:rPr>
      </w:pPr>
    </w:p>
    <w:p w:rsidR="006A0E1C" w:rsidRPr="00D13792" w:rsidRDefault="006A0E1C" w:rsidP="006A0E1C">
      <w:pPr>
        <w:pStyle w:val="Heading2"/>
        <w:numPr>
          <w:ilvl w:val="0"/>
          <w:numId w:val="33"/>
        </w:numPr>
        <w:tabs>
          <w:tab w:val="clear" w:pos="720"/>
          <w:tab w:val="left" w:pos="0"/>
        </w:tabs>
        <w:ind w:left="0" w:firstLine="0"/>
        <w:rPr>
          <w:lang w:val="es-CR"/>
        </w:rPr>
      </w:pPr>
      <w:bookmarkStart w:id="77" w:name="_Toc469670003"/>
      <w:r w:rsidRPr="00D13792">
        <w:rPr>
          <w:lang w:val="es-CR"/>
        </w:rPr>
        <w:t>Consideraciones de la Corte</w:t>
      </w:r>
      <w:bookmarkEnd w:id="77"/>
    </w:p>
    <w:p w:rsidR="006A0E1C" w:rsidRPr="00D13792" w:rsidRDefault="006A0E1C" w:rsidP="006A0E1C">
      <w:pPr>
        <w:tabs>
          <w:tab w:val="left" w:pos="567"/>
        </w:tabs>
        <w:spacing w:line="240" w:lineRule="auto"/>
        <w:ind w:right="4"/>
        <w:rPr>
          <w:rFonts w:eastAsia="Times"/>
          <w:sz w:val="16"/>
          <w:szCs w:val="20"/>
        </w:rPr>
      </w:pPr>
    </w:p>
    <w:p w:rsidR="006A0E1C" w:rsidRPr="00D13792" w:rsidRDefault="006A0E1C" w:rsidP="006A0E1C">
      <w:pPr>
        <w:numPr>
          <w:ilvl w:val="0"/>
          <w:numId w:val="6"/>
        </w:numPr>
        <w:tabs>
          <w:tab w:val="left" w:pos="567"/>
        </w:tabs>
        <w:spacing w:line="240" w:lineRule="auto"/>
        <w:ind w:right="4"/>
        <w:rPr>
          <w:rFonts w:eastAsia="Times"/>
          <w:sz w:val="20"/>
          <w:szCs w:val="20"/>
        </w:rPr>
      </w:pPr>
      <w:r w:rsidRPr="00D13792">
        <w:rPr>
          <w:sz w:val="20"/>
          <w:szCs w:val="20"/>
        </w:rPr>
        <w:t>De conformidad con los artículos 62</w:t>
      </w:r>
      <w:r w:rsidRPr="00D13792">
        <w:rPr>
          <w:rStyle w:val="FootnoteReference"/>
          <w:sz w:val="20"/>
          <w:szCs w:val="20"/>
        </w:rPr>
        <w:footnoteReference w:id="33"/>
      </w:r>
      <w:r w:rsidRPr="00D13792">
        <w:rPr>
          <w:sz w:val="20"/>
          <w:szCs w:val="20"/>
        </w:rPr>
        <w:t xml:space="preserve"> y 64</w:t>
      </w:r>
      <w:r w:rsidRPr="00D13792">
        <w:rPr>
          <w:rStyle w:val="FootnoteReference"/>
          <w:sz w:val="20"/>
          <w:szCs w:val="20"/>
        </w:rPr>
        <w:footnoteReference w:id="34"/>
      </w:r>
      <w:r w:rsidRPr="00D13792">
        <w:rPr>
          <w:sz w:val="20"/>
          <w:szCs w:val="20"/>
        </w:rPr>
        <w:t xml:space="preserve"> del Reglamento y en ejercicio de sus poderes de tutela judicial internacional de derechos humanos, cuestión de orden público internacional que trasciende la voluntad de las partes, incumbe al Tribunal velar porque los actos de allanamiento resulten aceptables para los fines que busca cumplir el sistema interamericano. </w:t>
      </w:r>
      <w:r w:rsidRPr="00D13792">
        <w:rPr>
          <w:rFonts w:eastAsia="Times"/>
          <w:sz w:val="20"/>
          <w:szCs w:val="20"/>
        </w:rPr>
        <w:t xml:space="preserve">Para estos efectos, el Tribunal analiza la situación planteada en cada caso </w:t>
      </w:r>
      <w:r w:rsidRPr="00D13792">
        <w:rPr>
          <w:rFonts w:eastAsia="Times"/>
          <w:sz w:val="20"/>
          <w:szCs w:val="20"/>
        </w:rPr>
        <w:lastRenderedPageBreak/>
        <w:t>concreto.</w:t>
      </w:r>
    </w:p>
    <w:p w:rsidR="006A0E1C" w:rsidRPr="00D13792" w:rsidRDefault="006A0E1C" w:rsidP="006A0E1C">
      <w:pPr>
        <w:tabs>
          <w:tab w:val="left" w:pos="567"/>
        </w:tabs>
        <w:spacing w:line="240" w:lineRule="auto"/>
        <w:ind w:right="4"/>
        <w:rPr>
          <w:rFonts w:eastAsia="Times"/>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Durante la audiencia pública del caso, el Estado reconoció su responsabilidad por la violación de los derechos a las garantías judiciales y la protección judicial, establecidos en los artículos 8 y 25 de la Convención, ya que “la averiguación […] hasta ahora no ha presentado resultados positivos”. No especificó en perjuicio de quiénes reconocía dicha violación. </w:t>
      </w:r>
    </w:p>
    <w:p w:rsidR="006A0E1C" w:rsidRPr="00D13792" w:rsidRDefault="006A0E1C" w:rsidP="006A0E1C">
      <w:pPr>
        <w:pStyle w:val="ListParagraph"/>
        <w:spacing w:after="0" w:line="240" w:lineRule="auto"/>
        <w:rPr>
          <w:sz w:val="20"/>
          <w:szCs w:val="20"/>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En consonancia con lo anterior, e</w:t>
      </w:r>
      <w:r w:rsidRPr="00D13792">
        <w:rPr>
          <w:spacing w:val="-2"/>
          <w:sz w:val="20"/>
          <w:szCs w:val="20"/>
        </w:rPr>
        <w:t xml:space="preserve">l Tribunal decide aceptar el reconocimiento parcial de responsabilidad formulado por el Estado, en sentido que violó los artículos 8 y 25 de la Convención Americana. Sin perjuicio de ello, la Corte nota que subsiste la controversia en cuanto al alcance de dichas violaciones, así como en cuanto a quiénes fueron las personas perjudicadas por las mismas. También subsiste la controversia en cuanto a </w:t>
      </w:r>
      <w:r w:rsidRPr="00D13792">
        <w:rPr>
          <w:sz w:val="20"/>
          <w:szCs w:val="20"/>
        </w:rPr>
        <w:t>la</w:t>
      </w:r>
      <w:r>
        <w:rPr>
          <w:sz w:val="20"/>
          <w:szCs w:val="20"/>
        </w:rPr>
        <w:t>s</w:t>
      </w:r>
      <w:r w:rsidRPr="00D13792">
        <w:rPr>
          <w:sz w:val="20"/>
          <w:szCs w:val="20"/>
        </w:rPr>
        <w:t xml:space="preserve"> violaci</w:t>
      </w:r>
      <w:r>
        <w:rPr>
          <w:sz w:val="20"/>
          <w:szCs w:val="20"/>
        </w:rPr>
        <w:t>ones</w:t>
      </w:r>
      <w:r w:rsidRPr="00D13792">
        <w:rPr>
          <w:sz w:val="20"/>
          <w:szCs w:val="20"/>
        </w:rPr>
        <w:t xml:space="preserve"> de los derechos establecidos en los artículos 3, 4, 5, 6, 7, 11, 12, 16, 17, 19, 21, 22, 23 y 24 de la Convención Americana, en relación el artículo 1.1 de la misma; del artículo I de la Convención Interamericana sobre Desaparición Forzada de Personas, y del artículo 7 de la Convención Interamericana para Prevenir, Sancionar y Erradicar la Violencia contra la Mujer, alegadas por la Comisión y/o los representantes. </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pacing w:val="-2"/>
          <w:sz w:val="20"/>
          <w:szCs w:val="20"/>
        </w:rPr>
      </w:pPr>
      <w:r w:rsidRPr="00D13792">
        <w:rPr>
          <w:sz w:val="20"/>
          <w:szCs w:val="20"/>
        </w:rPr>
        <w:t>Por otra parte, la Corte considera que, ante la Comisión Interamericana, el Estado reconoció aquellos hechos comprobados “mediante los expedientes abiertos ante las instituciones de justicia nacional” y que se encuentran documentados en el Informe de la Comisión para el Esclarecimiento Histórico. Asimismo, en su contestación, e</w:t>
      </w:r>
      <w:r w:rsidRPr="00D13792">
        <w:rPr>
          <w:rFonts w:eastAsia="Calibri"/>
          <w:sz w:val="20"/>
          <w:szCs w:val="20"/>
        </w:rPr>
        <w:t xml:space="preserve">l Estado </w:t>
      </w:r>
      <w:r w:rsidRPr="00D13792">
        <w:rPr>
          <w:sz w:val="20"/>
          <w:szCs w:val="20"/>
        </w:rPr>
        <w:t xml:space="preserve">no negó los hechos de este caso, ni su obligación de “resarcir a las víctimas”, sin embargo, opuso una excepción preliminar </w:t>
      </w:r>
      <w:r w:rsidRPr="00D13792">
        <w:rPr>
          <w:i/>
          <w:sz w:val="20"/>
          <w:szCs w:val="20"/>
        </w:rPr>
        <w:t xml:space="preserve">ratione temporis, </w:t>
      </w:r>
      <w:r w:rsidRPr="00D13792">
        <w:rPr>
          <w:sz w:val="20"/>
          <w:szCs w:val="20"/>
        </w:rPr>
        <w:t>alegando que</w:t>
      </w:r>
      <w:r w:rsidRPr="00D13792">
        <w:rPr>
          <w:i/>
          <w:sz w:val="20"/>
          <w:szCs w:val="20"/>
        </w:rPr>
        <w:t xml:space="preserve"> </w:t>
      </w:r>
      <w:r w:rsidRPr="00D13792">
        <w:rPr>
          <w:sz w:val="20"/>
          <w:szCs w:val="20"/>
        </w:rPr>
        <w:t xml:space="preserve">la Corte carece de competencia para conocer de los mismos. </w:t>
      </w:r>
    </w:p>
    <w:p w:rsidR="006A0E1C" w:rsidRPr="00D13792" w:rsidRDefault="006A0E1C" w:rsidP="006A0E1C">
      <w:pPr>
        <w:tabs>
          <w:tab w:val="left" w:pos="567"/>
        </w:tabs>
        <w:spacing w:line="240" w:lineRule="auto"/>
        <w:ind w:right="4"/>
        <w:rPr>
          <w:spacing w:val="-2"/>
          <w:sz w:val="20"/>
          <w:szCs w:val="20"/>
        </w:rPr>
      </w:pPr>
    </w:p>
    <w:p w:rsidR="006A0E1C" w:rsidRPr="00D13792" w:rsidRDefault="006A0E1C" w:rsidP="006A0E1C">
      <w:pPr>
        <w:numPr>
          <w:ilvl w:val="0"/>
          <w:numId w:val="6"/>
        </w:numPr>
        <w:tabs>
          <w:tab w:val="left" w:pos="567"/>
        </w:tabs>
        <w:spacing w:line="240" w:lineRule="auto"/>
        <w:ind w:right="4"/>
        <w:rPr>
          <w:spacing w:val="-2"/>
          <w:sz w:val="20"/>
          <w:szCs w:val="20"/>
        </w:rPr>
      </w:pPr>
      <w:r w:rsidRPr="00D13792">
        <w:rPr>
          <w:sz w:val="20"/>
          <w:szCs w:val="20"/>
        </w:rPr>
        <w:t>De conformidad con el artículo 41.3 del Reglamento</w:t>
      </w:r>
      <w:r w:rsidRPr="00D13792">
        <w:rPr>
          <w:rStyle w:val="FootnoteReference"/>
          <w:sz w:val="20"/>
          <w:szCs w:val="20"/>
        </w:rPr>
        <w:footnoteReference w:id="35"/>
      </w:r>
      <w:r w:rsidRPr="00D13792">
        <w:rPr>
          <w:sz w:val="20"/>
          <w:szCs w:val="20"/>
        </w:rPr>
        <w:t xml:space="preserve">, y en virtud del principio de </w:t>
      </w:r>
      <w:r w:rsidRPr="00D13792">
        <w:rPr>
          <w:i/>
          <w:sz w:val="20"/>
          <w:szCs w:val="20"/>
        </w:rPr>
        <w:t>estoppel</w:t>
      </w:r>
      <w:r w:rsidRPr="00D13792">
        <w:rPr>
          <w:rStyle w:val="FootnoteReference"/>
          <w:sz w:val="20"/>
          <w:szCs w:val="20"/>
        </w:rPr>
        <w:footnoteReference w:id="36"/>
      </w:r>
      <w:r w:rsidRPr="00D13792">
        <w:rPr>
          <w:i/>
          <w:sz w:val="20"/>
          <w:szCs w:val="20"/>
        </w:rPr>
        <w:t xml:space="preserve">, </w:t>
      </w:r>
      <w:r w:rsidRPr="00D13792">
        <w:rPr>
          <w:sz w:val="20"/>
          <w:szCs w:val="20"/>
        </w:rPr>
        <w:t>la Corte considera aceptados los hechos del caso y los tendrá como ciertos mientras lo contrario no aparezca de los autos o no resulte de la convicción judicial (</w:t>
      </w:r>
      <w:r w:rsidRPr="00D13792">
        <w:rPr>
          <w:i/>
          <w:sz w:val="20"/>
          <w:szCs w:val="20"/>
        </w:rPr>
        <w:t xml:space="preserve">infra </w:t>
      </w:r>
      <w:r w:rsidRPr="00D13792">
        <w:rPr>
          <w:sz w:val="20"/>
          <w:szCs w:val="20"/>
        </w:rPr>
        <w:t xml:space="preserve">Capítulo VIII). Sin embargo, analizará dichos hechos de conformidad con lo establecido en el Capítulo IV de esta Sentencia. </w:t>
      </w:r>
    </w:p>
    <w:p w:rsidR="006A0E1C" w:rsidRPr="00D13792" w:rsidRDefault="006A0E1C" w:rsidP="006A0E1C">
      <w:pPr>
        <w:pStyle w:val="Heading1"/>
        <w:rPr>
          <w:lang w:val="es-CR"/>
        </w:rPr>
      </w:pPr>
    </w:p>
    <w:p w:rsidR="006A0E1C" w:rsidRPr="00D13792" w:rsidRDefault="006A0E1C" w:rsidP="006A0E1C">
      <w:pPr>
        <w:pStyle w:val="Heading1"/>
        <w:rPr>
          <w:lang w:val="es-CR"/>
        </w:rPr>
      </w:pPr>
      <w:bookmarkStart w:id="78" w:name="_Toc469670004"/>
      <w:r w:rsidRPr="00D13792">
        <w:rPr>
          <w:lang w:val="es-CR"/>
        </w:rPr>
        <w:t>VI</w:t>
      </w:r>
      <w:r w:rsidRPr="00D13792">
        <w:rPr>
          <w:lang w:val="es-CR"/>
        </w:rPr>
        <w:br/>
        <w:t>CONSIDERACIÓN PREVIA</w:t>
      </w:r>
      <w:bookmarkEnd w:id="78"/>
    </w:p>
    <w:p w:rsidR="006A0E1C" w:rsidRPr="00D13792" w:rsidRDefault="006A0E1C" w:rsidP="006A0E1C">
      <w:pPr>
        <w:spacing w:line="240" w:lineRule="auto"/>
        <w:rPr>
          <w:b/>
          <w:sz w:val="16"/>
          <w:szCs w:val="20"/>
        </w:rPr>
      </w:pPr>
    </w:p>
    <w:p w:rsidR="006A0E1C" w:rsidRPr="00D13792" w:rsidRDefault="006A0E1C" w:rsidP="006A0E1C">
      <w:pPr>
        <w:pStyle w:val="Heading2"/>
        <w:numPr>
          <w:ilvl w:val="0"/>
          <w:numId w:val="35"/>
        </w:numPr>
        <w:tabs>
          <w:tab w:val="clear" w:pos="720"/>
        </w:tabs>
        <w:ind w:left="0" w:firstLine="0"/>
        <w:rPr>
          <w:lang w:val="es-CR"/>
        </w:rPr>
      </w:pPr>
      <w:bookmarkStart w:id="79" w:name="_Toc469670005"/>
      <w:r w:rsidRPr="00D13792">
        <w:rPr>
          <w:lang w:val="es-CR"/>
        </w:rPr>
        <w:t>Argumentos de la Comisión y de las partes</w:t>
      </w:r>
      <w:bookmarkEnd w:id="79"/>
    </w:p>
    <w:p w:rsidR="006A0E1C" w:rsidRPr="00D13792" w:rsidRDefault="006A0E1C" w:rsidP="006A0E1C">
      <w:pPr>
        <w:pStyle w:val="ListParagraph"/>
        <w:spacing w:after="0" w:line="240" w:lineRule="auto"/>
        <w:jc w:val="both"/>
        <w:rPr>
          <w:rFonts w:ascii="Verdana" w:hAnsi="Verdana"/>
          <w:b/>
          <w:sz w:val="16"/>
          <w:szCs w:val="20"/>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rPr>
        <w:t xml:space="preserve">En su escrito de </w:t>
      </w:r>
      <w:r w:rsidRPr="00D13792">
        <w:rPr>
          <w:sz w:val="20"/>
          <w:szCs w:val="20"/>
        </w:rPr>
        <w:t>solicitudes</w:t>
      </w:r>
      <w:r w:rsidRPr="00D13792">
        <w:rPr>
          <w:sz w:val="20"/>
        </w:rPr>
        <w:t xml:space="preserve"> y argumentos, los</w:t>
      </w:r>
      <w:r w:rsidRPr="00D13792">
        <w:rPr>
          <w:b/>
          <w:sz w:val="20"/>
          <w:szCs w:val="20"/>
        </w:rPr>
        <w:t xml:space="preserve"> </w:t>
      </w:r>
      <w:r w:rsidRPr="00D13792">
        <w:rPr>
          <w:b/>
          <w:i/>
          <w:sz w:val="20"/>
          <w:szCs w:val="20"/>
        </w:rPr>
        <w:t>representantes</w:t>
      </w:r>
      <w:r w:rsidRPr="00D13792">
        <w:rPr>
          <w:sz w:val="20"/>
          <w:szCs w:val="20"/>
        </w:rPr>
        <w:t xml:space="preserve"> invocaron el artículo 35.2 del Reglamento a fin de solicitar la inclusión como presuntas víctimas, además de las personas señaladas en el Informe de Fondo, a Juan Pérez Sic, quien se encontraría desaparecido, a 18 familiares de las presuntas víctimas directas del caso, así como a 97 </w:t>
      </w:r>
      <w:r w:rsidRPr="00D13792">
        <w:rPr>
          <w:i/>
          <w:sz w:val="20"/>
          <w:szCs w:val="20"/>
        </w:rPr>
        <w:t>(sic)</w:t>
      </w:r>
      <w:r w:rsidRPr="00D13792">
        <w:rPr>
          <w:sz w:val="20"/>
          <w:szCs w:val="20"/>
        </w:rPr>
        <w:t xml:space="preserve"> familias que presentaron en una lista que anexaron a su escrito. Al respecto, alegaron que los “efectos negativos de la persecución, el desplazamiento forzado, el temor prevaleciente [y] el tiempo transcurrido, son factores que hicieron difícil poder presentar a la Comisión […] el listado de los sobrevivientes de las masacres”.</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rPr>
        <w:lastRenderedPageBreak/>
        <w:t>En su escrito de observaciones</w:t>
      </w:r>
      <w:r w:rsidRPr="00D13792">
        <w:rPr>
          <w:sz w:val="20"/>
          <w:szCs w:val="20"/>
        </w:rPr>
        <w:t xml:space="preserve"> a las excepciones preliminares</w:t>
      </w:r>
      <w:r w:rsidRPr="00D13792">
        <w:rPr>
          <w:sz w:val="20"/>
        </w:rPr>
        <w:t>, remitido el 26 de junio de 2015, los</w:t>
      </w:r>
      <w:r w:rsidRPr="00D13792">
        <w:rPr>
          <w:b/>
          <w:sz w:val="20"/>
          <w:szCs w:val="20"/>
        </w:rPr>
        <w:t xml:space="preserve"> </w:t>
      </w:r>
      <w:r w:rsidRPr="00D13792">
        <w:rPr>
          <w:sz w:val="20"/>
          <w:szCs w:val="20"/>
        </w:rPr>
        <w:t>representantes solicitaron que todos los miembros y las familias de la comunidad de Chichupac y comunidades vecinas del Rabinal sean calificados como víctimas. Anexaron una nueva lista de 39 familias que solicitaron sean incluidas como presuntas víctimas de desplazamiento forzado. Posteriormente</w:t>
      </w:r>
      <w:r w:rsidRPr="00D13792">
        <w:rPr>
          <w:sz w:val="20"/>
        </w:rPr>
        <w:t>,</w:t>
      </w:r>
      <w:r w:rsidRPr="00D13792">
        <w:rPr>
          <w:sz w:val="20"/>
          <w:szCs w:val="20"/>
        </w:rPr>
        <w:t xml:space="preserve"> mediante escrito de 19 de abril de 2016, </w:t>
      </w:r>
      <w:r w:rsidRPr="00D13792">
        <w:rPr>
          <w:sz w:val="20"/>
        </w:rPr>
        <w:t>los representantes</w:t>
      </w:r>
      <w:r w:rsidRPr="00D13792">
        <w:rPr>
          <w:sz w:val="20"/>
          <w:szCs w:val="20"/>
        </w:rPr>
        <w:t xml:space="preserve"> remitieron 212 certificados de nacimiento, matrimonio y defunción de presuntas víctimas que habrían sufrido persecución, desplazamiento forzado y desarraigo. En sus alegatos finales escritos y junto con la prueba para mejor resolver remitida al Tribunal, los representantes presentaron un listado general que “aglutina la mayor cantidad de” presuntas víctimas y sus familiares, así como una lista de presuntas víctimas de desplazamiento forzado que habrían regresado a sus comunidades después del 9 de marzo de 1987 o que hasta la fecha permanecerían en situación de desplazamiento. También solicitaron que se “deje abierta la posibilidad de identificaciones futuras de víctimas […] y que se cree un mecanismo efectivo de identificación de víctimas de desplazamiento […]”. </w:t>
      </w:r>
    </w:p>
    <w:p w:rsidR="006A0E1C" w:rsidRPr="00D13792" w:rsidRDefault="006A0E1C" w:rsidP="006A0E1C">
      <w:pPr>
        <w:pStyle w:val="ListParagraph"/>
        <w:autoSpaceDE w:val="0"/>
        <w:autoSpaceDN w:val="0"/>
        <w:adjustRightInd w:val="0"/>
        <w:spacing w:after="0" w:line="240" w:lineRule="auto"/>
        <w:ind w:left="0"/>
        <w:jc w:val="both"/>
        <w:rPr>
          <w:rFonts w:ascii="Verdana" w:hAnsi="Verdana"/>
          <w:sz w:val="20"/>
          <w:szCs w:val="20"/>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En la audiencia pública y en sus alegatos finales escritos, la </w:t>
      </w:r>
      <w:r w:rsidRPr="00D13792">
        <w:rPr>
          <w:b/>
          <w:i/>
          <w:sz w:val="20"/>
          <w:szCs w:val="20"/>
        </w:rPr>
        <w:t>Comisión</w:t>
      </w:r>
      <w:r w:rsidRPr="00D13792">
        <w:rPr>
          <w:sz w:val="20"/>
          <w:szCs w:val="20"/>
        </w:rPr>
        <w:t xml:space="preserve"> recalcó la importancia de la aplicación del art. 35.2 del Reglamento de la Corte, permitiendo la inclusión de más víctimas no nombradas expresamente en el Informe de Fondo. </w:t>
      </w:r>
    </w:p>
    <w:p w:rsidR="006A0E1C" w:rsidRPr="00D13792" w:rsidRDefault="006A0E1C" w:rsidP="006A0E1C">
      <w:pPr>
        <w:pStyle w:val="ListParagraph"/>
        <w:autoSpaceDE w:val="0"/>
        <w:autoSpaceDN w:val="0"/>
        <w:adjustRightInd w:val="0"/>
        <w:spacing w:after="0" w:line="240" w:lineRule="auto"/>
        <w:ind w:left="0"/>
        <w:jc w:val="both"/>
        <w:rPr>
          <w:rFonts w:ascii="Verdana" w:hAnsi="Verdana"/>
          <w:sz w:val="20"/>
          <w:szCs w:val="20"/>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En su contestación y alegatos finales escritos, el</w:t>
      </w:r>
      <w:r w:rsidRPr="00D13792">
        <w:rPr>
          <w:b/>
          <w:sz w:val="20"/>
          <w:szCs w:val="20"/>
        </w:rPr>
        <w:t xml:space="preserve"> </w:t>
      </w:r>
      <w:r w:rsidRPr="00D13792">
        <w:rPr>
          <w:b/>
          <w:i/>
          <w:sz w:val="20"/>
          <w:szCs w:val="20"/>
        </w:rPr>
        <w:t>Estado</w:t>
      </w:r>
      <w:r w:rsidRPr="00D13792">
        <w:rPr>
          <w:sz w:val="20"/>
          <w:szCs w:val="20"/>
        </w:rPr>
        <w:t xml:space="preserve"> argumentó que </w:t>
      </w:r>
      <w:r w:rsidRPr="00D13792">
        <w:rPr>
          <w:color w:val="1E1E1E"/>
          <w:sz w:val="20"/>
          <w:szCs w:val="20"/>
        </w:rPr>
        <w:t xml:space="preserve">la adición de víctimas por parte de los representantes es </w:t>
      </w:r>
      <w:r w:rsidRPr="00D13792">
        <w:rPr>
          <w:sz w:val="20"/>
        </w:rPr>
        <w:t>extemporánea</w:t>
      </w:r>
      <w:r w:rsidRPr="00D13792">
        <w:rPr>
          <w:color w:val="1E1E1E"/>
          <w:sz w:val="20"/>
          <w:szCs w:val="20"/>
        </w:rPr>
        <w:t xml:space="preserve"> y carece de fundamento, por lo que solicitó a la Corte que no las admita</w:t>
      </w:r>
      <w:r w:rsidRPr="00D13792">
        <w:rPr>
          <w:rStyle w:val="FootnoteReference"/>
          <w:sz w:val="20"/>
          <w:szCs w:val="16"/>
        </w:rPr>
        <w:footnoteReference w:id="37"/>
      </w:r>
      <w:r w:rsidRPr="00D13792">
        <w:rPr>
          <w:color w:val="1E1E1E"/>
          <w:sz w:val="20"/>
          <w:szCs w:val="20"/>
        </w:rPr>
        <w:t>.</w:t>
      </w:r>
      <w:r w:rsidRPr="00D13792">
        <w:rPr>
          <w:b/>
          <w:color w:val="1E1E1E"/>
          <w:sz w:val="20"/>
          <w:szCs w:val="20"/>
        </w:rPr>
        <w:t xml:space="preserve"> </w:t>
      </w:r>
    </w:p>
    <w:p w:rsidR="006A0E1C" w:rsidRPr="00D13792" w:rsidRDefault="006A0E1C" w:rsidP="006A0E1C">
      <w:pPr>
        <w:pStyle w:val="ListParagraph"/>
        <w:autoSpaceDE w:val="0"/>
        <w:autoSpaceDN w:val="0"/>
        <w:adjustRightInd w:val="0"/>
        <w:spacing w:after="0" w:line="240" w:lineRule="auto"/>
        <w:ind w:left="0"/>
        <w:jc w:val="both"/>
        <w:rPr>
          <w:rFonts w:ascii="Verdana" w:hAnsi="Verdana"/>
          <w:sz w:val="20"/>
          <w:szCs w:val="20"/>
          <w:lang w:val="es-CR"/>
        </w:rPr>
      </w:pPr>
    </w:p>
    <w:p w:rsidR="006A0E1C" w:rsidRPr="00D13792" w:rsidRDefault="006A0E1C" w:rsidP="006A0E1C">
      <w:pPr>
        <w:pStyle w:val="Heading2"/>
        <w:numPr>
          <w:ilvl w:val="0"/>
          <w:numId w:val="35"/>
        </w:numPr>
        <w:tabs>
          <w:tab w:val="clear" w:pos="720"/>
        </w:tabs>
        <w:ind w:left="0" w:firstLine="0"/>
        <w:rPr>
          <w:lang w:val="es-CR"/>
        </w:rPr>
      </w:pPr>
      <w:bookmarkStart w:id="80" w:name="_Toc469670006"/>
      <w:r w:rsidRPr="00D13792">
        <w:rPr>
          <w:lang w:val="es-CR"/>
        </w:rPr>
        <w:t>Consideraciones de la Corte</w:t>
      </w:r>
      <w:bookmarkEnd w:id="80"/>
    </w:p>
    <w:p w:rsidR="006A0E1C" w:rsidRPr="00D13792" w:rsidRDefault="006A0E1C" w:rsidP="006A0E1C">
      <w:pPr>
        <w:pStyle w:val="ListParagraph"/>
        <w:autoSpaceDE w:val="0"/>
        <w:autoSpaceDN w:val="0"/>
        <w:adjustRightInd w:val="0"/>
        <w:spacing w:after="0" w:line="240" w:lineRule="auto"/>
        <w:ind w:left="1080"/>
        <w:jc w:val="both"/>
        <w:rPr>
          <w:rFonts w:ascii="Verdana" w:hAnsi="Verdana"/>
          <w:sz w:val="16"/>
          <w:szCs w:val="20"/>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El artículo 35.1 del Reglamento dispone que el caso será sometido a la Corte mediante la presentación del Informe de Fondo de la Comisión, el cual deberá contener “la identificación de las presuntas víctimas”. De conformidad con dicha norma, corresponde a la Comisión y no a este Tribunal identificar con precisión y en la debida oportunidad procesal a las presuntas víctimas en un caso ante la Corte. La seguridad jurídica exige, como regla general, que todas las presuntas víctimas estén debidamente identificadas en el Informe de Fondo, no siendo posible añadir nuevas presuntas víctimas luego del mismo, salvo en la circunstancia excepcional contemplada en el artículo 35.2 del Reglamento de la Corte.</w:t>
      </w:r>
    </w:p>
    <w:p w:rsidR="006A0E1C" w:rsidRPr="00D13792" w:rsidRDefault="006A0E1C" w:rsidP="006A0E1C">
      <w:pPr>
        <w:pStyle w:val="ListParagraph"/>
        <w:autoSpaceDE w:val="0"/>
        <w:autoSpaceDN w:val="0"/>
        <w:adjustRightInd w:val="0"/>
        <w:spacing w:after="0" w:line="240" w:lineRule="auto"/>
        <w:ind w:left="1080"/>
        <w:jc w:val="both"/>
        <w:rPr>
          <w:rFonts w:ascii="Verdana" w:hAnsi="Verdana"/>
          <w:sz w:val="20"/>
          <w:szCs w:val="20"/>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De conformidad con el mencionado artículo 35.2 del Reglamento, “[c]uando se justificare que no fue posible identificar a alguna o algunas presuntas víctimas de los hechos del caso por tratarse </w:t>
      </w:r>
      <w:r w:rsidRPr="00D13792">
        <w:rPr>
          <w:sz w:val="20"/>
        </w:rPr>
        <w:t>de</w:t>
      </w:r>
      <w:r w:rsidRPr="00D13792">
        <w:rPr>
          <w:sz w:val="20"/>
          <w:szCs w:val="20"/>
        </w:rPr>
        <w:t xml:space="preserve"> casos de violaciones masivas o colectivas, el Tribunal decidirá en su oportunidad si las considera víctimas”. En su jurisprudencia al respecto, la Corte ha evaluado la aplicación del artículo 35.2 del Reglamento con base en las características particulares de cada caso</w:t>
      </w:r>
      <w:r w:rsidRPr="00D13792">
        <w:rPr>
          <w:sz w:val="20"/>
          <w:szCs w:val="20"/>
          <w:vertAlign w:val="superscript"/>
        </w:rPr>
        <w:footnoteReference w:id="38"/>
      </w:r>
      <w:r w:rsidRPr="00D13792">
        <w:rPr>
          <w:sz w:val="20"/>
          <w:szCs w:val="20"/>
        </w:rPr>
        <w:t xml:space="preserve">, y ha </w:t>
      </w:r>
      <w:r w:rsidRPr="00D13792">
        <w:rPr>
          <w:sz w:val="20"/>
          <w:szCs w:val="20"/>
        </w:rPr>
        <w:lastRenderedPageBreak/>
        <w:t xml:space="preserve">subrayado que no es su propósito trabar con formalismos el desarrollo del proceso sino, por el contrario, acercar la definición que se dé en la Sentencia a la exigencia de justicia. Así, la Corte ha aplicado el artículo 35.2 en casos masivos o colectivos con dificultades para identificar o contactar a todas las presuntas víctimas, por ejemplo, debido a la presencia de un conflicto armado, el desplazamiento o la quema o destrucción de los cuerpos de las presuntas víctimas, o en casos en que familias enteras han sido desaparecidas, por lo que no habría nadie que pudiera hablar por ellos. También ha tomado en cuenta la dificultad de acceder al área donde ocurrieron los hechos, la falta de registros respecto de los habitantes del lugar y el transcurso del tiempo, así como características particulares de las presuntas víctimas del caso, por ejemplo, cuando estas han conformado clanes familiares con nombres y apellidos similares, o al tratarse de migrantes. Igualmente, ha considerado la conducta del Estado, por ejemplo, cuando existen alegatos de que la falta de investigación contribuyó a la incompleta identificación de las presuntas víctimas. </w:t>
      </w:r>
    </w:p>
    <w:p w:rsidR="006A0E1C" w:rsidRPr="00D13792" w:rsidRDefault="006A0E1C" w:rsidP="006A0E1C">
      <w:pPr>
        <w:pStyle w:val="ListParagraph"/>
        <w:spacing w:after="0" w:line="240" w:lineRule="auto"/>
        <w:jc w:val="both"/>
        <w:rPr>
          <w:rFonts w:ascii="Verdana" w:hAnsi="Verdana"/>
          <w:sz w:val="20"/>
          <w:szCs w:val="20"/>
          <w:lang w:val="es-CR"/>
        </w:rPr>
      </w:pPr>
    </w:p>
    <w:p w:rsidR="006A0E1C" w:rsidRPr="00D13792" w:rsidRDefault="006A0E1C" w:rsidP="006A0E1C">
      <w:pPr>
        <w:numPr>
          <w:ilvl w:val="0"/>
          <w:numId w:val="6"/>
        </w:numPr>
        <w:tabs>
          <w:tab w:val="left" w:pos="567"/>
        </w:tabs>
        <w:spacing w:line="240" w:lineRule="auto"/>
        <w:ind w:right="4"/>
        <w:rPr>
          <w:spacing w:val="-2"/>
          <w:sz w:val="20"/>
          <w:szCs w:val="20"/>
        </w:rPr>
      </w:pPr>
      <w:r w:rsidRPr="00D13792">
        <w:rPr>
          <w:rFonts w:cs="Arial"/>
          <w:sz w:val="20"/>
          <w:szCs w:val="20"/>
        </w:rPr>
        <w:t>El presente caso es de carácter colectivo, se enmarca dentro del conflicto armado guatemalteco e involucra, en principio, aproximadamente 477 presuntas víctimas señaladas en el “Anexo único” del Informe de Fondo.</w:t>
      </w:r>
      <w:r w:rsidRPr="00D13792">
        <w:rPr>
          <w:sz w:val="20"/>
          <w:szCs w:val="20"/>
        </w:rPr>
        <w:t xml:space="preserve"> Además, en este caso habrían ocurrido alegadas detenciones arbitrarias, múltiples ejecuciones extrajudiciales, desapariciones forzadas, violaciones y otras formas de violencia sexual, tortura, quema de casas y bienes, y el desplazamiento y </w:t>
      </w:r>
      <w:r w:rsidRPr="00D13792">
        <w:rPr>
          <w:sz w:val="20"/>
        </w:rPr>
        <w:t>persecución</w:t>
      </w:r>
      <w:r w:rsidRPr="00D13792">
        <w:rPr>
          <w:sz w:val="20"/>
          <w:szCs w:val="20"/>
        </w:rPr>
        <w:t xml:space="preserve"> de </w:t>
      </w:r>
      <w:r w:rsidRPr="00D13792">
        <w:rPr>
          <w:rFonts w:cs="Arial"/>
          <w:sz w:val="20"/>
          <w:szCs w:val="20"/>
        </w:rPr>
        <w:t xml:space="preserve">los </w:t>
      </w:r>
      <w:r w:rsidRPr="00D13792">
        <w:rPr>
          <w:sz w:val="20"/>
          <w:szCs w:val="20"/>
        </w:rPr>
        <w:t>habitantes de la aldea Chichupac</w:t>
      </w:r>
      <w:r w:rsidRPr="00D13792">
        <w:rPr>
          <w:rFonts w:cs="Arial"/>
          <w:sz w:val="20"/>
          <w:szCs w:val="20"/>
        </w:rPr>
        <w:t xml:space="preserve"> y </w:t>
      </w:r>
      <w:r w:rsidRPr="00D13792">
        <w:rPr>
          <w:sz w:val="20"/>
          <w:szCs w:val="20"/>
        </w:rPr>
        <w:t>comunidades vecinas, así como falta de acceso a la justicia, todo ello en un alegado contexto de graves y masivas violaciones a los derechos humanos, dentro del cual el pueblo maya habría sido particularmente afectado. Para algunas familias, dicho desplazamiento permanecería hasta la fecha. Aunado a ello, los hechos del presente caso ocurrieron entre 28 y 33 años antes de la presentación del Informe de Fondo al Tribunal el 5 de agosto de 2014.</w:t>
      </w:r>
      <w:r w:rsidRPr="00D13792">
        <w:t xml:space="preserve"> </w:t>
      </w:r>
      <w:r w:rsidRPr="00D13792">
        <w:rPr>
          <w:sz w:val="20"/>
          <w:szCs w:val="20"/>
        </w:rPr>
        <w:t>En este contexto, el Tribunal estima razonable que hubiese sido complejo identificar a la totalidad de las presuntas víctimas del caso. Por otra parte, el Estado no objetó de forma particular la calidad de presunta víctima de ninguna de las personas individualizadas por los representantes en el escrito de solicitudes y argumentos, ni en los escritos de 26 de junio de 2015 y 30 de mayo y 2 de junio de 2016, alegando únicamente y de forma genérica, que la identificación de dichas personas fue extemporánea. Por tanto, en aplicación del artículo 35.2 del Reglamento, esta Corte considerará como presuntas víctimas a aquellas personas identificadas e individualizadas por la Comisión en el Informe de Fondo, así como por los representantes en el “Listado General de Víctimas” y en el listado de “Personas individualizadas y desplazadas”, remitidos el 2 de junio de 2016, ya que, según aquellos, dichos listados “muestran y aglutinan la mayor cantidad de víctimas del caso”. Lo anterior, siempre y cuando el Tribunal cuente con la prueba necesaria para verificar la identidad de cada una de esas personas. Dichas personas se encuentran identificadas</w:t>
      </w:r>
      <w:r w:rsidRPr="00D13792">
        <w:rPr>
          <w:i/>
          <w:sz w:val="20"/>
          <w:szCs w:val="20"/>
        </w:rPr>
        <w:t xml:space="preserve"> </w:t>
      </w:r>
      <w:r w:rsidRPr="00D13792">
        <w:rPr>
          <w:sz w:val="20"/>
          <w:szCs w:val="20"/>
        </w:rPr>
        <w:t>en los Anexos I y II de esta Sentencia.</w:t>
      </w:r>
      <w:r>
        <w:rPr>
          <w:sz w:val="20"/>
          <w:szCs w:val="20"/>
        </w:rPr>
        <w:t xml:space="preserve"> </w:t>
      </w:r>
    </w:p>
    <w:bookmarkEnd w:id="59"/>
    <w:bookmarkEnd w:id="60"/>
    <w:bookmarkEnd w:id="61"/>
    <w:bookmarkEnd w:id="62"/>
    <w:bookmarkEnd w:id="63"/>
    <w:p w:rsidR="006A0E1C" w:rsidRPr="00D13792" w:rsidRDefault="006A0E1C" w:rsidP="006A0E1C">
      <w:pPr>
        <w:pStyle w:val="Heading1"/>
        <w:rPr>
          <w:lang w:val="es-CR"/>
        </w:rPr>
      </w:pPr>
    </w:p>
    <w:p w:rsidR="006A0E1C" w:rsidRPr="00D13792" w:rsidRDefault="006A0E1C" w:rsidP="006A0E1C">
      <w:pPr>
        <w:pStyle w:val="Heading1"/>
        <w:rPr>
          <w:lang w:val="es-CR"/>
        </w:rPr>
      </w:pPr>
      <w:bookmarkStart w:id="81" w:name="_Toc469670007"/>
      <w:r w:rsidRPr="00D13792">
        <w:rPr>
          <w:lang w:val="es-CR"/>
        </w:rPr>
        <w:t>VII</w:t>
      </w:r>
      <w:r w:rsidRPr="00D13792">
        <w:rPr>
          <w:lang w:val="es-CR"/>
        </w:rPr>
        <w:br/>
        <w:t>PRUEBA</w:t>
      </w:r>
      <w:bookmarkEnd w:id="81"/>
    </w:p>
    <w:p w:rsidR="006A0E1C" w:rsidRPr="00D13792" w:rsidRDefault="006A0E1C" w:rsidP="006A0E1C">
      <w:pPr>
        <w:keepNext/>
        <w:keepLines/>
        <w:spacing w:line="240" w:lineRule="auto"/>
        <w:contextualSpacing/>
        <w:outlineLvl w:val="1"/>
        <w:rPr>
          <w:rFonts w:eastAsia="Calibri"/>
          <w:i/>
          <w:sz w:val="16"/>
          <w:szCs w:val="20"/>
          <w:lang w:eastAsia="es-ES"/>
        </w:rPr>
      </w:pPr>
    </w:p>
    <w:p w:rsidR="006A0E1C" w:rsidRPr="00D13792" w:rsidRDefault="006A0E1C" w:rsidP="006A0E1C">
      <w:pPr>
        <w:pStyle w:val="Heading2"/>
        <w:numPr>
          <w:ilvl w:val="0"/>
          <w:numId w:val="36"/>
        </w:numPr>
        <w:tabs>
          <w:tab w:val="clear" w:pos="720"/>
          <w:tab w:val="left" w:pos="0"/>
        </w:tabs>
        <w:ind w:left="0" w:firstLine="0"/>
        <w:rPr>
          <w:lang w:val="es-CR"/>
        </w:rPr>
      </w:pPr>
      <w:bookmarkStart w:id="82" w:name="_Toc423102526"/>
      <w:bookmarkStart w:id="83" w:name="_Toc431801381"/>
      <w:bookmarkStart w:id="84" w:name="_Toc437425653"/>
      <w:bookmarkStart w:id="85" w:name="_Toc455631216"/>
      <w:bookmarkStart w:id="86" w:name="_Toc469670008"/>
      <w:r w:rsidRPr="00D13792">
        <w:rPr>
          <w:lang w:val="es-CR"/>
        </w:rPr>
        <w:t>Prueba documental, testimonial y pericial</w:t>
      </w:r>
      <w:bookmarkEnd w:id="82"/>
      <w:bookmarkEnd w:id="83"/>
      <w:bookmarkEnd w:id="84"/>
      <w:bookmarkEnd w:id="85"/>
      <w:bookmarkEnd w:id="86"/>
    </w:p>
    <w:p w:rsidR="006A0E1C" w:rsidRPr="00D13792" w:rsidRDefault="006A0E1C" w:rsidP="006A0E1C">
      <w:pPr>
        <w:spacing w:line="240" w:lineRule="auto"/>
        <w:ind w:right="18"/>
        <w:contextualSpacing/>
        <w:rPr>
          <w:rFonts w:eastAsia="Calibri" w:cs="Arial"/>
          <w:sz w:val="16"/>
          <w:szCs w:val="20"/>
          <w:lang w:eastAsia="es-ES"/>
        </w:rPr>
      </w:pPr>
    </w:p>
    <w:p w:rsidR="006A0E1C" w:rsidRPr="00D13792" w:rsidRDefault="006A0E1C" w:rsidP="006A0E1C">
      <w:pPr>
        <w:numPr>
          <w:ilvl w:val="0"/>
          <w:numId w:val="6"/>
        </w:numPr>
        <w:tabs>
          <w:tab w:val="left" w:pos="567"/>
        </w:tabs>
        <w:spacing w:line="240" w:lineRule="auto"/>
        <w:ind w:right="4"/>
        <w:rPr>
          <w:sz w:val="20"/>
          <w:szCs w:val="20"/>
          <w:u w:val="single"/>
        </w:rPr>
      </w:pPr>
      <w:r w:rsidRPr="00D13792">
        <w:rPr>
          <w:sz w:val="20"/>
          <w:szCs w:val="20"/>
        </w:rPr>
        <w:t>Este Tribunal recibió diversos documentos presentados como prueba por la Comisión y las partes, adjuntos a sus escritos principales (</w:t>
      </w:r>
      <w:r w:rsidRPr="00D13792">
        <w:rPr>
          <w:i/>
          <w:sz w:val="20"/>
          <w:szCs w:val="20"/>
        </w:rPr>
        <w:t xml:space="preserve">supra </w:t>
      </w:r>
      <w:r w:rsidRPr="00D13792">
        <w:rPr>
          <w:sz w:val="20"/>
          <w:szCs w:val="20"/>
        </w:rPr>
        <w:t xml:space="preserve">párrs. 1, 4 y 5). De igual forma, la Corte recibió de los representantes, documentos </w:t>
      </w:r>
      <w:r w:rsidRPr="00D13792">
        <w:rPr>
          <w:rFonts w:eastAsia="Calibri"/>
          <w:sz w:val="20"/>
          <w:szCs w:val="20"/>
          <w:lang w:eastAsia="es-ES"/>
        </w:rPr>
        <w:t>solicitados</w:t>
      </w:r>
      <w:r w:rsidRPr="00D13792">
        <w:rPr>
          <w:sz w:val="20"/>
          <w:szCs w:val="20"/>
        </w:rPr>
        <w:t xml:space="preserve"> como prueba para mejor resolver, de conformidad con el artículo 58 del Reglamento (</w:t>
      </w:r>
      <w:r w:rsidRPr="00D13792">
        <w:rPr>
          <w:i/>
          <w:sz w:val="20"/>
          <w:szCs w:val="20"/>
        </w:rPr>
        <w:t>supra</w:t>
      </w:r>
      <w:r w:rsidRPr="00D13792">
        <w:rPr>
          <w:sz w:val="20"/>
          <w:szCs w:val="20"/>
        </w:rPr>
        <w:t xml:space="preserve"> párr. 10). Además, la Corte recibió las declaraciones rendidas ante fedatario público (affidávit) por los peritos Alejandro Rodríguez Barillas</w:t>
      </w:r>
      <w:r w:rsidRPr="00D13792">
        <w:rPr>
          <w:rStyle w:val="FootnoteReference"/>
          <w:sz w:val="20"/>
          <w:szCs w:val="20"/>
        </w:rPr>
        <w:footnoteReference w:id="39"/>
      </w:r>
      <w:r w:rsidRPr="00D13792">
        <w:rPr>
          <w:sz w:val="20"/>
          <w:szCs w:val="20"/>
        </w:rPr>
        <w:t xml:space="preserve"> y Ramón Cadena Rámila</w:t>
      </w:r>
      <w:r w:rsidRPr="00D13792">
        <w:rPr>
          <w:rStyle w:val="FootnoteReference"/>
          <w:sz w:val="20"/>
          <w:szCs w:val="20"/>
        </w:rPr>
        <w:footnoteReference w:id="40"/>
      </w:r>
      <w:r w:rsidRPr="00D13792">
        <w:rPr>
          <w:sz w:val="20"/>
          <w:szCs w:val="20"/>
        </w:rPr>
        <w:t>, y la presunta víctima Miguel Sic Osorio</w:t>
      </w:r>
      <w:r w:rsidRPr="00D13792">
        <w:rPr>
          <w:rStyle w:val="FootnoteReference"/>
          <w:sz w:val="20"/>
          <w:szCs w:val="20"/>
        </w:rPr>
        <w:footnoteReference w:id="41"/>
      </w:r>
      <w:r w:rsidRPr="00D13792">
        <w:rPr>
          <w:sz w:val="20"/>
          <w:szCs w:val="20"/>
        </w:rPr>
        <w:t xml:space="preserve">, todos propuestos por los representantes. En cuanto a la prueba rendida en audiencia pública, la Corte escuchó las declaraciones de las presuntas víctimas Napoleón García De Paz y Juana García Depaz, así como del perito Luis Raúl Francisco Salvadó Cardoza, todos propuestos por los representantes, así como peritaje de </w:t>
      </w:r>
      <w:r w:rsidRPr="00D13792">
        <w:rPr>
          <w:spacing w:val="-2"/>
          <w:sz w:val="20"/>
          <w:szCs w:val="20"/>
        </w:rPr>
        <w:t>Cristián Alejandro Correa Montt</w:t>
      </w:r>
      <w:r w:rsidRPr="00D13792">
        <w:rPr>
          <w:sz w:val="20"/>
          <w:szCs w:val="20"/>
        </w:rPr>
        <w:t>, propuesto por la Comisión</w:t>
      </w:r>
      <w:r w:rsidRPr="00D13792">
        <w:rPr>
          <w:rStyle w:val="FootnoteReference"/>
          <w:sz w:val="20"/>
          <w:szCs w:val="20"/>
        </w:rPr>
        <w:footnoteReference w:id="42"/>
      </w:r>
      <w:r w:rsidRPr="00D13792">
        <w:rPr>
          <w:sz w:val="20"/>
          <w:szCs w:val="20"/>
        </w:rPr>
        <w:t>. Además, mediante escrito de 25 de junio de 2015, la Corte recibió por parte de los representantes, 62 documentos anexos consistentes en certificados de nacimiento, matrimonio y defunción, extendidos por el Registro Nacional de las Personas, de presuntas víctimas de la comunidad de Chichupac y otras del municipio de Rabinal, Departamento de Baja Verapaz. Mediante escrito de 19 de abril de 2016, los representantes remitieron certificados de nacimiento, matrimonio y defunción extendidos por el Registro Nacional de las Personas de la República de Guatemala, así como 26 actas notariales de declaración jurada de las presuntas víctimas de la aldea Chichupac y comunidades vecinas del municipio de Rabinal que presuntamente sufrieron persecución, desplazamiento forzado y desarraigo de sus comunidades ancestrales. Finalmente, el 30 de mayo 2016 la Corte recibió por parte de los representantes, un anexo denominado “personas individualizadas y desplazadas”, así como un “listado General de Certificados” y “Lista General de víctimas” el 2 de junio de 2016.</w:t>
      </w:r>
      <w:r w:rsidRPr="00D13792">
        <w:rPr>
          <w:b/>
          <w:sz w:val="20"/>
          <w:szCs w:val="20"/>
        </w:rPr>
        <w:t xml:space="preserve"> </w:t>
      </w:r>
    </w:p>
    <w:p w:rsidR="006A0E1C" w:rsidRPr="00D13792" w:rsidRDefault="006A0E1C" w:rsidP="006A0E1C">
      <w:pPr>
        <w:pStyle w:val="Heading2"/>
        <w:rPr>
          <w:lang w:val="es-CR"/>
        </w:rPr>
      </w:pPr>
    </w:p>
    <w:p w:rsidR="006A0E1C" w:rsidRPr="00D13792" w:rsidRDefault="006A0E1C" w:rsidP="006A0E1C">
      <w:pPr>
        <w:pStyle w:val="Heading2"/>
        <w:numPr>
          <w:ilvl w:val="0"/>
          <w:numId w:val="36"/>
        </w:numPr>
        <w:tabs>
          <w:tab w:val="clear" w:pos="720"/>
          <w:tab w:val="left" w:pos="0"/>
        </w:tabs>
        <w:ind w:left="0" w:firstLine="0"/>
        <w:rPr>
          <w:lang w:val="es-CR"/>
        </w:rPr>
      </w:pPr>
      <w:bookmarkStart w:id="87" w:name="_Toc423102527"/>
      <w:bookmarkStart w:id="88" w:name="_Toc431801382"/>
      <w:bookmarkStart w:id="89" w:name="_Toc437425654"/>
      <w:bookmarkStart w:id="90" w:name="_Toc455631217"/>
      <w:bookmarkStart w:id="91" w:name="_Toc469670009"/>
      <w:r w:rsidRPr="00D13792">
        <w:rPr>
          <w:lang w:val="es-CR"/>
        </w:rPr>
        <w:t>Admisión de la prueba</w:t>
      </w:r>
      <w:bookmarkEnd w:id="87"/>
      <w:bookmarkEnd w:id="88"/>
      <w:bookmarkEnd w:id="89"/>
      <w:bookmarkEnd w:id="90"/>
      <w:bookmarkEnd w:id="91"/>
      <w:r w:rsidRPr="00D13792">
        <w:rPr>
          <w:lang w:val="es-CR"/>
        </w:rPr>
        <w:t xml:space="preserve"> </w:t>
      </w:r>
    </w:p>
    <w:p w:rsidR="006A0E1C" w:rsidRPr="00D13792" w:rsidRDefault="006A0E1C" w:rsidP="006A0E1C">
      <w:pPr>
        <w:tabs>
          <w:tab w:val="left" w:pos="0"/>
        </w:tabs>
        <w:spacing w:line="240" w:lineRule="auto"/>
        <w:rPr>
          <w:sz w:val="16"/>
          <w:szCs w:val="20"/>
        </w:rPr>
      </w:pPr>
    </w:p>
    <w:p w:rsidR="006A0E1C" w:rsidRPr="00D13792" w:rsidRDefault="006A0E1C" w:rsidP="006A0E1C">
      <w:pPr>
        <w:pStyle w:val="Heading4"/>
        <w:tabs>
          <w:tab w:val="left" w:pos="0"/>
        </w:tabs>
        <w:ind w:left="0" w:firstLine="0"/>
        <w:rPr>
          <w:rFonts w:eastAsia="Verdana"/>
          <w:lang w:val="es-CR"/>
        </w:rPr>
      </w:pPr>
      <w:bookmarkStart w:id="92" w:name="_Toc437425655"/>
      <w:bookmarkStart w:id="93" w:name="_Toc455631218"/>
      <w:bookmarkStart w:id="94" w:name="_Toc457990713"/>
      <w:r w:rsidRPr="00D13792">
        <w:rPr>
          <w:rFonts w:eastAsia="Verdana"/>
          <w:lang w:val="es-CR"/>
        </w:rPr>
        <w:t>B.1.</w:t>
      </w:r>
      <w:r w:rsidRPr="00D13792">
        <w:rPr>
          <w:rFonts w:eastAsia="Verdana"/>
          <w:lang w:val="es-CR"/>
        </w:rPr>
        <w:tab/>
        <w:t>Admisión de la prueba documental</w:t>
      </w:r>
      <w:bookmarkEnd w:id="92"/>
      <w:bookmarkEnd w:id="93"/>
      <w:bookmarkEnd w:id="94"/>
      <w:r w:rsidRPr="00D13792">
        <w:rPr>
          <w:rFonts w:eastAsia="Verdana"/>
          <w:lang w:val="es-CR"/>
        </w:rPr>
        <w:t xml:space="preserve"> </w:t>
      </w:r>
    </w:p>
    <w:p w:rsidR="006A0E1C" w:rsidRPr="00D13792" w:rsidRDefault="006A0E1C" w:rsidP="006A0E1C">
      <w:pPr>
        <w:pStyle w:val="ListParagraph"/>
        <w:autoSpaceDE w:val="0"/>
        <w:autoSpaceDN w:val="0"/>
        <w:adjustRightInd w:val="0"/>
        <w:spacing w:after="0" w:line="240" w:lineRule="auto"/>
        <w:ind w:left="0"/>
        <w:jc w:val="both"/>
        <w:rPr>
          <w:rFonts w:ascii="Verdana" w:hAnsi="Verdana" w:cs="Arial"/>
          <w:sz w:val="16"/>
          <w:szCs w:val="20"/>
          <w:lang w:val="es-CR" w:eastAsia="es-ES"/>
        </w:rPr>
      </w:pPr>
    </w:p>
    <w:p w:rsidR="006A0E1C" w:rsidRPr="00D13792" w:rsidRDefault="006A0E1C" w:rsidP="006A0E1C">
      <w:pPr>
        <w:numPr>
          <w:ilvl w:val="0"/>
          <w:numId w:val="6"/>
        </w:numPr>
        <w:tabs>
          <w:tab w:val="left" w:pos="567"/>
        </w:tabs>
        <w:spacing w:line="240" w:lineRule="auto"/>
        <w:ind w:right="4"/>
        <w:rPr>
          <w:sz w:val="20"/>
          <w:szCs w:val="20"/>
          <w:u w:val="single"/>
        </w:rPr>
      </w:pPr>
      <w:r w:rsidRPr="00D13792">
        <w:rPr>
          <w:rFonts w:cs="Arial"/>
          <w:sz w:val="20"/>
          <w:szCs w:val="20"/>
          <w:lang w:eastAsia="es-ES"/>
        </w:rPr>
        <w:t xml:space="preserve">El Tribunal </w:t>
      </w:r>
      <w:r w:rsidRPr="00D13792">
        <w:rPr>
          <w:sz w:val="20"/>
          <w:szCs w:val="20"/>
        </w:rPr>
        <w:t>admite</w:t>
      </w:r>
      <w:r w:rsidRPr="00D13792">
        <w:rPr>
          <w:rFonts w:cs="Arial"/>
          <w:sz w:val="20"/>
          <w:szCs w:val="20"/>
          <w:lang w:eastAsia="es-ES"/>
        </w:rPr>
        <w:t xml:space="preserve"> los documentos presentados en la debida oportunidad procesal por las partes y la </w:t>
      </w:r>
      <w:r w:rsidRPr="00D13792">
        <w:rPr>
          <w:sz w:val="20"/>
        </w:rPr>
        <w:t>Comisión</w:t>
      </w:r>
      <w:r w:rsidRPr="00D13792">
        <w:rPr>
          <w:rFonts w:cs="Arial"/>
          <w:sz w:val="20"/>
          <w:szCs w:val="20"/>
          <w:lang w:eastAsia="es-ES"/>
        </w:rPr>
        <w:t>, y cuya admisibilidad no fue controvertida ni objetada</w:t>
      </w:r>
      <w:r w:rsidRPr="00D13792">
        <w:rPr>
          <w:rFonts w:cs="Arial"/>
          <w:sz w:val="20"/>
          <w:szCs w:val="20"/>
          <w:vertAlign w:val="superscript"/>
        </w:rPr>
        <w:footnoteReference w:id="43"/>
      </w:r>
      <w:r w:rsidRPr="00D13792">
        <w:rPr>
          <w:rFonts w:cs="Arial"/>
          <w:sz w:val="20"/>
          <w:szCs w:val="20"/>
          <w:lang w:eastAsia="es-ES"/>
        </w:rPr>
        <w:t>, así como los documentos procurados e incorporados de oficio por el Tribunal</w:t>
      </w:r>
      <w:r w:rsidRPr="00D13792">
        <w:rPr>
          <w:rStyle w:val="FootnoteReference"/>
          <w:rFonts w:eastAsia="Batang" w:cs="Arial"/>
          <w:sz w:val="20"/>
          <w:szCs w:val="20"/>
          <w:lang w:eastAsia="es-ES"/>
        </w:rPr>
        <w:footnoteReference w:id="44"/>
      </w:r>
      <w:r w:rsidRPr="00D13792">
        <w:rPr>
          <w:rFonts w:cs="Arial"/>
          <w:sz w:val="20"/>
          <w:szCs w:val="20"/>
          <w:lang w:eastAsia="es-ES"/>
        </w:rPr>
        <w:t>.</w:t>
      </w:r>
      <w:bookmarkStart w:id="95" w:name="_Ref340672620"/>
      <w:r w:rsidRPr="00D13792">
        <w:rPr>
          <w:rFonts w:cs="Arial"/>
          <w:sz w:val="20"/>
          <w:szCs w:val="20"/>
          <w:lang w:eastAsia="es-ES"/>
        </w:rPr>
        <w:t xml:space="preserve"> Respecto a algunos documentos señalados por las partes y la Comisión por medio de enlaces electrónicos, este Tribunal ha establecido que si una parte proporciona al menos el enlace electrónico directo del documento que cita como prueba y es posible acceder a este, no se ve afectada la seguridad </w:t>
      </w:r>
      <w:r w:rsidRPr="00D13792">
        <w:rPr>
          <w:rFonts w:cs="Arial"/>
          <w:sz w:val="20"/>
          <w:szCs w:val="20"/>
          <w:lang w:eastAsia="es-ES"/>
        </w:rPr>
        <w:lastRenderedPageBreak/>
        <w:t>jurídica ni el equilibrio procesal, porque es inmediatamente localizable por la Corte y por las otras partes</w:t>
      </w:r>
      <w:r w:rsidRPr="00D13792">
        <w:rPr>
          <w:rFonts w:cs="Arial"/>
          <w:sz w:val="20"/>
          <w:szCs w:val="20"/>
          <w:vertAlign w:val="superscript"/>
          <w:lang w:eastAsia="es-ES"/>
        </w:rPr>
        <w:footnoteReference w:id="45"/>
      </w:r>
      <w:r w:rsidRPr="00D13792">
        <w:rPr>
          <w:rFonts w:cs="Arial"/>
          <w:sz w:val="20"/>
          <w:szCs w:val="20"/>
          <w:lang w:eastAsia="es-ES"/>
        </w:rPr>
        <w:t xml:space="preserve">. </w:t>
      </w:r>
    </w:p>
    <w:p w:rsidR="006A0E1C" w:rsidRPr="00D13792" w:rsidRDefault="006A0E1C" w:rsidP="006A0E1C">
      <w:pPr>
        <w:pStyle w:val="ListParagraph"/>
        <w:spacing w:after="0" w:line="240" w:lineRule="auto"/>
        <w:ind w:left="0"/>
        <w:jc w:val="both"/>
        <w:rPr>
          <w:rFonts w:ascii="Verdana" w:hAnsi="Verdana"/>
          <w:sz w:val="20"/>
          <w:szCs w:val="20"/>
          <w:u w:val="single"/>
          <w:lang w:val="es-CR"/>
        </w:rPr>
      </w:pPr>
    </w:p>
    <w:bookmarkEnd w:id="95"/>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Con respecto a la oportunidad procesal para la presentación de prueba documental, de conformidad con el artículo 57.2 del Reglamento, esta debe ser presentada, en general, junto con los escritos de sometimiento del caso, de solicitudes y argumentos, o de contestación, según </w:t>
      </w:r>
      <w:r w:rsidRPr="00D13792">
        <w:rPr>
          <w:sz w:val="20"/>
        </w:rPr>
        <w:t>corresponda</w:t>
      </w:r>
      <w:r w:rsidRPr="00D13792">
        <w:rPr>
          <w:sz w:val="20"/>
          <w:szCs w:val="20"/>
        </w:rPr>
        <w:t>. No es admisible la prueba remitida fuera de las debidas oportunidades procesales, salvo en las excepciones establecidas en el referido artículo 57.2 del Reglamento, a saber, fuerza mayor, impedimento grave o si se tratare de un hecho ocurrido con posterioridad a los citados momentos procesales.</w:t>
      </w:r>
    </w:p>
    <w:p w:rsidR="006A0E1C" w:rsidRPr="00D13792" w:rsidRDefault="006A0E1C" w:rsidP="006A0E1C">
      <w:pPr>
        <w:pStyle w:val="ListParagraph"/>
        <w:autoSpaceDE w:val="0"/>
        <w:autoSpaceDN w:val="0"/>
        <w:adjustRightInd w:val="0"/>
        <w:spacing w:after="0" w:line="240" w:lineRule="auto"/>
        <w:ind w:left="0"/>
        <w:jc w:val="both"/>
        <w:rPr>
          <w:rFonts w:ascii="Verdana" w:hAnsi="Verdana" w:cs="Arial"/>
          <w:sz w:val="20"/>
          <w:szCs w:val="20"/>
          <w:lang w:val="es-CR" w:eastAsia="es-ES"/>
        </w:rPr>
      </w:pPr>
    </w:p>
    <w:p w:rsidR="006A0E1C" w:rsidRPr="00D13792" w:rsidRDefault="006A0E1C" w:rsidP="006A0E1C">
      <w:pPr>
        <w:numPr>
          <w:ilvl w:val="0"/>
          <w:numId w:val="6"/>
        </w:numPr>
        <w:tabs>
          <w:tab w:val="left" w:pos="567"/>
        </w:tabs>
        <w:spacing w:line="240" w:lineRule="auto"/>
        <w:ind w:right="4"/>
        <w:rPr>
          <w:rFonts w:cs="Arial"/>
          <w:color w:val="FF0000"/>
          <w:sz w:val="20"/>
          <w:szCs w:val="20"/>
          <w:lang w:eastAsia="es-ES"/>
        </w:rPr>
      </w:pPr>
      <w:r w:rsidRPr="00D13792">
        <w:rPr>
          <w:sz w:val="20"/>
          <w:szCs w:val="20"/>
        </w:rPr>
        <w:t xml:space="preserve">Al respecto, la Corte observa que los representantes aportaron listas individualizadas de presuntas </w:t>
      </w:r>
      <w:r w:rsidRPr="00D13792">
        <w:rPr>
          <w:sz w:val="20"/>
        </w:rPr>
        <w:t>víctimas</w:t>
      </w:r>
      <w:r w:rsidRPr="00D13792">
        <w:rPr>
          <w:sz w:val="20"/>
          <w:szCs w:val="20"/>
        </w:rPr>
        <w:t>, así como certificados de nacimiento, matrimonio y defunción de estas y sus familiares</w:t>
      </w:r>
      <w:r w:rsidRPr="00D13792">
        <w:rPr>
          <w:rStyle w:val="CommentReference"/>
          <w:rFonts w:eastAsia="Calibri"/>
          <w:sz w:val="20"/>
          <w:szCs w:val="20"/>
        </w:rPr>
        <w:t xml:space="preserve"> </w:t>
      </w:r>
      <w:r w:rsidRPr="00D13792">
        <w:rPr>
          <w:sz w:val="20"/>
          <w:szCs w:val="20"/>
        </w:rPr>
        <w:t>mediante escritos de 25 de junio de 2015 y 19 de abril, 30 de mayo y 2 de junio de 2016. El Tribunal constata que dichos documentos fueron remitidos a fin comprobar la identidad de las personas que señalan como presuntas víctimas del caso. En el Capítulo VI de esta Sentencia, la Corte ya señaló que considerará como presuntas víctimas a aquellas personas identificadas e individualizadas por los representantes, siempre y cuando el Tribunal cuente con la prueba necesaria para verificar la identidad de cada una de esas personas. Por tanto, en aplicación del artículo 58.a. del Reglamento</w:t>
      </w:r>
      <w:r w:rsidRPr="00D13792">
        <w:rPr>
          <w:rStyle w:val="FootnoteReference"/>
          <w:sz w:val="20"/>
          <w:szCs w:val="20"/>
        </w:rPr>
        <w:footnoteReference w:id="46"/>
      </w:r>
      <w:r w:rsidRPr="00D13792">
        <w:rPr>
          <w:sz w:val="20"/>
          <w:szCs w:val="20"/>
        </w:rPr>
        <w:t xml:space="preserve">, la Corte acepta los documentos mencionados por considerarlos útiles y necesarios para la identificación de las presuntas víctimas del presente caso. </w:t>
      </w:r>
    </w:p>
    <w:p w:rsidR="006A0E1C" w:rsidRPr="00D13792" w:rsidRDefault="006A0E1C" w:rsidP="006A0E1C">
      <w:pPr>
        <w:pStyle w:val="Sentencia3"/>
        <w:spacing w:line="240" w:lineRule="auto"/>
        <w:rPr>
          <w:rFonts w:eastAsia="Verdana"/>
          <w:lang w:val="es-CR"/>
        </w:rPr>
      </w:pPr>
      <w:bookmarkStart w:id="96" w:name="_Toc424834693"/>
      <w:bookmarkStart w:id="97" w:name="_Toc431584616"/>
      <w:bookmarkStart w:id="98" w:name="_Toc434850404"/>
      <w:bookmarkStart w:id="99" w:name="_Toc453874320"/>
      <w:bookmarkStart w:id="100" w:name="_Toc454891481"/>
      <w:bookmarkStart w:id="101" w:name="_Toc454891558"/>
    </w:p>
    <w:p w:rsidR="006A0E1C" w:rsidRPr="00D13792" w:rsidRDefault="006A0E1C" w:rsidP="006A0E1C">
      <w:pPr>
        <w:pStyle w:val="Heading4"/>
        <w:ind w:left="0"/>
        <w:rPr>
          <w:rFonts w:eastAsia="Verdana"/>
          <w:lang w:val="es-CR"/>
        </w:rPr>
      </w:pPr>
      <w:bookmarkStart w:id="102" w:name="_Toc455631219"/>
      <w:bookmarkStart w:id="103" w:name="_Toc457990714"/>
      <w:r w:rsidRPr="00D13792">
        <w:rPr>
          <w:rFonts w:eastAsia="Verdana"/>
          <w:lang w:val="es-CR"/>
        </w:rPr>
        <w:t>B.2. Admisión de la prueba testimonial y pericial</w:t>
      </w:r>
      <w:bookmarkEnd w:id="96"/>
      <w:bookmarkEnd w:id="97"/>
      <w:bookmarkEnd w:id="98"/>
      <w:bookmarkEnd w:id="99"/>
      <w:bookmarkEnd w:id="100"/>
      <w:bookmarkEnd w:id="101"/>
      <w:bookmarkEnd w:id="102"/>
      <w:bookmarkEnd w:id="103"/>
    </w:p>
    <w:p w:rsidR="006A0E1C" w:rsidRPr="00D13792" w:rsidRDefault="006A0E1C" w:rsidP="006A0E1C">
      <w:pPr>
        <w:pStyle w:val="Sentencia3"/>
        <w:spacing w:line="240" w:lineRule="auto"/>
        <w:rPr>
          <w:rFonts w:eastAsia="Verdana"/>
          <w:sz w:val="16"/>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Asimismo, la Corte estima pertinente admitir las declaraciones de las presuntas víctimas y los dictámenes periciales rendidos en la audiencia pública y ante fedatario público, en lo que se ajusten al objeto que fue definido por la Presidencia en la Resolución mediante la cual se ordenó recibirlos y al objeto del presente caso.</w:t>
      </w:r>
    </w:p>
    <w:p w:rsidR="006A0E1C" w:rsidRPr="00D13792" w:rsidRDefault="006A0E1C" w:rsidP="006A0E1C">
      <w:pPr>
        <w:pStyle w:val="NoSpacing"/>
        <w:tabs>
          <w:tab w:val="left" w:pos="5806"/>
        </w:tabs>
        <w:rPr>
          <w:sz w:val="16"/>
          <w:szCs w:val="20"/>
          <w:lang w:val="es-CR"/>
        </w:rPr>
      </w:pPr>
      <w:r w:rsidRPr="00D13792">
        <w:rPr>
          <w:sz w:val="16"/>
          <w:szCs w:val="20"/>
          <w:lang w:val="es-CR"/>
        </w:rPr>
        <w:tab/>
      </w:r>
    </w:p>
    <w:p w:rsidR="006A0E1C" w:rsidRPr="00D13792" w:rsidRDefault="006A0E1C" w:rsidP="006A0E1C">
      <w:pPr>
        <w:pStyle w:val="Heading2"/>
        <w:numPr>
          <w:ilvl w:val="0"/>
          <w:numId w:val="36"/>
        </w:numPr>
        <w:tabs>
          <w:tab w:val="clear" w:pos="720"/>
          <w:tab w:val="left" w:pos="0"/>
        </w:tabs>
        <w:ind w:left="0" w:firstLine="0"/>
        <w:rPr>
          <w:lang w:val="es-CR"/>
        </w:rPr>
      </w:pPr>
      <w:bookmarkStart w:id="104" w:name="_Toc424834694"/>
      <w:bookmarkStart w:id="105" w:name="_Toc427932798"/>
      <w:bookmarkStart w:id="106" w:name="_Toc431584617"/>
      <w:bookmarkStart w:id="107" w:name="_Toc434850405"/>
      <w:bookmarkStart w:id="108" w:name="_Toc453874321"/>
      <w:bookmarkStart w:id="109" w:name="_Toc454891482"/>
      <w:bookmarkStart w:id="110" w:name="_Toc454891559"/>
      <w:bookmarkStart w:id="111" w:name="_Toc469670010"/>
      <w:r w:rsidRPr="00D13792">
        <w:rPr>
          <w:lang w:val="es-CR"/>
        </w:rPr>
        <w:t>Valoración de la prueba</w:t>
      </w:r>
      <w:bookmarkEnd w:id="104"/>
      <w:bookmarkEnd w:id="105"/>
      <w:bookmarkEnd w:id="106"/>
      <w:bookmarkEnd w:id="107"/>
      <w:bookmarkEnd w:id="108"/>
      <w:bookmarkEnd w:id="109"/>
      <w:bookmarkEnd w:id="110"/>
      <w:bookmarkEnd w:id="111"/>
    </w:p>
    <w:p w:rsidR="006A0E1C" w:rsidRPr="00D13792" w:rsidRDefault="006A0E1C" w:rsidP="006A0E1C">
      <w:pPr>
        <w:spacing w:line="240" w:lineRule="auto"/>
        <w:rPr>
          <w:sz w:val="16"/>
          <w:lang w:eastAsia="es-MX"/>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De acuerdo a lo establecido en los artículos 46, 47, 48, 50, 51, 57 y 58 del Reglamento, así como en su jurisprudencia constante respecto de la prueba y su apreciación, la Corte examinará y valorará los elementos probatorios documentales remitidos por las partes y la Comisión, las declaraciones, testimonios y dictámenes periciales, así como las pruebas para mejor resolver solicitadas e incorporadas por este Tribunal al establecer los hechos del caso y pronunciarse sobre el fondo. Para ello se sujeta a los principios de la sana crítica, dentro del marco normativo correspondiente, teniendo en cuenta el conjunto del acervo probatorio y lo alegado en la causa</w:t>
      </w:r>
      <w:r w:rsidRPr="00D13792">
        <w:rPr>
          <w:rStyle w:val="FootnoteReference"/>
          <w:sz w:val="20"/>
          <w:szCs w:val="20"/>
        </w:rPr>
        <w:footnoteReference w:id="47"/>
      </w:r>
      <w:r w:rsidRPr="00D13792">
        <w:rPr>
          <w:sz w:val="20"/>
          <w:szCs w:val="20"/>
        </w:rPr>
        <w:t xml:space="preserve">. Asimismo, conforme a la jurisprudencia de la Corte Interamericana, la declaración rendida por la </w:t>
      </w:r>
      <w:r w:rsidRPr="00D13792">
        <w:rPr>
          <w:sz w:val="20"/>
        </w:rPr>
        <w:t>presunta</w:t>
      </w:r>
      <w:r w:rsidRPr="00D13792">
        <w:rPr>
          <w:sz w:val="20"/>
          <w:szCs w:val="20"/>
        </w:rPr>
        <w:t xml:space="preserve"> víctima no puede ser valorada aisladamente sino dentro del conjunto de las pruebas del proceso, en la medida en que puede proporcionar mayor información sobre las presuntas violaciones y sus consecuencias.</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Ahora bien, el Estado se opuso a que se utilice el Informe de la Comisión de Esclarecimiento Histórico (CEH) como prueba dentro del proceso, debido a que en el </w:t>
      </w:r>
      <w:r w:rsidRPr="00D13792">
        <w:rPr>
          <w:iCs/>
          <w:sz w:val="20"/>
          <w:szCs w:val="20"/>
        </w:rPr>
        <w:t xml:space="preserve">Acuerdo sobre su Establecimiento </w:t>
      </w:r>
      <w:r w:rsidRPr="00D13792">
        <w:rPr>
          <w:sz w:val="20"/>
          <w:szCs w:val="20"/>
        </w:rPr>
        <w:t>se pactó que “</w:t>
      </w:r>
      <w:r w:rsidRPr="00D13792">
        <w:rPr>
          <w:iCs/>
          <w:sz w:val="20"/>
          <w:szCs w:val="20"/>
        </w:rPr>
        <w:t>[l]os trabajos, recomendaciones e informe de la Comisión no individualizarán</w:t>
      </w:r>
      <w:r w:rsidRPr="00D13792">
        <w:rPr>
          <w:sz w:val="20"/>
          <w:szCs w:val="20"/>
        </w:rPr>
        <w:t xml:space="preserve"> </w:t>
      </w:r>
      <w:r w:rsidRPr="00D13792">
        <w:rPr>
          <w:iCs/>
          <w:sz w:val="20"/>
          <w:szCs w:val="20"/>
        </w:rPr>
        <w:t>responsabilidades, ni tendrán propósitos o efectos judiciales”.</w:t>
      </w:r>
      <w:r w:rsidRPr="00D13792">
        <w:rPr>
          <w:sz w:val="20"/>
          <w:szCs w:val="20"/>
        </w:rPr>
        <w:t xml:space="preserve"> </w:t>
      </w:r>
      <w:r w:rsidRPr="00D13792">
        <w:rPr>
          <w:sz w:val="20"/>
          <w:szCs w:val="20"/>
        </w:rPr>
        <w:lastRenderedPageBreak/>
        <w:t>E</w:t>
      </w:r>
      <w:r w:rsidRPr="00D13792">
        <w:rPr>
          <w:rFonts w:eastAsia="Calibri"/>
          <w:sz w:val="20"/>
          <w:szCs w:val="20"/>
        </w:rPr>
        <w:t>xplicó que a lo largo del proceso de negociación de los Presidentes Centroamericanos en el Acuerdo de Esquipulas firmado en 1987, en negociación con los grupos insurgentes, y con el apoyo de países amigos y la mediación de las Naciones Unidas, dispuso que el mencionado documento no iba a tener dichos efectos, por lo que la Corte no puede anular dicho Acuerdo.</w:t>
      </w:r>
    </w:p>
    <w:p w:rsidR="006A0E1C" w:rsidRPr="00D13792" w:rsidRDefault="006A0E1C" w:rsidP="006A0E1C">
      <w:pPr>
        <w:spacing w:line="240" w:lineRule="auto"/>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La Corte recuerda que en casos anteriores ha otorgado un particular énfasis al valor probatorio de los informes de Comisiones de la Verdad o de Esclarecimiento Histórico como pruebas relevantes en la determinación de los hechos y de la responsabilidad internacional de los Estados</w:t>
      </w:r>
      <w:r w:rsidRPr="00D13792">
        <w:rPr>
          <w:rStyle w:val="FootnoteReference"/>
          <w:sz w:val="20"/>
          <w:szCs w:val="20"/>
        </w:rPr>
        <w:footnoteReference w:id="48"/>
      </w:r>
      <w:r w:rsidRPr="00D13792">
        <w:rPr>
          <w:sz w:val="20"/>
          <w:szCs w:val="20"/>
        </w:rPr>
        <w:t xml:space="preserve">. Al respecto, ha señalado que, según el objeto, procedimiento, estructura y fin de su mandato, tales comisiones pueden contribuir a la construcción y preservación de la memoria histórica, el esclarecimiento de hechos y la determinación de </w:t>
      </w:r>
      <w:r w:rsidRPr="00D13792">
        <w:rPr>
          <w:rFonts w:eastAsia="Calibri"/>
          <w:sz w:val="20"/>
          <w:szCs w:val="20"/>
        </w:rPr>
        <w:t>responsabilidades</w:t>
      </w:r>
      <w:r w:rsidRPr="00D13792">
        <w:rPr>
          <w:sz w:val="20"/>
          <w:szCs w:val="20"/>
        </w:rPr>
        <w:t xml:space="preserve"> institucionales, sociales y políticas en determinados períodos históricos de una sociedad</w:t>
      </w:r>
      <w:r w:rsidRPr="00D13792">
        <w:rPr>
          <w:rStyle w:val="FootnoteReference"/>
          <w:sz w:val="20"/>
          <w:szCs w:val="20"/>
        </w:rPr>
        <w:footnoteReference w:id="49"/>
      </w:r>
      <w:r w:rsidRPr="00D13792">
        <w:rPr>
          <w:sz w:val="20"/>
          <w:szCs w:val="20"/>
        </w:rPr>
        <w:t xml:space="preserve">. </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El Informe de la </w:t>
      </w:r>
      <w:r w:rsidRPr="00D13792">
        <w:rPr>
          <w:rStyle w:val="Strong"/>
          <w:b w:val="0"/>
          <w:bCs w:val="0"/>
          <w:sz w:val="20"/>
          <w:szCs w:val="20"/>
        </w:rPr>
        <w:t>Comisión de</w:t>
      </w:r>
      <w:r w:rsidRPr="00D13792">
        <w:rPr>
          <w:rStyle w:val="Strong"/>
          <w:bCs w:val="0"/>
          <w:sz w:val="20"/>
          <w:szCs w:val="20"/>
        </w:rPr>
        <w:t xml:space="preserve"> </w:t>
      </w:r>
      <w:r w:rsidRPr="00D13792">
        <w:rPr>
          <w:sz w:val="20"/>
          <w:szCs w:val="20"/>
        </w:rPr>
        <w:t>Esclarecimiento Histórico</w:t>
      </w:r>
      <w:r w:rsidRPr="00D13792">
        <w:rPr>
          <w:rStyle w:val="Strong"/>
          <w:bCs w:val="0"/>
          <w:sz w:val="20"/>
          <w:szCs w:val="20"/>
        </w:rPr>
        <w:t xml:space="preserve"> </w:t>
      </w:r>
      <w:r w:rsidRPr="00D13792">
        <w:rPr>
          <w:sz w:val="20"/>
          <w:szCs w:val="20"/>
        </w:rPr>
        <w:t>(CEH) es un referente importante en la documentación del conflicto armado interno y</w:t>
      </w:r>
      <w:r w:rsidRPr="00D13792">
        <w:rPr>
          <w:spacing w:val="-2"/>
          <w:sz w:val="20"/>
          <w:szCs w:val="20"/>
        </w:rPr>
        <w:t xml:space="preserve"> </w:t>
      </w:r>
      <w:r w:rsidRPr="00D13792">
        <w:rPr>
          <w:rFonts w:eastAsia="Calibri"/>
          <w:spacing w:val="-2"/>
          <w:sz w:val="20"/>
          <w:szCs w:val="20"/>
        </w:rPr>
        <w:t>ha sido utilizado reiteradamente por este Tribunal como prueba</w:t>
      </w:r>
      <w:r w:rsidRPr="00D13792">
        <w:rPr>
          <w:sz w:val="20"/>
          <w:szCs w:val="20"/>
        </w:rPr>
        <w:t xml:space="preserve"> en al menos diez casos guatemaltecos a partir del año 2000 y hasta el año 2015, sin que el Estado se hubiera opuesto</w:t>
      </w:r>
      <w:r w:rsidRPr="00D13792">
        <w:rPr>
          <w:rStyle w:val="FootnoteReference"/>
          <w:sz w:val="20"/>
          <w:szCs w:val="20"/>
        </w:rPr>
        <w:footnoteReference w:id="50"/>
      </w:r>
      <w:r w:rsidRPr="00D13792">
        <w:rPr>
          <w:sz w:val="20"/>
          <w:szCs w:val="20"/>
        </w:rPr>
        <w:t>. Es r</w:t>
      </w:r>
      <w:r w:rsidRPr="00D13792">
        <w:rPr>
          <w:rStyle w:val="Strong"/>
          <w:b w:val="0"/>
          <w:sz w:val="20"/>
          <w:szCs w:val="20"/>
          <w:shd w:val="clear" w:color="auto" w:fill="FFFFFF"/>
        </w:rPr>
        <w:t xml:space="preserve">ecién en este caso que presentó por primera vez una objeción. Sobre el particular, esta Corte advierte que incluso </w:t>
      </w:r>
      <w:r w:rsidRPr="00D13792">
        <w:rPr>
          <w:rStyle w:val="Strong"/>
          <w:b w:val="0"/>
          <w:bCs w:val="0"/>
          <w:sz w:val="20"/>
          <w:szCs w:val="20"/>
        </w:rPr>
        <w:t xml:space="preserve">la propia Comisión de </w:t>
      </w:r>
      <w:r w:rsidRPr="00D13792">
        <w:rPr>
          <w:sz w:val="20"/>
          <w:szCs w:val="20"/>
        </w:rPr>
        <w:t>Esclarecimiento Histórico</w:t>
      </w:r>
      <w:r w:rsidRPr="00D13792">
        <w:rPr>
          <w:rStyle w:val="Strong"/>
          <w:bCs w:val="0"/>
          <w:sz w:val="20"/>
          <w:szCs w:val="20"/>
        </w:rPr>
        <w:t xml:space="preserve"> </w:t>
      </w:r>
      <w:r w:rsidRPr="00D13792">
        <w:rPr>
          <w:sz w:val="20"/>
          <w:szCs w:val="20"/>
        </w:rPr>
        <w:t xml:space="preserve">al establecer su funcionamiento hizo las siguientes dos precisiones respecto al uso de su Informe. </w:t>
      </w:r>
      <w:r w:rsidRPr="00D13792">
        <w:rPr>
          <w:rStyle w:val="Strong"/>
          <w:b w:val="0"/>
          <w:bCs w:val="0"/>
          <w:sz w:val="20"/>
          <w:szCs w:val="20"/>
        </w:rPr>
        <w:t>Primero, entendió “que la no individualización de responsabilidades de las violaciones de derechos humanos o hechos de violencia que estaba llamada a esclarecer es una característica que se deriva de su propia finalidad, que no es de carácter procesal penal sino de esclarecimiento histórico”. Segundo, que “por sí mismos, [sus] trabajos, recomendaciones e informes no tienen carácter ni propósito judicial, ya que la CEH no es un órgano judicial”, en ese sentido,</w:t>
      </w:r>
      <w:r w:rsidRPr="00D13792">
        <w:rPr>
          <w:rStyle w:val="Strong"/>
          <w:bCs w:val="0"/>
          <w:sz w:val="20"/>
          <w:szCs w:val="20"/>
        </w:rPr>
        <w:t xml:space="preserve"> </w:t>
      </w:r>
      <w:r w:rsidRPr="00D13792">
        <w:rPr>
          <w:rStyle w:val="Strong"/>
          <w:b w:val="0"/>
          <w:bCs w:val="0"/>
          <w:sz w:val="20"/>
          <w:szCs w:val="20"/>
        </w:rPr>
        <w:t>“[s]</w:t>
      </w:r>
      <w:r w:rsidRPr="00D13792">
        <w:rPr>
          <w:bCs/>
          <w:sz w:val="20"/>
          <w:szCs w:val="20"/>
        </w:rPr>
        <w:t>i bien el Acuerdo dice que ni los trabajos ni el Informe tienen efectos judiciales, nada obsta que la institucionalidad del Estado, particularmente las entidades del sistema de administración de justicia, puedan basarse en elementos contenidos en el Informe de la CEH”</w:t>
      </w:r>
      <w:r w:rsidRPr="00D13792">
        <w:rPr>
          <w:rStyle w:val="FootnoteReference"/>
          <w:bCs/>
          <w:sz w:val="20"/>
          <w:szCs w:val="20"/>
        </w:rPr>
        <w:footnoteReference w:id="51"/>
      </w:r>
      <w:r w:rsidRPr="00D13792">
        <w:rPr>
          <w:sz w:val="20"/>
          <w:szCs w:val="20"/>
        </w:rPr>
        <w:t>. En razón de anterior, la Corte valorará el Informe de la CEH</w:t>
      </w:r>
      <w:r w:rsidRPr="00D13792">
        <w:rPr>
          <w:rFonts w:eastAsia="Calibri"/>
          <w:spacing w:val="-2"/>
          <w:sz w:val="20"/>
          <w:szCs w:val="20"/>
        </w:rPr>
        <w:t xml:space="preserve"> junto con el resto del acervo probatorio</w:t>
      </w:r>
      <w:r w:rsidRPr="00D13792">
        <w:rPr>
          <w:rFonts w:eastAsia="Calibri"/>
          <w:sz w:val="20"/>
          <w:szCs w:val="20"/>
          <w:lang w:eastAsia="es-ES"/>
        </w:rPr>
        <w:t>, de acuerdo con las reglas de la sana crítica y con base en la experiencia,</w:t>
      </w:r>
      <w:r w:rsidRPr="00D13792">
        <w:rPr>
          <w:rFonts w:eastAsia="Calibri"/>
          <w:sz w:val="20"/>
          <w:szCs w:val="20"/>
        </w:rPr>
        <w:t xml:space="preserve"> </w:t>
      </w:r>
      <w:r w:rsidRPr="00D13792">
        <w:rPr>
          <w:rFonts w:eastAsia="Calibri"/>
          <w:sz w:val="20"/>
          <w:szCs w:val="20"/>
          <w:lang w:eastAsia="es-ES"/>
        </w:rPr>
        <w:t>sin que deba sujetarse a reglas de prueba tasada</w:t>
      </w:r>
      <w:r w:rsidRPr="00D13792">
        <w:rPr>
          <w:snapToGrid w:val="0"/>
          <w:spacing w:val="-2"/>
          <w:sz w:val="20"/>
          <w:szCs w:val="20"/>
          <w:lang w:eastAsia="es-ES"/>
        </w:rPr>
        <w:t>.</w:t>
      </w:r>
    </w:p>
    <w:p w:rsidR="006A0E1C" w:rsidRPr="00D13792" w:rsidRDefault="006A0E1C" w:rsidP="006A0E1C">
      <w:pPr>
        <w:tabs>
          <w:tab w:val="left" w:pos="567"/>
        </w:tabs>
        <w:spacing w:line="240" w:lineRule="auto"/>
        <w:ind w:right="4"/>
        <w:rPr>
          <w:snapToGrid w:val="0"/>
          <w:spacing w:val="-2"/>
          <w:sz w:val="20"/>
          <w:szCs w:val="20"/>
          <w:lang w:eastAsia="es-ES"/>
        </w:rPr>
      </w:pPr>
    </w:p>
    <w:p w:rsidR="006A0E1C" w:rsidRPr="00D13792" w:rsidRDefault="006A0E1C" w:rsidP="006A0E1C">
      <w:pPr>
        <w:pStyle w:val="Heading1"/>
        <w:rPr>
          <w:lang w:val="es-CR"/>
        </w:rPr>
      </w:pPr>
      <w:bookmarkStart w:id="112" w:name="_Toc468443275"/>
      <w:bookmarkStart w:id="113" w:name="_Toc469670011"/>
      <w:r w:rsidRPr="00D13792">
        <w:rPr>
          <w:lang w:val="es-CR"/>
        </w:rPr>
        <w:t>VIII</w:t>
      </w:r>
      <w:r w:rsidRPr="00D13792">
        <w:rPr>
          <w:lang w:val="es-CR"/>
        </w:rPr>
        <w:br/>
        <w:t>HECHOS</w:t>
      </w:r>
      <w:bookmarkEnd w:id="112"/>
      <w:bookmarkEnd w:id="113"/>
    </w:p>
    <w:p w:rsidR="006A0E1C" w:rsidRPr="00D13792" w:rsidRDefault="006A0E1C" w:rsidP="006A0E1C">
      <w:pPr>
        <w:pStyle w:val="Sentencia1"/>
        <w:rPr>
          <w:lang w:val="es-CR"/>
        </w:rPr>
      </w:pPr>
    </w:p>
    <w:p w:rsidR="006A0E1C" w:rsidRPr="00D13792" w:rsidRDefault="006A0E1C" w:rsidP="006A0E1C">
      <w:pPr>
        <w:numPr>
          <w:ilvl w:val="0"/>
          <w:numId w:val="6"/>
        </w:numPr>
        <w:tabs>
          <w:tab w:val="left" w:pos="567"/>
        </w:tabs>
        <w:spacing w:line="240" w:lineRule="auto"/>
        <w:ind w:right="4"/>
        <w:rPr>
          <w:rFonts w:eastAsia="Calibri"/>
          <w:sz w:val="20"/>
          <w:szCs w:val="20"/>
          <w:lang w:eastAsia="es-ES"/>
        </w:rPr>
      </w:pPr>
      <w:r w:rsidRPr="00D13792">
        <w:rPr>
          <w:rFonts w:cs="Arial"/>
          <w:sz w:val="20"/>
          <w:szCs w:val="20"/>
        </w:rPr>
        <w:t>A continuación, la Corte se referirá a: A) los antecedentes del caso</w:t>
      </w:r>
      <w:r w:rsidRPr="00D13792">
        <w:rPr>
          <w:sz w:val="20"/>
          <w:szCs w:val="20"/>
        </w:rPr>
        <w:t>;</w:t>
      </w:r>
      <w:r w:rsidRPr="00D13792">
        <w:rPr>
          <w:rFonts w:cs="Arial"/>
          <w:sz w:val="20"/>
          <w:szCs w:val="20"/>
        </w:rPr>
        <w:t xml:space="preserve"> B) </w:t>
      </w:r>
      <w:r w:rsidRPr="00D13792">
        <w:rPr>
          <w:sz w:val="20"/>
          <w:szCs w:val="20"/>
        </w:rPr>
        <w:t>los hechos acontecidos en la aldea Chichupac y comunidades vecinas</w:t>
      </w:r>
      <w:r w:rsidRPr="00D13792">
        <w:rPr>
          <w:rFonts w:cs="Arial"/>
          <w:sz w:val="20"/>
          <w:szCs w:val="20"/>
        </w:rPr>
        <w:t xml:space="preserve">, y C) los hechos relativos a </w:t>
      </w:r>
      <w:r w:rsidRPr="00D13792">
        <w:rPr>
          <w:sz w:val="20"/>
          <w:szCs w:val="20"/>
        </w:rPr>
        <w:t xml:space="preserve">las investigaciones </w:t>
      </w:r>
      <w:r w:rsidRPr="00D13792">
        <w:rPr>
          <w:rFonts w:cs="Arial"/>
          <w:sz w:val="20"/>
          <w:szCs w:val="20"/>
        </w:rPr>
        <w:t xml:space="preserve">abiertas. Al respecto, </w:t>
      </w:r>
      <w:r w:rsidRPr="00D13792">
        <w:rPr>
          <w:sz w:val="20"/>
          <w:szCs w:val="20"/>
        </w:rPr>
        <w:t>el Tribunal ha tenido por aceptados los hechos que no fueron expresamente negados por el Estado,</w:t>
      </w:r>
      <w:r w:rsidRPr="00D13792">
        <w:rPr>
          <w:rFonts w:eastAsia="Calibri"/>
          <w:sz w:val="20"/>
          <w:szCs w:val="20"/>
          <w:lang w:eastAsia="es-ES"/>
        </w:rPr>
        <w:t xml:space="preserve"> </w:t>
      </w:r>
      <w:r w:rsidRPr="00D13792">
        <w:rPr>
          <w:sz w:val="20"/>
          <w:szCs w:val="20"/>
        </w:rPr>
        <w:t>mientras lo contrario no ha aparecido en el expediente (</w:t>
      </w:r>
      <w:r w:rsidRPr="00D13792">
        <w:rPr>
          <w:i/>
          <w:sz w:val="20"/>
          <w:szCs w:val="20"/>
        </w:rPr>
        <w:t>supra</w:t>
      </w:r>
      <w:r w:rsidRPr="00D13792">
        <w:rPr>
          <w:sz w:val="20"/>
          <w:szCs w:val="20"/>
        </w:rPr>
        <w:t xml:space="preserve"> párrs. 54 a 58, y 71 a 74), y de ser así, ha expuesto</w:t>
      </w:r>
      <w:r w:rsidRPr="00D13792">
        <w:rPr>
          <w:rFonts w:eastAsia="Calibri"/>
          <w:sz w:val="20"/>
          <w:szCs w:val="20"/>
          <w:lang w:eastAsia="es-ES"/>
        </w:rPr>
        <w:t xml:space="preserve"> el </w:t>
      </w:r>
      <w:r w:rsidRPr="00D13792">
        <w:rPr>
          <w:sz w:val="20"/>
          <w:szCs w:val="20"/>
        </w:rPr>
        <w:t xml:space="preserve">relato </w:t>
      </w:r>
      <w:r w:rsidRPr="00D13792">
        <w:rPr>
          <w:rFonts w:cs="Arial"/>
          <w:sz w:val="20"/>
          <w:szCs w:val="20"/>
        </w:rPr>
        <w:t xml:space="preserve">de los hechos </w:t>
      </w:r>
      <w:r w:rsidRPr="00D13792">
        <w:rPr>
          <w:sz w:val="20"/>
          <w:szCs w:val="20"/>
        </w:rPr>
        <w:t xml:space="preserve">que es consistente con la prueba que fue aportada por la Comisión, los representantes y el Estado, haciendo la citación correspondiente. De igual modo, se ha citado la prueba que </w:t>
      </w:r>
      <w:r w:rsidRPr="00D13792">
        <w:rPr>
          <w:sz w:val="20"/>
          <w:szCs w:val="20"/>
        </w:rPr>
        <w:lastRenderedPageBreak/>
        <w:t>permite aclarar o precisar lo indicado por las partes y la Comisión</w:t>
      </w:r>
      <w:r w:rsidRPr="00D13792">
        <w:rPr>
          <w:rStyle w:val="FootnoteReference"/>
          <w:rFonts w:cs="Arial"/>
          <w:sz w:val="20"/>
          <w:szCs w:val="20"/>
        </w:rPr>
        <w:footnoteReference w:id="52"/>
      </w:r>
      <w:r w:rsidRPr="00D13792">
        <w:rPr>
          <w:sz w:val="20"/>
          <w:szCs w:val="20"/>
        </w:rPr>
        <w:t>.</w:t>
      </w:r>
      <w:r w:rsidRPr="00D13792">
        <w:rPr>
          <w:rFonts w:eastAsia="Calibri"/>
          <w:sz w:val="20"/>
          <w:szCs w:val="20"/>
          <w:lang w:eastAsia="es-ES"/>
        </w:rPr>
        <w:t xml:space="preserve"> </w:t>
      </w:r>
      <w:r w:rsidRPr="00D13792">
        <w:rPr>
          <w:sz w:val="20"/>
          <w:szCs w:val="20"/>
        </w:rPr>
        <w:t>Asimismo, cuando ha sido pertinente se han citado los casos en que este Tribunal se ha referido anteriormente al contexto político e histórico contemporáneo a los hechos. Cabe</w:t>
      </w:r>
      <w:r w:rsidRPr="00D13792">
        <w:rPr>
          <w:rFonts w:cs="Arial"/>
          <w:sz w:val="20"/>
          <w:szCs w:val="20"/>
        </w:rPr>
        <w:t xml:space="preserve"> señalar que </w:t>
      </w:r>
      <w:r w:rsidRPr="00D13792">
        <w:rPr>
          <w:sz w:val="20"/>
          <w:szCs w:val="20"/>
        </w:rPr>
        <w:t>los hechos ocurridos con anterioridad a la fecha de reconocimiento de la competencia del Tribunal por parte de Guatemala, esto es, el 9 de marzo de 1987, únicamente sirven como antecedentes para contextualizar los hechos y las alegadas violaciones de derechos humanos que están dentro de su competencia temporal. La determinación de la eventual responsabilidad internacional del Estado por la alegada violación de derechos humanos será determinado en el Capítulo IX de la Sentencia.</w:t>
      </w:r>
    </w:p>
    <w:p w:rsidR="006A0E1C" w:rsidRPr="00D13792" w:rsidRDefault="006A0E1C" w:rsidP="006A0E1C">
      <w:pPr>
        <w:tabs>
          <w:tab w:val="left" w:pos="567"/>
        </w:tabs>
        <w:spacing w:line="240" w:lineRule="auto"/>
        <w:ind w:right="4"/>
        <w:rPr>
          <w:rFonts w:eastAsia="Calibri"/>
          <w:sz w:val="20"/>
          <w:szCs w:val="20"/>
          <w:lang w:eastAsia="es-ES"/>
        </w:rPr>
      </w:pPr>
    </w:p>
    <w:p w:rsidR="006A0E1C" w:rsidRPr="00D13792" w:rsidRDefault="006A0E1C" w:rsidP="006A0E1C">
      <w:pPr>
        <w:pStyle w:val="Heading2"/>
        <w:numPr>
          <w:ilvl w:val="0"/>
          <w:numId w:val="37"/>
        </w:numPr>
        <w:tabs>
          <w:tab w:val="clear" w:pos="720"/>
          <w:tab w:val="left" w:pos="0"/>
        </w:tabs>
        <w:ind w:left="0" w:firstLine="0"/>
        <w:rPr>
          <w:lang w:val="es-CR"/>
        </w:rPr>
      </w:pPr>
      <w:bookmarkStart w:id="114" w:name="_Toc468443276"/>
      <w:bookmarkStart w:id="115" w:name="_Toc469670012"/>
      <w:r w:rsidRPr="00D13792">
        <w:rPr>
          <w:lang w:val="es-CR"/>
        </w:rPr>
        <w:t>Antecedentes del caso</w:t>
      </w:r>
      <w:bookmarkEnd w:id="114"/>
      <w:bookmarkEnd w:id="115"/>
    </w:p>
    <w:p w:rsidR="006A0E1C" w:rsidRPr="00D13792" w:rsidRDefault="006A0E1C" w:rsidP="006A0E1C">
      <w:pPr>
        <w:spacing w:line="240" w:lineRule="auto"/>
        <w:rPr>
          <w:sz w:val="20"/>
          <w:szCs w:val="20"/>
        </w:rPr>
      </w:pPr>
    </w:p>
    <w:p w:rsidR="006A0E1C" w:rsidRPr="00D13792" w:rsidRDefault="006A0E1C" w:rsidP="006A0E1C">
      <w:pPr>
        <w:numPr>
          <w:ilvl w:val="0"/>
          <w:numId w:val="6"/>
        </w:numPr>
        <w:tabs>
          <w:tab w:val="left" w:pos="567"/>
        </w:tabs>
        <w:spacing w:line="240" w:lineRule="auto"/>
        <w:ind w:right="4"/>
        <w:rPr>
          <w:sz w:val="20"/>
        </w:rPr>
      </w:pPr>
      <w:r w:rsidRPr="00D13792">
        <w:rPr>
          <w:sz w:val="20"/>
          <w:szCs w:val="20"/>
        </w:rPr>
        <w:t>El Estado de Guatemala vivió un conflicto armado interno entre los años 1962 y 1996 que provocó grandes costos humanos, materiales, institucionales y morales</w:t>
      </w:r>
      <w:r w:rsidRPr="00D13792">
        <w:rPr>
          <w:sz w:val="20"/>
          <w:szCs w:val="20"/>
          <w:vertAlign w:val="superscript"/>
        </w:rPr>
        <w:footnoteReference w:id="53"/>
      </w:r>
      <w:r w:rsidRPr="00D13792">
        <w:rPr>
          <w:sz w:val="20"/>
          <w:szCs w:val="20"/>
        </w:rPr>
        <w:t xml:space="preserve">. En el año 1990 se inició un proceso de paz que culminó en diciembre de 1996 cuando el Gobierno de la República de Guatemala y la Unidad Revolucionaria Nacional Guatemalteca (URNG), con la participación de la sociedad civil, firmaron el Acuerdo de Paz Firme y Duradera, con el propósito de acabar con el conflicto armado. Dicho Acuerdo otorga validez a los doce acuerdos que fueron celebrados durante negociaciones previas, entre ellos, uno para el </w:t>
      </w:r>
      <w:r w:rsidRPr="00D13792">
        <w:rPr>
          <w:rFonts w:eastAsia="Calibri"/>
          <w:sz w:val="20"/>
          <w:szCs w:val="20"/>
        </w:rPr>
        <w:t>establecimiento</w:t>
      </w:r>
      <w:r w:rsidRPr="00D13792">
        <w:rPr>
          <w:sz w:val="20"/>
          <w:szCs w:val="20"/>
        </w:rPr>
        <w:t xml:space="preserve"> de la Comisión para el Esclarecimiento Histórico (en adelante “CEH”) “de las violaciones a los derechos humanos y los hechos de violencia que han causado sufrimientos a la población guatemalteca”. Dicha Comisión inició sus trabajos el 31 de julio de 1997 y publicó su Informe </w:t>
      </w:r>
      <w:r w:rsidRPr="00D13792">
        <w:rPr>
          <w:i/>
          <w:iCs/>
          <w:sz w:val="20"/>
          <w:szCs w:val="20"/>
        </w:rPr>
        <w:t>“Guatemala, Memoria del Silencio”</w:t>
      </w:r>
      <w:r w:rsidRPr="00D13792">
        <w:rPr>
          <w:sz w:val="20"/>
          <w:szCs w:val="20"/>
        </w:rPr>
        <w:t xml:space="preserve"> el 25 de febrero de 1999</w:t>
      </w:r>
      <w:r w:rsidRPr="00D13792">
        <w:rPr>
          <w:rStyle w:val="FootnoteReference"/>
          <w:sz w:val="20"/>
          <w:szCs w:val="20"/>
        </w:rPr>
        <w:footnoteReference w:id="54"/>
      </w:r>
      <w:r w:rsidRPr="00D13792">
        <w:rPr>
          <w:sz w:val="20"/>
          <w:szCs w:val="20"/>
        </w:rPr>
        <w:t xml:space="preserve">. </w:t>
      </w:r>
    </w:p>
    <w:p w:rsidR="006A0E1C" w:rsidRPr="00D13792" w:rsidRDefault="006A0E1C" w:rsidP="006A0E1C">
      <w:pPr>
        <w:tabs>
          <w:tab w:val="left" w:pos="567"/>
        </w:tabs>
        <w:spacing w:line="240" w:lineRule="auto"/>
        <w:ind w:right="4"/>
        <w:rPr>
          <w:sz w:val="20"/>
        </w:rPr>
      </w:pPr>
    </w:p>
    <w:p w:rsidR="006A0E1C" w:rsidRPr="00D13792" w:rsidRDefault="006A0E1C" w:rsidP="006A0E1C">
      <w:pPr>
        <w:numPr>
          <w:ilvl w:val="0"/>
          <w:numId w:val="6"/>
        </w:numPr>
        <w:tabs>
          <w:tab w:val="left" w:pos="567"/>
        </w:tabs>
        <w:spacing w:line="240" w:lineRule="auto"/>
        <w:ind w:right="4"/>
        <w:rPr>
          <w:sz w:val="20"/>
        </w:rPr>
      </w:pPr>
      <w:r w:rsidRPr="00D13792">
        <w:rPr>
          <w:rFonts w:cs="Arial"/>
          <w:sz w:val="20"/>
          <w:szCs w:val="20"/>
        </w:rPr>
        <w:t xml:space="preserve">En el marco del </w:t>
      </w:r>
      <w:r w:rsidRPr="00D13792">
        <w:rPr>
          <w:sz w:val="20"/>
          <w:szCs w:val="20"/>
        </w:rPr>
        <w:t>conflicto armado interno en Guatemala</w:t>
      </w:r>
      <w:r w:rsidRPr="00D13792">
        <w:rPr>
          <w:sz w:val="20"/>
        </w:rPr>
        <w:t>, el Estado aplicó lo que denominó la “Doctrina de Seguridad Nacional”, con base en la cual utilizó la noción de “enemigo interno”, que inicialmente incluía a las organizaciones guerrilleras pero fue ampliándose para incluir a “</w:t>
      </w:r>
      <w:r w:rsidRPr="00D13792">
        <w:rPr>
          <w:sz w:val="20"/>
          <w:shd w:val="clear" w:color="auto" w:fill="FFFFFF"/>
        </w:rPr>
        <w:t xml:space="preserve">todas aquellas personas que se identifica[ban] con la ideología comunista o que pertenecieron a una </w:t>
      </w:r>
      <w:r w:rsidRPr="00D13792">
        <w:rPr>
          <w:sz w:val="20"/>
        </w:rPr>
        <w:t>organización</w:t>
      </w:r>
      <w:r w:rsidRPr="00D13792">
        <w:rPr>
          <w:sz w:val="20"/>
          <w:shd w:val="clear" w:color="auto" w:fill="FFFFFF"/>
        </w:rPr>
        <w:t xml:space="preserve"> -sindical, social, religiosa, estudiantil-, o a aquéllos que por cualquier causa no estuvieran a favor del régimen establecido”</w:t>
      </w:r>
      <w:r w:rsidRPr="00D13792">
        <w:rPr>
          <w:rStyle w:val="FootnoteReference"/>
          <w:sz w:val="20"/>
          <w:shd w:val="clear" w:color="auto" w:fill="FFFFFF"/>
        </w:rPr>
        <w:footnoteReference w:id="55"/>
      </w:r>
      <w:r w:rsidRPr="00D13792">
        <w:rPr>
          <w:sz w:val="20"/>
          <w:shd w:val="clear" w:color="auto" w:fill="FFFFFF"/>
        </w:rPr>
        <w:t>.</w:t>
      </w:r>
      <w:r w:rsidRPr="00D13792">
        <w:rPr>
          <w:sz w:val="20"/>
        </w:rPr>
        <w:t xml:space="preserve"> </w:t>
      </w:r>
      <w:r w:rsidRPr="00D13792">
        <w:rPr>
          <w:sz w:val="20"/>
          <w:szCs w:val="20"/>
        </w:rPr>
        <w:t>En</w:t>
      </w:r>
      <w:r w:rsidRPr="00D13792">
        <w:rPr>
          <w:sz w:val="20"/>
        </w:rPr>
        <w:t xml:space="preserve"> aplicación de esta Doctrina, el 91% de las violaciones registradas se produjo bajo las dictaduras de los generales Romeo Lucas García (1978-1982) y José Efraín Ríos Montt (1982-1983)</w:t>
      </w:r>
      <w:r w:rsidRPr="00D13792">
        <w:rPr>
          <w:sz w:val="20"/>
          <w:vertAlign w:val="superscript"/>
        </w:rPr>
        <w:footnoteReference w:id="56"/>
      </w:r>
      <w:r w:rsidRPr="00D13792">
        <w:rPr>
          <w:sz w:val="20"/>
        </w:rPr>
        <w:t xml:space="preserve">. </w:t>
      </w:r>
      <w:r w:rsidRPr="00D13792">
        <w:rPr>
          <w:sz w:val="20"/>
          <w:szCs w:val="20"/>
        </w:rPr>
        <w:t>Con</w:t>
      </w:r>
      <w:r w:rsidRPr="00D13792">
        <w:rPr>
          <w:sz w:val="20"/>
        </w:rPr>
        <w:t xml:space="preserve"> base en </w:t>
      </w:r>
      <w:r w:rsidRPr="00D13792">
        <w:rPr>
          <w:sz w:val="20"/>
          <w:szCs w:val="20"/>
        </w:rPr>
        <w:t xml:space="preserve">dicha </w:t>
      </w:r>
      <w:r w:rsidRPr="00D13792">
        <w:rPr>
          <w:sz w:val="20"/>
        </w:rPr>
        <w:t>Doctrina</w:t>
      </w:r>
      <w:r w:rsidRPr="00D13792">
        <w:rPr>
          <w:sz w:val="20"/>
          <w:szCs w:val="20"/>
        </w:rPr>
        <w:t>,</w:t>
      </w:r>
      <w:r w:rsidRPr="00D13792">
        <w:rPr>
          <w:sz w:val="20"/>
        </w:rPr>
        <w:t xml:space="preserve"> el ejército de Guatemala identificó a los miembros del pueblo indígena maya dentro de la categoría de “enemigo interno”, por considerar que estos constituían o podían constituir la base social de la guerrilla</w:t>
      </w:r>
      <w:r w:rsidRPr="00D13792">
        <w:rPr>
          <w:sz w:val="20"/>
          <w:vertAlign w:val="superscript"/>
        </w:rPr>
        <w:footnoteReference w:id="57"/>
      </w:r>
      <w:r w:rsidRPr="00D13792">
        <w:rPr>
          <w:sz w:val="20"/>
        </w:rPr>
        <w:t>. S</w:t>
      </w:r>
      <w:r w:rsidRPr="00D13792" w:rsidDel="00F01046">
        <w:rPr>
          <w:sz w:val="20"/>
        </w:rPr>
        <w:t>egún la</w:t>
      </w:r>
      <w:r w:rsidRPr="00D13792">
        <w:rPr>
          <w:sz w:val="20"/>
        </w:rPr>
        <w:t xml:space="preserve"> CEH, en términos étnicos, “el 83.3% de las víctimas de violaciones de derechos humanos y hechos de violencia registrados por [aquella] pertenecían a alguna etnia </w:t>
      </w:r>
      <w:r w:rsidRPr="00D13792">
        <w:rPr>
          <w:sz w:val="20"/>
        </w:rPr>
        <w:lastRenderedPageBreak/>
        <w:t>maya, el 16.5% pertenecían al grupo ladino y el 0.2% a otros grupos”</w:t>
      </w:r>
      <w:r w:rsidRPr="00D13792">
        <w:rPr>
          <w:rStyle w:val="FootnoteReference"/>
          <w:sz w:val="20"/>
        </w:rPr>
        <w:footnoteReference w:id="58"/>
      </w:r>
      <w:r w:rsidRPr="00D13792">
        <w:rPr>
          <w:sz w:val="20"/>
        </w:rPr>
        <w:t xml:space="preserve">. </w:t>
      </w:r>
      <w:r w:rsidRPr="00D13792">
        <w:rPr>
          <w:sz w:val="20"/>
          <w:szCs w:val="20"/>
        </w:rPr>
        <w:t>Al respecto,</w:t>
      </w:r>
      <w:r w:rsidRPr="00D13792">
        <w:rPr>
          <w:sz w:val="20"/>
        </w:rPr>
        <w:t xml:space="preserve"> explicó que “en la mayoría de los casos, la identificación entre las comunidades mayas y la insurgencia fue intencionadamente exagerada por el Estado que, apoyándose en tradicionales prejuicios racistas, se sirvió de esta identificación para eliminar las posibilidades presentes y futuras para que la población prestara ayuda o se incorporara a cualquier proyecto insurgente”. Así, “la innegable realidad del racismo como doctrina de superioridad expresada permanentemente por el Estado constituy[ó] un factor fundamental para explicar la especial saña e indiscriminación con que se realizaron las operaciones militares contra centenares de comunidades mayas […], en particular entre 1981 y 1983”</w:t>
      </w:r>
      <w:r w:rsidRPr="00D13792">
        <w:rPr>
          <w:rStyle w:val="FootnoteReference"/>
          <w:sz w:val="20"/>
        </w:rPr>
        <w:footnoteReference w:id="59"/>
      </w:r>
      <w:r w:rsidRPr="00D13792">
        <w:rPr>
          <w:sz w:val="20"/>
        </w:rPr>
        <w:t>.</w:t>
      </w:r>
    </w:p>
    <w:p w:rsidR="006A0E1C" w:rsidRPr="00D13792" w:rsidRDefault="006A0E1C" w:rsidP="006A0E1C">
      <w:pPr>
        <w:spacing w:line="240" w:lineRule="auto"/>
        <w:rPr>
          <w:sz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rPr>
        <w:t>En abril de 1982 la Junta Militar de Gobierno presidida por José Efraín Ríos Montt dictó el “Plan Nacional de Seguridad y Desarrollo”, que establecía objetivos nacionales en términos militares, administrativos, legales, sociales, económicos y políticos. Dicho Plan identificó las principales áreas del conflicto en diferentes departamentos del país</w:t>
      </w:r>
      <w:r w:rsidRPr="00D13792">
        <w:rPr>
          <w:rStyle w:val="FootnoteReference"/>
          <w:sz w:val="20"/>
        </w:rPr>
        <w:footnoteReference w:id="60"/>
      </w:r>
      <w:r w:rsidRPr="00D13792">
        <w:rPr>
          <w:sz w:val="20"/>
        </w:rPr>
        <w:t xml:space="preserve">. </w:t>
      </w:r>
      <w:r w:rsidRPr="00D13792">
        <w:rPr>
          <w:rFonts w:eastAsia="Times"/>
          <w:sz w:val="20"/>
        </w:rPr>
        <w:t xml:space="preserve">La Junta Militar y el Alto Mando también diseñaron y ordenaron la implementación de un plan de </w:t>
      </w:r>
      <w:r w:rsidRPr="00D13792">
        <w:rPr>
          <w:sz w:val="20"/>
        </w:rPr>
        <w:t>campaña</w:t>
      </w:r>
      <w:r w:rsidRPr="00D13792">
        <w:rPr>
          <w:rFonts w:eastAsia="Times"/>
          <w:sz w:val="20"/>
        </w:rPr>
        <w:t xml:space="preserve"> militar llamado “Victoria 82”, en el cual utilizaron nuevas definiciones estratégicas dentro del marco de la contrainsurgencia y los objetivos del “Plan Nacional de Seguridad y Desarrollo”</w:t>
      </w:r>
      <w:r w:rsidRPr="00D13792">
        <w:rPr>
          <w:rStyle w:val="FootnoteReference"/>
          <w:rFonts w:eastAsia="Times"/>
          <w:sz w:val="20"/>
        </w:rPr>
        <w:footnoteReference w:id="61"/>
      </w:r>
      <w:r w:rsidRPr="00D13792">
        <w:rPr>
          <w:rFonts w:eastAsia="Times"/>
          <w:sz w:val="20"/>
        </w:rPr>
        <w:t>.</w:t>
      </w:r>
      <w:bookmarkStart w:id="116" w:name="_Ref340670418"/>
      <w:r w:rsidRPr="00D13792">
        <w:rPr>
          <w:rFonts w:eastAsia="Times"/>
          <w:sz w:val="20"/>
        </w:rPr>
        <w:t xml:space="preserve"> La CEH sostuvo que “</w:t>
      </w:r>
      <w:r w:rsidRPr="00D13792">
        <w:rPr>
          <w:sz w:val="20"/>
        </w:rPr>
        <w:t>[d]icho programa impuso las operaciones de tierra arrasada como forma de terminar con la base social del movimiento insurgente”</w:t>
      </w:r>
      <w:r w:rsidRPr="00D13792">
        <w:rPr>
          <w:rStyle w:val="FootnoteReference"/>
          <w:sz w:val="20"/>
        </w:rPr>
        <w:footnoteReference w:id="62"/>
      </w:r>
      <w:r w:rsidRPr="00D13792">
        <w:rPr>
          <w:sz w:val="20"/>
        </w:rPr>
        <w:t>.</w:t>
      </w:r>
      <w:r w:rsidRPr="00D13792">
        <w:rPr>
          <w:sz w:val="20"/>
          <w:szCs w:val="20"/>
        </w:rPr>
        <w:t xml:space="preserve"> </w:t>
      </w:r>
      <w:r w:rsidRPr="00D13792">
        <w:rPr>
          <w:sz w:val="20"/>
        </w:rPr>
        <w:t>Dichas masacres u “operaciones de tierra arrasada” se concentraron en las regiones del Quiché, Huehuetenango, Chimaltenango, Alta y Baja Verapaz, la costa sur y Ciudad de Guatemala</w:t>
      </w:r>
      <w:r w:rsidRPr="00D13792">
        <w:rPr>
          <w:rStyle w:val="FootnoteReference"/>
          <w:sz w:val="20"/>
        </w:rPr>
        <w:footnoteReference w:id="63"/>
      </w:r>
      <w:r w:rsidRPr="00D13792">
        <w:rPr>
          <w:sz w:val="20"/>
        </w:rPr>
        <w:t xml:space="preserve">. De acuerdo con la CEH, alrededor de 626 </w:t>
      </w:r>
      <w:r w:rsidRPr="00D13792">
        <w:rPr>
          <w:sz w:val="20"/>
          <w:szCs w:val="20"/>
        </w:rPr>
        <w:t>masacres atribuibles al Ejército de Guatemala y fuerzas de seguridad del Estado fueron ejecutadas mediante actos de extrema crueldad destinados a eliminar a las personas o grupos de personas “definidos como enemigo” y a “aterrorizar a la población”</w:t>
      </w:r>
      <w:r w:rsidRPr="00D13792">
        <w:rPr>
          <w:rStyle w:val="FootnoteReference"/>
          <w:sz w:val="20"/>
          <w:szCs w:val="20"/>
        </w:rPr>
        <w:footnoteReference w:id="64"/>
      </w:r>
      <w:r w:rsidRPr="00D13792">
        <w:rPr>
          <w:rFonts w:cs="Verdana"/>
          <w:sz w:val="20"/>
          <w:szCs w:val="20"/>
        </w:rPr>
        <w:t>.</w:t>
      </w:r>
      <w:r w:rsidRPr="00D13792">
        <w:rPr>
          <w:sz w:val="20"/>
          <w:szCs w:val="20"/>
        </w:rPr>
        <w:t xml:space="preserve"> El terror</w:t>
      </w:r>
      <w:r w:rsidRPr="00D13792">
        <w:rPr>
          <w:sz w:val="20"/>
        </w:rPr>
        <w:t xml:space="preserve"> provocado por las masacres y la devastación de aldeas enteras en el período comprendido entre 1981 y 1983 desencadenó la huida masiva de una población diversa, cuya mayoría estaba constituida por comunidades mayas, pero que también incluía un importante número de familias ladinas. La CEH estimó un número de desplazados que va desde 500 mil hasta un millón y medio de </w:t>
      </w:r>
      <w:r w:rsidRPr="00D13792">
        <w:rPr>
          <w:sz w:val="20"/>
        </w:rPr>
        <w:lastRenderedPageBreak/>
        <w:t>personas en dicho período</w:t>
      </w:r>
      <w:r w:rsidRPr="00D13792">
        <w:rPr>
          <w:sz w:val="20"/>
          <w:szCs w:val="20"/>
          <w:vertAlign w:val="superscript"/>
        </w:rPr>
        <w:footnoteReference w:id="65"/>
      </w:r>
      <w:r w:rsidRPr="00D13792">
        <w:rPr>
          <w:sz w:val="20"/>
          <w:szCs w:val="20"/>
        </w:rPr>
        <w:t xml:space="preserve">. </w:t>
      </w:r>
    </w:p>
    <w:p w:rsidR="006A0E1C" w:rsidRPr="00D13792" w:rsidRDefault="006A0E1C" w:rsidP="006A0E1C">
      <w:pPr>
        <w:tabs>
          <w:tab w:val="left" w:pos="567"/>
        </w:tabs>
        <w:spacing w:line="240" w:lineRule="auto"/>
        <w:ind w:right="4"/>
        <w:rPr>
          <w:sz w:val="20"/>
        </w:rPr>
      </w:pPr>
    </w:p>
    <w:p w:rsidR="006A0E1C" w:rsidRPr="00D13792" w:rsidRDefault="006A0E1C" w:rsidP="006A0E1C">
      <w:pPr>
        <w:numPr>
          <w:ilvl w:val="0"/>
          <w:numId w:val="6"/>
        </w:numPr>
        <w:tabs>
          <w:tab w:val="left" w:pos="567"/>
        </w:tabs>
        <w:spacing w:line="240" w:lineRule="auto"/>
        <w:ind w:right="4"/>
        <w:rPr>
          <w:sz w:val="20"/>
        </w:rPr>
      </w:pPr>
      <w:r w:rsidRPr="00D13792">
        <w:rPr>
          <w:sz w:val="20"/>
        </w:rPr>
        <w:t>En la época del conflicto armado interno, la desaparición forzada de personas en Guatemala también constituyó una práctica del Estado llevada a cabo principalmente por agentes de sus fuerzas de seguridad</w:t>
      </w:r>
      <w:r w:rsidRPr="00D13792">
        <w:rPr>
          <w:sz w:val="20"/>
          <w:vertAlign w:val="superscript"/>
        </w:rPr>
        <w:footnoteReference w:id="66"/>
      </w:r>
      <w:r w:rsidRPr="00D13792">
        <w:rPr>
          <w:sz w:val="20"/>
        </w:rPr>
        <w:t>. La finalidad de esta práctica era la desarticulación de los movimientos u organizaciones que el Estado identificaba como proclives a la “insurgencia” y extender el terror en la población</w:t>
      </w:r>
      <w:r w:rsidRPr="00D13792">
        <w:rPr>
          <w:rStyle w:val="FootnoteReference"/>
          <w:sz w:val="20"/>
        </w:rPr>
        <w:footnoteReference w:id="67"/>
      </w:r>
      <w:r w:rsidRPr="00D13792">
        <w:rPr>
          <w:sz w:val="20"/>
        </w:rPr>
        <w:t xml:space="preserve">. </w:t>
      </w:r>
      <w:bookmarkEnd w:id="116"/>
      <w:r w:rsidRPr="00D13792">
        <w:rPr>
          <w:sz w:val="20"/>
          <w:szCs w:val="20"/>
        </w:rPr>
        <w:t>Igualmente</w:t>
      </w:r>
      <w:r w:rsidRPr="00D13792">
        <w:rPr>
          <w:sz w:val="20"/>
        </w:rPr>
        <w:t>, la CEH concluyó que “la violación sexual fue una práctica generalizada y sistemática realizada por agentes del Estado en el marco de la estrategia contrainsurgente”, en la que el porcentaje de víctimas mujeres alcanza el 99% de los casos registrados, y fue empleada como un arma de guerra. Los casos de violaciones sexuales individuales o selectivas, se dieron en el contexto de la detención de las víctimas y muchas veces fueron seguidas de su muerte o desaparición</w:t>
      </w:r>
      <w:r w:rsidRPr="00D13792">
        <w:rPr>
          <w:rStyle w:val="FootnoteReference"/>
          <w:sz w:val="20"/>
        </w:rPr>
        <w:footnoteReference w:id="68"/>
      </w:r>
      <w:r w:rsidRPr="00D13792">
        <w:rPr>
          <w:sz w:val="20"/>
        </w:rPr>
        <w:t>. A su vez, durante y de modo previo a las mencionadas masacres u “operaciones de tierra arrasada”, miembros de las fuerzas de seguridad del Estado perpetraron violaciones sexuales masivas o indiscriminadas y públicas, acompañadas en ocasiones de la muerte de mujeres embarazadas y de la inducción de abortos. Esta práctica estaba dirigida a destruir la dignidad de la mujer a nivel cultural, social, familiar e individual</w:t>
      </w:r>
      <w:r w:rsidRPr="00D13792">
        <w:rPr>
          <w:sz w:val="20"/>
          <w:vertAlign w:val="superscript"/>
        </w:rPr>
        <w:footnoteReference w:id="69"/>
      </w:r>
      <w:r w:rsidRPr="00D13792">
        <w:rPr>
          <w:sz w:val="20"/>
        </w:rPr>
        <w:t xml:space="preserve">. </w:t>
      </w:r>
      <w:r w:rsidRPr="00D13792">
        <w:rPr>
          <w:sz w:val="20"/>
          <w:szCs w:val="20"/>
        </w:rPr>
        <w:t>Por otra parte</w:t>
      </w:r>
      <w:r w:rsidRPr="00D13792">
        <w:rPr>
          <w:sz w:val="20"/>
        </w:rPr>
        <w:t>, durante esta época existió un patrón de separación de niñas y niños de sus familias con posterioridad a las masacres, y de sustracción y retención ilegal de los mismos, todo ello perpetrado por las fuerzas militares y grupos armados ilegales. Dicha práctica implicó, en muchos casos, que se les cambiara el nombre y se les negara su identidad</w:t>
      </w:r>
      <w:r w:rsidRPr="00D13792">
        <w:rPr>
          <w:sz w:val="20"/>
          <w:vertAlign w:val="superscript"/>
        </w:rPr>
        <w:footnoteReference w:id="70"/>
      </w:r>
      <w:r w:rsidRPr="00D13792">
        <w:rPr>
          <w:sz w:val="20"/>
        </w:rPr>
        <w:t>. La separación de</w:t>
      </w:r>
      <w:r w:rsidRPr="00D13792">
        <w:rPr>
          <w:sz w:val="20"/>
          <w:szCs w:val="20"/>
        </w:rPr>
        <w:t xml:space="preserve"> niñas y</w:t>
      </w:r>
      <w:r w:rsidRPr="00D13792">
        <w:rPr>
          <w:sz w:val="20"/>
        </w:rPr>
        <w:t xml:space="preserve"> niños de sus familias condujo, en algunos casos, a la adopción ilegal o a la venta de aquellos, a quienes también se negó el derecho a conocer su cultura</w:t>
      </w:r>
      <w:r w:rsidRPr="00D13792">
        <w:rPr>
          <w:sz w:val="20"/>
          <w:vertAlign w:val="superscript"/>
        </w:rPr>
        <w:footnoteReference w:id="71"/>
      </w:r>
      <w:r w:rsidRPr="00D13792">
        <w:rPr>
          <w:sz w:val="20"/>
        </w:rPr>
        <w:t xml:space="preserve">. </w:t>
      </w:r>
      <w:r w:rsidRPr="00D13792">
        <w:rPr>
          <w:sz w:val="20"/>
          <w:szCs w:val="20"/>
        </w:rPr>
        <w:t xml:space="preserve">En otros casos, las niñas y niños fueron sometidos a </w:t>
      </w:r>
      <w:r w:rsidRPr="00D13792">
        <w:rPr>
          <w:rFonts w:eastAsia="Calibri"/>
          <w:iCs/>
          <w:sz w:val="20"/>
          <w:szCs w:val="20"/>
        </w:rPr>
        <w:t xml:space="preserve">condiciones de servidumbre </w:t>
      </w:r>
      <w:r w:rsidRPr="00D13792">
        <w:rPr>
          <w:sz w:val="20"/>
          <w:szCs w:val="20"/>
        </w:rPr>
        <w:t>por agentes de las fuerzas de seguridad del Estado</w:t>
      </w:r>
      <w:r w:rsidRPr="00D13792">
        <w:rPr>
          <w:rStyle w:val="FootnoteReference"/>
          <w:rFonts w:eastAsia="Calibri"/>
          <w:sz w:val="20"/>
        </w:rPr>
        <w:footnoteReference w:id="72"/>
      </w:r>
      <w:r w:rsidRPr="00D13792">
        <w:rPr>
          <w:rFonts w:eastAsia="Calibri"/>
          <w:sz w:val="20"/>
        </w:rPr>
        <w:t>.</w:t>
      </w:r>
    </w:p>
    <w:p w:rsidR="006A0E1C" w:rsidRPr="00D13792" w:rsidRDefault="006A0E1C" w:rsidP="006A0E1C">
      <w:pPr>
        <w:spacing w:line="240" w:lineRule="auto"/>
        <w:rPr>
          <w:sz w:val="20"/>
        </w:rPr>
      </w:pPr>
    </w:p>
    <w:p w:rsidR="006A0E1C" w:rsidRPr="00D13792" w:rsidRDefault="006A0E1C" w:rsidP="006A0E1C">
      <w:pPr>
        <w:numPr>
          <w:ilvl w:val="0"/>
          <w:numId w:val="6"/>
        </w:numPr>
        <w:tabs>
          <w:tab w:val="left" w:pos="567"/>
        </w:tabs>
        <w:spacing w:line="240" w:lineRule="auto"/>
        <w:ind w:right="4"/>
        <w:rPr>
          <w:sz w:val="20"/>
        </w:rPr>
      </w:pPr>
      <w:r w:rsidRPr="00D13792">
        <w:rPr>
          <w:sz w:val="20"/>
        </w:rPr>
        <w:t>Todos estos hechos tuvieron y todavía tienen importantes efectos culturales en los pueblos mayas. Las violaciones de derechos humanos sucedidas durante el conflicto armado interno en Guatemala también significó la pérdida de los valores y prácticas culturales y religiosas de los pueblos mayas, así como de sus instituciones sociales, económicas y políticas</w:t>
      </w:r>
      <w:r w:rsidRPr="00D13792">
        <w:rPr>
          <w:sz w:val="20"/>
          <w:vertAlign w:val="superscript"/>
        </w:rPr>
        <w:footnoteReference w:id="73"/>
      </w:r>
      <w:r w:rsidRPr="00D13792">
        <w:rPr>
          <w:sz w:val="20"/>
        </w:rPr>
        <w:t>. Particularmente, las desapariciones forzadas, el uso de la tortura y las ejecuciones arbitrarias</w:t>
      </w:r>
      <w:r w:rsidRPr="00D13792">
        <w:rPr>
          <w:sz w:val="20"/>
          <w:vertAlign w:val="superscript"/>
        </w:rPr>
        <w:footnoteReference w:id="74"/>
      </w:r>
      <w:r w:rsidRPr="00D13792">
        <w:rPr>
          <w:sz w:val="20"/>
        </w:rPr>
        <w:t>, entre otros, afectaron las estructuras de autoridad y liderazgo indígena, destruyendo el tejido y las relaciones sociales tradicionales al interior de las comunidades</w:t>
      </w:r>
      <w:r w:rsidRPr="00D13792">
        <w:rPr>
          <w:sz w:val="20"/>
          <w:vertAlign w:val="superscript"/>
        </w:rPr>
        <w:footnoteReference w:id="75"/>
      </w:r>
      <w:r w:rsidRPr="00D13792">
        <w:rPr>
          <w:sz w:val="20"/>
        </w:rPr>
        <w:t>. Especial relevancia tuvo la violencia ejercida en contra de los ancianos, como autoridades ancestrales y “columna vertebral de la cultura de los pueblos mayas”, quienes fueron de los primeros blancos de la persecución</w:t>
      </w:r>
      <w:r w:rsidRPr="00D13792">
        <w:rPr>
          <w:rStyle w:val="FootnoteReference"/>
          <w:sz w:val="20"/>
          <w:szCs w:val="20"/>
        </w:rPr>
        <w:footnoteReference w:id="76"/>
      </w:r>
      <w:r w:rsidRPr="00D13792">
        <w:rPr>
          <w:sz w:val="20"/>
          <w:szCs w:val="20"/>
        </w:rPr>
        <w:t>.</w:t>
      </w:r>
      <w:r w:rsidRPr="00D13792">
        <w:rPr>
          <w:sz w:val="20"/>
        </w:rPr>
        <w:t xml:space="preserve"> Al respecto, la CEH indicó que con la desaparición de las personas “se perdió también el conocimiento técnico-moderno y tradicional-acumulado a lo largo de años, así como la posibilidad de transmitirlo con naturalidad a las nuevas </w:t>
      </w:r>
      <w:r w:rsidRPr="00D13792">
        <w:rPr>
          <w:sz w:val="20"/>
        </w:rPr>
        <w:lastRenderedPageBreak/>
        <w:t>generaciones, [con lo cual] puede comenzar a dimensionarse la magnitud del impacto a largo plazo”</w:t>
      </w:r>
      <w:r w:rsidRPr="00D13792">
        <w:rPr>
          <w:rStyle w:val="FootnoteReference"/>
          <w:sz w:val="20"/>
        </w:rPr>
        <w:footnoteReference w:id="77"/>
      </w:r>
      <w:r w:rsidRPr="00D13792">
        <w:rPr>
          <w:sz w:val="20"/>
        </w:rPr>
        <w:t>.</w:t>
      </w:r>
    </w:p>
    <w:p w:rsidR="006A0E1C" w:rsidRPr="00D13792" w:rsidRDefault="006A0E1C" w:rsidP="006A0E1C">
      <w:pPr>
        <w:spacing w:line="240" w:lineRule="auto"/>
        <w:rPr>
          <w:sz w:val="20"/>
        </w:rPr>
      </w:pPr>
    </w:p>
    <w:p w:rsidR="006A0E1C" w:rsidRPr="00D13792" w:rsidRDefault="006A0E1C" w:rsidP="006A0E1C">
      <w:pPr>
        <w:numPr>
          <w:ilvl w:val="0"/>
          <w:numId w:val="6"/>
        </w:numPr>
        <w:tabs>
          <w:tab w:val="left" w:pos="567"/>
        </w:tabs>
        <w:spacing w:line="240" w:lineRule="auto"/>
        <w:ind w:right="4"/>
        <w:rPr>
          <w:sz w:val="20"/>
        </w:rPr>
      </w:pPr>
      <w:r w:rsidRPr="00D13792">
        <w:rPr>
          <w:sz w:val="20"/>
        </w:rPr>
        <w:t>La Corte analizará los hechos alegados en este caso no de manera aislada, sino teniendo en cuenta la existencia de un contexto sistemático de violaciones graves y masivas de los derechos humanos en Guatemala, a fin de posibilitar una comprensión de la prueba y la determinación puntual de los hechos</w:t>
      </w:r>
      <w:r w:rsidRPr="00D13792">
        <w:rPr>
          <w:sz w:val="20"/>
          <w:szCs w:val="20"/>
        </w:rPr>
        <w:t xml:space="preserve"> y sus efectos jurídicos.</w:t>
      </w:r>
      <w:r w:rsidRPr="00D13792">
        <w:rPr>
          <w:sz w:val="20"/>
        </w:rPr>
        <w:t xml:space="preserve"> De igual modo, dicho contexto se tomará en cuenta, de ser procedente, al disponer medidas de reparación, en específico, sobre la obligación de investigar y las garantías de no repetición.</w:t>
      </w:r>
    </w:p>
    <w:p w:rsidR="006A0E1C" w:rsidRPr="00D13792" w:rsidRDefault="006A0E1C" w:rsidP="006A0E1C">
      <w:pPr>
        <w:tabs>
          <w:tab w:val="left" w:pos="720"/>
        </w:tabs>
        <w:spacing w:line="240" w:lineRule="auto"/>
        <w:rPr>
          <w:i/>
          <w:iCs/>
          <w:sz w:val="20"/>
          <w:szCs w:val="20"/>
        </w:rPr>
      </w:pPr>
    </w:p>
    <w:p w:rsidR="006A0E1C" w:rsidRPr="00D13792" w:rsidRDefault="006A0E1C" w:rsidP="006A0E1C">
      <w:pPr>
        <w:pStyle w:val="Heading2"/>
        <w:numPr>
          <w:ilvl w:val="0"/>
          <w:numId w:val="37"/>
        </w:numPr>
        <w:tabs>
          <w:tab w:val="clear" w:pos="720"/>
          <w:tab w:val="left" w:pos="0"/>
        </w:tabs>
        <w:ind w:left="0" w:firstLine="0"/>
        <w:rPr>
          <w:lang w:val="es-CR"/>
        </w:rPr>
      </w:pPr>
      <w:bookmarkStart w:id="117" w:name="_Toc468443277"/>
      <w:bookmarkStart w:id="118" w:name="_Toc469670013"/>
      <w:r w:rsidRPr="00D13792">
        <w:rPr>
          <w:lang w:val="es-CR"/>
        </w:rPr>
        <w:t>La aldea Chichupac y comunidades vecinas del municipio de Rabinal</w:t>
      </w:r>
      <w:bookmarkEnd w:id="117"/>
      <w:bookmarkEnd w:id="118"/>
    </w:p>
    <w:p w:rsidR="006A0E1C" w:rsidRPr="00D13792" w:rsidRDefault="006A0E1C" w:rsidP="006A0E1C">
      <w:pPr>
        <w:tabs>
          <w:tab w:val="left" w:pos="1120"/>
        </w:tabs>
        <w:spacing w:line="240" w:lineRule="auto"/>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Durante el proceso ante la Corte se argumentaron hechos ocurridos en perjuicio de los habitantes indígenas maya achí de la aldea Chichupac y comunidades vecinas de Xeabaj, Chijom, Coyojá, El Tablón, Toloxcoc, Chirrum, </w:t>
      </w:r>
      <w:r w:rsidRPr="00D13792">
        <w:rPr>
          <w:iCs/>
          <w:sz w:val="20"/>
          <w:szCs w:val="20"/>
        </w:rPr>
        <w:t>El Chol</w:t>
      </w:r>
      <w:r w:rsidRPr="00D13792">
        <w:rPr>
          <w:sz w:val="20"/>
          <w:szCs w:val="20"/>
        </w:rPr>
        <w:t xml:space="preserve"> y El Apazote, en el municipio de Rabinal, Departamento de Baja Verapaz de Guatemala. Dichos hechos incluyen, entre otros, alegadas masacres, ejecuciones extrajudiciales y desapariciones forzadas, y se alega que a un gran número de las presuntas víctimas se les acusó de pertenecer a la guerrilla y fueron torturadas previo a su desaparición o ejecución. Es importante aclarar que, según la prueba presentada, durante el período en que habrían ocurrido dichas violaciones y en los lugares mencionados, también habrían ocurrido hechos adicionales atribuidos a agentes de seguridad del Estado en perjuicio de diversas personas, los cuales no fueron sometidos al conocimiento de este Tribunal en el presente caso. La Corte procederá a establecer exclusivamente los hechos del caso que le han sido sometidos en aras de lograr su puntual comprensión. Por otro lado, la Corte destaca que los datos de las presuntas víctimas que constan en la prueba varían en algunos casos respecto a sus nombres, edades y fechas de su muerte o desaparición, por lo que ha procedido a señalar aquellos datos que son consistentes en la prueba, así como en la información proporcionada por los representantes y la Comisión que no fue controvertida por el Estado, sin perjuicio de la nueva evidencia que pudiera sobrevenir al respecto.</w:t>
      </w:r>
    </w:p>
    <w:p w:rsidR="006A0E1C" w:rsidRPr="00D13792" w:rsidRDefault="006A0E1C" w:rsidP="006A0E1C">
      <w:pPr>
        <w:tabs>
          <w:tab w:val="left" w:pos="1120"/>
        </w:tabs>
        <w:spacing w:line="240" w:lineRule="auto"/>
        <w:rPr>
          <w:sz w:val="20"/>
          <w:szCs w:val="20"/>
        </w:rPr>
      </w:pPr>
    </w:p>
    <w:p w:rsidR="006A0E1C" w:rsidRPr="00D13792" w:rsidRDefault="006A0E1C" w:rsidP="006A0E1C">
      <w:pPr>
        <w:numPr>
          <w:ilvl w:val="0"/>
          <w:numId w:val="6"/>
        </w:numPr>
        <w:tabs>
          <w:tab w:val="left" w:pos="567"/>
        </w:tabs>
        <w:spacing w:line="240" w:lineRule="auto"/>
        <w:ind w:right="4"/>
        <w:rPr>
          <w:rFonts w:cs="Arial"/>
          <w:sz w:val="20"/>
          <w:szCs w:val="20"/>
        </w:rPr>
      </w:pPr>
      <w:r w:rsidRPr="00D13792">
        <w:rPr>
          <w:sz w:val="20"/>
          <w:szCs w:val="20"/>
        </w:rPr>
        <w:t>El municipio de Rabinal es uno de los ocho municipios del Departamento de Baja Verapaz que está situado en la región central de Guatemala. Este municipio está formado por la cabecera municipal o casco urbano, catorce aldeas y sesenta caseríos. En el año 1981 la zona estaba habitada predominantemente por miembros del pueblo indígena maya perteneciente a la comunidad lingüística achí</w:t>
      </w:r>
      <w:r w:rsidRPr="00D13792">
        <w:rPr>
          <w:rStyle w:val="FootnoteReference"/>
          <w:sz w:val="20"/>
          <w:szCs w:val="20"/>
        </w:rPr>
        <w:footnoteReference w:id="78"/>
      </w:r>
      <w:r w:rsidRPr="00D13792">
        <w:rPr>
          <w:sz w:val="20"/>
          <w:szCs w:val="20"/>
        </w:rPr>
        <w:t xml:space="preserve">. </w:t>
      </w:r>
    </w:p>
    <w:p w:rsidR="006A0E1C" w:rsidRPr="00D13792" w:rsidRDefault="006A0E1C" w:rsidP="006A0E1C">
      <w:pPr>
        <w:pStyle w:val="ListParagraph"/>
        <w:spacing w:after="0" w:line="240" w:lineRule="auto"/>
        <w:jc w:val="both"/>
        <w:rPr>
          <w:rFonts w:ascii="Verdana" w:hAnsi="Verdana"/>
          <w:sz w:val="20"/>
          <w:szCs w:val="20"/>
          <w:lang w:val="es-CR"/>
        </w:rPr>
      </w:pPr>
    </w:p>
    <w:p w:rsidR="006A0E1C" w:rsidRPr="00D13792" w:rsidRDefault="006A0E1C" w:rsidP="006A0E1C">
      <w:pPr>
        <w:numPr>
          <w:ilvl w:val="0"/>
          <w:numId w:val="6"/>
        </w:numPr>
        <w:tabs>
          <w:tab w:val="left" w:pos="567"/>
        </w:tabs>
        <w:spacing w:line="240" w:lineRule="auto"/>
        <w:ind w:right="4"/>
        <w:rPr>
          <w:rFonts w:cs="Arial"/>
          <w:sz w:val="20"/>
          <w:szCs w:val="20"/>
        </w:rPr>
      </w:pPr>
      <w:r w:rsidRPr="00D13792">
        <w:rPr>
          <w:sz w:val="20"/>
          <w:szCs w:val="20"/>
        </w:rPr>
        <w:t>Durante el enfrentamiento armado interno, fueron registrados altos niveles de violencia en el municipio de Rabinal</w:t>
      </w:r>
      <w:r w:rsidRPr="00D13792">
        <w:rPr>
          <w:rStyle w:val="FootnoteReference"/>
          <w:sz w:val="20"/>
          <w:szCs w:val="20"/>
        </w:rPr>
        <w:footnoteReference w:id="79"/>
      </w:r>
      <w:r w:rsidRPr="00D13792">
        <w:rPr>
          <w:sz w:val="20"/>
          <w:szCs w:val="20"/>
        </w:rPr>
        <w:t>. Al respecto, la CEH determinó que, a pesar de que Rabinal no era un área de combate, la región era utilizada como paso para el abastecimiento logístico, reclutamiento de cuadros o retaguardia, y que debido a la ubicación geográfica del municipio, el Ejército consideró toda el área como estratégica, por lo que “debía ser sometida a control pleno” e “identificó a la población de la región como enemigo interno”. Entre los años 1981 y 1983 grupos militares o paramilitares asesinaron por lo menos un 20% de la población del municipio,</w:t>
      </w:r>
      <w:r w:rsidRPr="00D13792">
        <w:rPr>
          <w:sz w:val="20"/>
          <w:szCs w:val="20"/>
          <w:vertAlign w:val="superscript"/>
        </w:rPr>
        <w:t xml:space="preserve"> </w:t>
      </w:r>
      <w:r w:rsidRPr="00D13792">
        <w:rPr>
          <w:sz w:val="20"/>
          <w:szCs w:val="20"/>
        </w:rPr>
        <w:t>y el 99.8% de la víctimas registradas por la CEH eran miembros del pueblo maya achí, población civil no combatiente</w:t>
      </w:r>
      <w:r w:rsidRPr="00D13792">
        <w:rPr>
          <w:sz w:val="20"/>
          <w:szCs w:val="20"/>
          <w:vertAlign w:val="superscript"/>
        </w:rPr>
        <w:footnoteReference w:id="80"/>
      </w:r>
      <w:r w:rsidRPr="00D13792">
        <w:rPr>
          <w:sz w:val="20"/>
          <w:szCs w:val="20"/>
        </w:rPr>
        <w:t xml:space="preserve">. </w:t>
      </w:r>
    </w:p>
    <w:p w:rsidR="006A0E1C" w:rsidRPr="00D13792" w:rsidRDefault="006A0E1C" w:rsidP="006A0E1C">
      <w:pPr>
        <w:spacing w:line="240" w:lineRule="auto"/>
        <w:rPr>
          <w:sz w:val="16"/>
          <w:szCs w:val="20"/>
        </w:rPr>
      </w:pPr>
    </w:p>
    <w:p w:rsidR="006A0E1C" w:rsidRPr="00D13792" w:rsidRDefault="006A0E1C" w:rsidP="006A0E1C">
      <w:pPr>
        <w:pStyle w:val="Heading3"/>
        <w:ind w:left="0"/>
        <w:rPr>
          <w:bCs/>
          <w:i/>
          <w:iCs/>
          <w:lang w:val="es-CR"/>
        </w:rPr>
      </w:pPr>
      <w:bookmarkStart w:id="119" w:name="_Toc460938849"/>
      <w:bookmarkStart w:id="120" w:name="_Toc468443278"/>
      <w:bookmarkStart w:id="121" w:name="_Toc469670014"/>
      <w:r w:rsidRPr="00D13792">
        <w:rPr>
          <w:bCs/>
          <w:i/>
          <w:iCs/>
          <w:lang w:val="es-CR"/>
        </w:rPr>
        <w:t xml:space="preserve">B.1. </w:t>
      </w:r>
      <w:r w:rsidRPr="00D13792">
        <w:rPr>
          <w:i/>
          <w:lang w:val="es-CR"/>
        </w:rPr>
        <w:t>Ejecución de Juan Alvarado Grave, Mateo Grave y Pedro Depaz Ciprián, y desaparición de Pedro Siana entre el 23 y 24 de agosto de 1981</w:t>
      </w:r>
      <w:bookmarkEnd w:id="119"/>
      <w:bookmarkEnd w:id="120"/>
      <w:bookmarkEnd w:id="121"/>
    </w:p>
    <w:p w:rsidR="006A0E1C" w:rsidRPr="00D13792" w:rsidRDefault="006A0E1C" w:rsidP="006A0E1C">
      <w:pPr>
        <w:spacing w:line="240" w:lineRule="auto"/>
        <w:rPr>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El </w:t>
      </w:r>
      <w:r w:rsidRPr="00D13792">
        <w:rPr>
          <w:bCs/>
          <w:sz w:val="20"/>
          <w:szCs w:val="20"/>
        </w:rPr>
        <w:t>23 de agosto de 1981</w:t>
      </w:r>
      <w:r w:rsidRPr="00D13792">
        <w:rPr>
          <w:sz w:val="20"/>
          <w:szCs w:val="20"/>
        </w:rPr>
        <w:t xml:space="preserve"> el señor Juan Alvarado Grave fue ejecutado por un grupo de “judiciales”. Al enterarse de este hecho, su hermano Mateo Grave y los señores Pedro Depaz Ciprián (</w:t>
      </w:r>
      <w:r w:rsidRPr="00D13792">
        <w:rPr>
          <w:rFonts w:cs="Calibri"/>
          <w:sz w:val="20"/>
          <w:szCs w:val="20"/>
        </w:rPr>
        <w:t>o Pedro de Paz Cipriano o</w:t>
      </w:r>
      <w:r w:rsidRPr="00D13792">
        <w:rPr>
          <w:sz w:val="20"/>
          <w:szCs w:val="20"/>
        </w:rPr>
        <w:t xml:space="preserve"> </w:t>
      </w:r>
      <w:r w:rsidRPr="00D13792">
        <w:rPr>
          <w:rFonts w:cs="Calibri"/>
          <w:sz w:val="20"/>
          <w:szCs w:val="20"/>
        </w:rPr>
        <w:t>Pedro de Paz</w:t>
      </w:r>
      <w:r w:rsidRPr="00D13792">
        <w:rPr>
          <w:sz w:val="20"/>
          <w:szCs w:val="20"/>
        </w:rPr>
        <w:t xml:space="preserve"> </w:t>
      </w:r>
      <w:r w:rsidRPr="00D13792">
        <w:rPr>
          <w:rFonts w:cs="Calibri"/>
          <w:sz w:val="20"/>
          <w:szCs w:val="20"/>
        </w:rPr>
        <w:t>Cipriáno)</w:t>
      </w:r>
      <w:r w:rsidRPr="00D13792">
        <w:rPr>
          <w:sz w:val="20"/>
          <w:szCs w:val="20"/>
        </w:rPr>
        <w:t xml:space="preserve"> y Pedro Siana, de la </w:t>
      </w:r>
      <w:r w:rsidRPr="00D13792">
        <w:rPr>
          <w:rFonts w:cs="Arial"/>
          <w:sz w:val="20"/>
          <w:szCs w:val="20"/>
        </w:rPr>
        <w:t>aldea Xeabaj,</w:t>
      </w:r>
      <w:r w:rsidRPr="00D13792">
        <w:rPr>
          <w:sz w:val="20"/>
          <w:szCs w:val="20"/>
        </w:rPr>
        <w:t xml:space="preserve"> se dirigieron al Hospital de Salamá en Baja Verapaz con el fin de localizar el cadáver del señor Juan Alvarado. En el camino, los tres hombres fueron detenidos por un grupo de diez “judiciales” entre la cumbre de Rabinal y el municipio de San Miguel Chicaj. Los cuerpos sin vida de Mateo Grave y Pedro Depaz Ciprián fueron trasladados al Hospital de Salamá</w:t>
      </w:r>
      <w:r w:rsidRPr="00D13792">
        <w:rPr>
          <w:sz w:val="20"/>
          <w:szCs w:val="20"/>
          <w:vertAlign w:val="superscript"/>
        </w:rPr>
        <w:footnoteReference w:id="81"/>
      </w:r>
      <w:r w:rsidRPr="00D13792">
        <w:rPr>
          <w:sz w:val="20"/>
          <w:szCs w:val="20"/>
        </w:rPr>
        <w:t xml:space="preserve">. A la fecha se desconoce el paradero del cuerpo del señor Pedro Siana. </w:t>
      </w:r>
    </w:p>
    <w:p w:rsidR="006A0E1C" w:rsidRPr="00D13792" w:rsidRDefault="006A0E1C" w:rsidP="006A0E1C">
      <w:pPr>
        <w:spacing w:line="240" w:lineRule="auto"/>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Según declaraciones de la señora Juana García Depaz, su esposo Mateo Grave falleció el 24 de agosto de 1981 a causa de “heridas por proyectil de arma de fuego” y su cadáver fue enterrado en el cementerio de San Salamá en Baja Verapaz, por órdenes del Juez de Paz del municipio de San Miguel Chicaj. Al respecto, indicó que al percatarse de la ausencia de su esposo, se apersonó ante el Juez de Paz, la Policía Nacional y la oficina de correos de la cabecera municipal de Rabinal. Posteriormente, al enterarse que su esposo se encontraba en el Hospital de Salamá, identificado como “XXX”, se dirigió a dicho hospital y al llegar “fue amenazada y perseguida por tres judiciales quienes se encontraban en estado de ebriedad”.</w:t>
      </w:r>
    </w:p>
    <w:p w:rsidR="006A0E1C" w:rsidRPr="00D13792" w:rsidRDefault="006A0E1C" w:rsidP="006A0E1C">
      <w:pPr>
        <w:spacing w:line="240" w:lineRule="auto"/>
        <w:rPr>
          <w:sz w:val="16"/>
          <w:szCs w:val="20"/>
        </w:rPr>
      </w:pPr>
    </w:p>
    <w:p w:rsidR="006A0E1C" w:rsidRPr="00D13792" w:rsidRDefault="006A0E1C" w:rsidP="006A0E1C">
      <w:pPr>
        <w:pStyle w:val="Heading3"/>
        <w:ind w:left="0"/>
        <w:rPr>
          <w:i/>
          <w:lang w:val="es-CR"/>
        </w:rPr>
      </w:pPr>
      <w:bookmarkStart w:id="122" w:name="_Toc460938850"/>
      <w:bookmarkStart w:id="123" w:name="_Toc468443279"/>
      <w:bookmarkStart w:id="124" w:name="_Toc469670015"/>
      <w:r w:rsidRPr="00D13792">
        <w:rPr>
          <w:bCs/>
          <w:i/>
          <w:iCs/>
          <w:lang w:val="es-CR"/>
        </w:rPr>
        <w:t xml:space="preserve">B.2. </w:t>
      </w:r>
      <w:r w:rsidRPr="00D13792">
        <w:rPr>
          <w:i/>
          <w:lang w:val="es-CR"/>
        </w:rPr>
        <w:t>Ejecución de tres miembros de la familia Alvarado y tres miembros de la familia Reyes el 1 de enero de 1982</w:t>
      </w:r>
      <w:bookmarkEnd w:id="122"/>
      <w:bookmarkEnd w:id="123"/>
      <w:bookmarkEnd w:id="124"/>
    </w:p>
    <w:p w:rsidR="006A0E1C" w:rsidRPr="00D13792" w:rsidRDefault="006A0E1C" w:rsidP="006A0E1C">
      <w:pPr>
        <w:tabs>
          <w:tab w:val="left" w:pos="2009"/>
        </w:tabs>
        <w:spacing w:line="240" w:lineRule="auto"/>
        <w:rPr>
          <w:rFonts w:eastAsia="Calibri" w:cs="Arial"/>
          <w:b/>
          <w:i/>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El </w:t>
      </w:r>
      <w:r w:rsidRPr="00D13792">
        <w:rPr>
          <w:bCs/>
          <w:sz w:val="20"/>
          <w:szCs w:val="20"/>
        </w:rPr>
        <w:t>1 de enero de 1982</w:t>
      </w:r>
      <w:r w:rsidRPr="00D13792">
        <w:rPr>
          <w:sz w:val="20"/>
          <w:szCs w:val="20"/>
        </w:rPr>
        <w:t xml:space="preserve"> miembros del Ejército y de las patrullas de autodefensa civil (en adelante “las PAC”) en la aldea </w:t>
      </w:r>
      <w:r w:rsidRPr="00D13792">
        <w:rPr>
          <w:rFonts w:eastAsia="Arial" w:cs="Arial"/>
          <w:sz w:val="20"/>
          <w:szCs w:val="20"/>
        </w:rPr>
        <w:t>Xeabaj</w:t>
      </w:r>
      <w:r w:rsidRPr="00D13792">
        <w:rPr>
          <w:sz w:val="20"/>
          <w:szCs w:val="20"/>
        </w:rPr>
        <w:t xml:space="preserve"> ingresaron a la vivienda del señor Víctor Alvarado Valey (</w:t>
      </w:r>
      <w:r w:rsidRPr="00D13792">
        <w:rPr>
          <w:rFonts w:cs="Calibri"/>
          <w:sz w:val="20"/>
          <w:szCs w:val="20"/>
        </w:rPr>
        <w:t>o Victor Alvarado Valey)</w:t>
      </w:r>
      <w:r w:rsidRPr="00D13792">
        <w:rPr>
          <w:sz w:val="20"/>
          <w:szCs w:val="20"/>
        </w:rPr>
        <w:t xml:space="preserve"> y lo mataron junto a sus dos hijos, Ceferino (o </w:t>
      </w:r>
      <w:r w:rsidRPr="00D13792">
        <w:rPr>
          <w:rFonts w:eastAsia="Arial" w:cs="Arial"/>
          <w:sz w:val="20"/>
          <w:szCs w:val="20"/>
        </w:rPr>
        <w:t xml:space="preserve">Seferino) </w:t>
      </w:r>
      <w:r w:rsidRPr="00D13792">
        <w:rPr>
          <w:sz w:val="20"/>
          <w:szCs w:val="20"/>
        </w:rPr>
        <w:t xml:space="preserve">y Fidel, este de 17 años de edad, ambos Alvarado Sucup (o </w:t>
      </w:r>
      <w:r w:rsidRPr="00D13792">
        <w:rPr>
          <w:rFonts w:cs="Calibri"/>
          <w:sz w:val="20"/>
          <w:szCs w:val="20"/>
        </w:rPr>
        <w:t>Sucúp)</w:t>
      </w:r>
      <w:r w:rsidRPr="00D13792">
        <w:rPr>
          <w:sz w:val="20"/>
          <w:szCs w:val="20"/>
        </w:rPr>
        <w:t xml:space="preserve">. Ese mismo día, miembros del Ejército Nacional y de las PAC ingresaron a la vivienda del señor Domingo Reyes Juárez (o </w:t>
      </w:r>
      <w:r w:rsidRPr="00D13792">
        <w:rPr>
          <w:rFonts w:cs="Calibri"/>
          <w:sz w:val="20"/>
          <w:szCs w:val="20"/>
        </w:rPr>
        <w:t>Domingo Juárez Reyes)</w:t>
      </w:r>
      <w:r w:rsidRPr="00D13792">
        <w:rPr>
          <w:sz w:val="20"/>
          <w:szCs w:val="20"/>
        </w:rPr>
        <w:t xml:space="preserve"> en el caserío Toloxcoc y lo mataron junto a sus dos hijos, Andrés y Santiago, este de 15 años de edad, ambos Reyes Román. Sus cadáveres fueron encontrados a 300 metros de su vivienda con impactos de armas de fuego en sus cabezas, “con sus intestinos por fuera” y “con las manos atadas hacia atrás”. Los cuerpos de los seis hombres fueron enterrados por familiares y vecinos en una fosa ubicada en la montaña Cumatzá,</w:t>
      </w:r>
      <w:r w:rsidRPr="00D13792">
        <w:rPr>
          <w:rFonts w:eastAsia="Segoe UI" w:cs="Segoe UI"/>
          <w:sz w:val="20"/>
          <w:szCs w:val="20"/>
        </w:rPr>
        <w:t xml:space="preserve"> en la aldea Xeabaj</w:t>
      </w:r>
      <w:r w:rsidRPr="00D13792">
        <w:rPr>
          <w:sz w:val="20"/>
          <w:szCs w:val="20"/>
          <w:vertAlign w:val="superscript"/>
        </w:rPr>
        <w:footnoteReference w:id="82"/>
      </w:r>
      <w:r w:rsidRPr="00D13792">
        <w:rPr>
          <w:sz w:val="20"/>
          <w:szCs w:val="20"/>
        </w:rPr>
        <w:t>. En el año 2002 miembros de la Fundación de Antropología Forense de Guatemala (en adelante “la FAFG”) identificaron dicha fosa, la cual hacía parte de un cementerio clandestino, y mediante el reconocimiento judicial practicado en el año 2003, las osamentas fueron reconocidas por sus familiares</w:t>
      </w:r>
      <w:r w:rsidRPr="00D13792">
        <w:rPr>
          <w:sz w:val="20"/>
          <w:szCs w:val="20"/>
          <w:vertAlign w:val="superscript"/>
        </w:rPr>
        <w:footnoteReference w:id="83"/>
      </w:r>
      <w:r w:rsidRPr="00D13792">
        <w:rPr>
          <w:sz w:val="20"/>
          <w:szCs w:val="20"/>
        </w:rPr>
        <w:t>.</w:t>
      </w:r>
    </w:p>
    <w:p w:rsidR="006A0E1C" w:rsidRPr="00D13792" w:rsidRDefault="006A0E1C" w:rsidP="006A0E1C">
      <w:pPr>
        <w:spacing w:line="240" w:lineRule="auto"/>
        <w:rPr>
          <w:sz w:val="16"/>
          <w:szCs w:val="20"/>
        </w:rPr>
      </w:pPr>
    </w:p>
    <w:p w:rsidR="006A0E1C" w:rsidRPr="00D13792" w:rsidRDefault="006A0E1C" w:rsidP="006A0E1C">
      <w:pPr>
        <w:pStyle w:val="Heading3"/>
        <w:ind w:left="0"/>
        <w:rPr>
          <w:i/>
          <w:lang w:val="es-CR"/>
        </w:rPr>
      </w:pPr>
      <w:bookmarkStart w:id="125" w:name="_Toc460938851"/>
      <w:bookmarkStart w:id="126" w:name="_Toc468443280"/>
      <w:bookmarkStart w:id="127" w:name="_Toc469670016"/>
      <w:r w:rsidRPr="00D13792">
        <w:rPr>
          <w:bCs/>
          <w:i/>
          <w:iCs/>
          <w:lang w:val="es-CR"/>
        </w:rPr>
        <w:t xml:space="preserve">B.3. </w:t>
      </w:r>
      <w:r w:rsidRPr="00D13792">
        <w:rPr>
          <w:i/>
          <w:lang w:val="es-CR"/>
        </w:rPr>
        <w:t>Detención de Ciriaco Galiego López y desaparición de Lorenzo Depaz Siprian desde el 8 de enero de 1982</w:t>
      </w:r>
      <w:bookmarkEnd w:id="125"/>
      <w:bookmarkEnd w:id="126"/>
      <w:bookmarkEnd w:id="127"/>
    </w:p>
    <w:p w:rsidR="006A0E1C" w:rsidRPr="00D13792" w:rsidRDefault="006A0E1C" w:rsidP="006A0E1C">
      <w:pPr>
        <w:spacing w:line="240" w:lineRule="auto"/>
        <w:rPr>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El </w:t>
      </w:r>
      <w:r w:rsidRPr="00D13792">
        <w:rPr>
          <w:bCs/>
          <w:sz w:val="20"/>
          <w:szCs w:val="20"/>
        </w:rPr>
        <w:t>8 de enero de 1982,</w:t>
      </w:r>
      <w:r w:rsidRPr="00D13792">
        <w:rPr>
          <w:sz w:val="20"/>
          <w:szCs w:val="20"/>
        </w:rPr>
        <w:t xml:space="preserve"> aproximadamente a la </w:t>
      </w:r>
      <w:r w:rsidRPr="00D13792">
        <w:rPr>
          <w:iCs/>
          <w:sz w:val="20"/>
          <w:szCs w:val="20"/>
        </w:rPr>
        <w:t>1:00 de la madrugada</w:t>
      </w:r>
      <w:r w:rsidRPr="00D13792">
        <w:rPr>
          <w:sz w:val="20"/>
          <w:szCs w:val="20"/>
        </w:rPr>
        <w:t xml:space="preserve">, el señor Ciriaco Galiego López y su yerno </w:t>
      </w:r>
      <w:r w:rsidRPr="00D13792">
        <w:rPr>
          <w:rFonts w:eastAsia="Calibri"/>
          <w:sz w:val="20"/>
          <w:szCs w:val="20"/>
        </w:rPr>
        <w:t xml:space="preserve">Lorenzo Depaz Siprian (o Lorenzo Depaz Ciprian o </w:t>
      </w:r>
      <w:r w:rsidRPr="00D13792">
        <w:rPr>
          <w:sz w:val="20"/>
          <w:szCs w:val="20"/>
        </w:rPr>
        <w:t xml:space="preserve">Florencio Depaz </w:t>
      </w:r>
      <w:r w:rsidRPr="00D13792">
        <w:rPr>
          <w:sz w:val="20"/>
          <w:szCs w:val="20"/>
        </w:rPr>
        <w:lastRenderedPageBreak/>
        <w:t>Cipriano) salieron de su vivienda ubicada en la aldea Chichupac y se dirigieron a la cabecera del municipio de Rabinal con el fin de vender un toro. En el camino fueron interceptados por miembros del Ejército Nacional y de las PAC, quienes les quitaron el animal y los condujeron a la cárcel localizada en el cabildo municipal. El señor Ciriaco Galiego fue puesto en libertad por la noche, mientras que a la fecha se desconoce el paradero del señor Lorenzo Depaz</w:t>
      </w:r>
      <w:r w:rsidRPr="00D13792">
        <w:rPr>
          <w:rStyle w:val="FootnoteReference"/>
          <w:sz w:val="20"/>
          <w:szCs w:val="20"/>
        </w:rPr>
        <w:footnoteReference w:id="84"/>
      </w:r>
      <w:r w:rsidRPr="00D13792">
        <w:rPr>
          <w:sz w:val="20"/>
          <w:szCs w:val="20"/>
        </w:rPr>
        <w:t>.</w:t>
      </w:r>
    </w:p>
    <w:p w:rsidR="006A0E1C" w:rsidRPr="00D13792" w:rsidRDefault="006A0E1C" w:rsidP="006A0E1C">
      <w:pPr>
        <w:spacing w:line="240" w:lineRule="auto"/>
        <w:rPr>
          <w:sz w:val="16"/>
          <w:szCs w:val="20"/>
        </w:rPr>
      </w:pPr>
    </w:p>
    <w:p w:rsidR="006A0E1C" w:rsidRPr="00D13792" w:rsidRDefault="006A0E1C" w:rsidP="006A0E1C">
      <w:pPr>
        <w:pStyle w:val="Heading3"/>
        <w:ind w:left="0"/>
        <w:rPr>
          <w:i/>
          <w:lang w:val="es-CR"/>
        </w:rPr>
      </w:pPr>
      <w:bookmarkStart w:id="128" w:name="_Toc460938852"/>
      <w:bookmarkStart w:id="129" w:name="_Toc468443281"/>
      <w:bookmarkStart w:id="130" w:name="_Toc469670017"/>
      <w:r w:rsidRPr="00D13792">
        <w:rPr>
          <w:i/>
          <w:lang w:val="es-CR"/>
        </w:rPr>
        <w:t>B.4. Masacre de la Clínica de la aldea Chichupac el 8 de enero de 1982</w:t>
      </w:r>
      <w:bookmarkEnd w:id="128"/>
      <w:bookmarkEnd w:id="129"/>
      <w:bookmarkEnd w:id="130"/>
    </w:p>
    <w:p w:rsidR="006A0E1C" w:rsidRPr="00D13792" w:rsidRDefault="006A0E1C" w:rsidP="006A0E1C">
      <w:pPr>
        <w:spacing w:line="240" w:lineRule="auto"/>
        <w:rPr>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Los habitantes de la aldea Chichupac y de comunidades vecinas fueron convocados para asistir el </w:t>
      </w:r>
      <w:r w:rsidRPr="00D13792">
        <w:rPr>
          <w:bCs/>
          <w:sz w:val="20"/>
          <w:szCs w:val="20"/>
        </w:rPr>
        <w:t>8 de enero de 1982</w:t>
      </w:r>
      <w:r w:rsidRPr="00D13792">
        <w:rPr>
          <w:sz w:val="20"/>
          <w:szCs w:val="20"/>
        </w:rPr>
        <w:t xml:space="preserve"> a una reunión en la clínica del pueblo. Se les informó que ahí iban a recibir regalos. Ese día, miembros del Ejército de Guatemala asignados al destacamento de Rabinal, judiciales y comisionados militares reunieron a la comunidad. Los miembros de las PAC adornaron el camino que lleva a la clínica y marimbas tocaban para crear un ambiente de fiesta. Al terminar de repartir juguetes a las niñas y niños, los militares dieron la orden a las mujeres de retirarse a sus casas y llevarse a estos.</w:t>
      </w:r>
    </w:p>
    <w:p w:rsidR="006A0E1C" w:rsidRPr="00D13792" w:rsidRDefault="006A0E1C" w:rsidP="006A0E1C">
      <w:pPr>
        <w:spacing w:line="240" w:lineRule="auto"/>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Los militares llamaron a 32 hombres vecinos de la aldea, siguiendo un listado, y una vez separados del grupo, los encerraron en la clínica de la aldea. Posteriormente, los 32 vecinos fueron obligados por miembros del Ejército a caminar con las manos amarradas hacia una cumbre cercana a la clínica. Algunos murieron estrangulados y otros a causa de disparos por armas de fuego. Los cadáveres fueron enterrados en dos fosas. Al día siguiente, hombres miembros de la comunidad, forzados a participar en las PAC, fueron obligados por los militares a lavar la clínica, la cual se encontraba llena de sangre y pedazos de carne, entre ellos, orejas, narices y lenguas</w:t>
      </w:r>
      <w:r w:rsidRPr="00D13792">
        <w:rPr>
          <w:sz w:val="20"/>
          <w:szCs w:val="20"/>
          <w:vertAlign w:val="superscript"/>
        </w:rPr>
        <w:footnoteReference w:id="85"/>
      </w:r>
      <w:r w:rsidRPr="00D13792">
        <w:rPr>
          <w:sz w:val="20"/>
          <w:szCs w:val="20"/>
        </w:rPr>
        <w:t>. Días después, familiares y vecinos encontraron las dos fosas, y al ver que estas no eran suficientemente profundas, cavaron una tercera fosa en la cual los enterraron</w:t>
      </w:r>
      <w:r w:rsidRPr="00D13792">
        <w:rPr>
          <w:sz w:val="20"/>
          <w:szCs w:val="20"/>
          <w:vertAlign w:val="superscript"/>
        </w:rPr>
        <w:footnoteReference w:id="86"/>
      </w:r>
      <w:r w:rsidRPr="00D13792">
        <w:rPr>
          <w:sz w:val="20"/>
          <w:szCs w:val="20"/>
        </w:rPr>
        <w:t xml:space="preserve">. </w:t>
      </w:r>
    </w:p>
    <w:p w:rsidR="006A0E1C" w:rsidRPr="00D13792" w:rsidRDefault="006A0E1C" w:rsidP="006A0E1C">
      <w:pPr>
        <w:pStyle w:val="ListParagraph"/>
        <w:spacing w:after="0" w:line="240" w:lineRule="auto"/>
        <w:jc w:val="both"/>
        <w:rPr>
          <w:rFonts w:ascii="Verdana" w:hAnsi="Verdana"/>
          <w:sz w:val="20"/>
          <w:szCs w:val="20"/>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En el año 1993 el Equipo de Antropología Forense de Guatemala (en adelante “EAFG”) identificó tres fosas/sitios en donde se exhumaron restos óseos, prendas de vestir, artículos personales y casquillos de proyectil de arma de fuego. </w:t>
      </w:r>
      <w:r w:rsidRPr="00D13792">
        <w:rPr>
          <w:rFonts w:cs="Arial"/>
          <w:sz w:val="20"/>
          <w:szCs w:val="20"/>
        </w:rPr>
        <w:t>Según los análisis forenses realizados, se logró establecer un número mínimo de 30 individuos. De estos, el número mínimo de individuos enterrados en los sitios I y III fue de 20, y en el sitio II se hizo el hallazgo de 10 osamentas completas. A su vez, se logró la identificación de las siguientes seis personas:</w:t>
      </w:r>
      <w:r w:rsidRPr="00D13792">
        <w:rPr>
          <w:sz w:val="20"/>
          <w:szCs w:val="20"/>
        </w:rPr>
        <w:t xml:space="preserve"> Domingo Cahuec Sic, Víctor Juárez Pangán, Cruz Sic Cuxum, Patrocinio Chen Galiego, Agustín Juárez Ixpancoc y Pedro Galiego López. Al respecto, en sus conclusiones, el EAFG sostuvo que: “[l]os análisis </w:t>
      </w:r>
      <w:r w:rsidRPr="00D13792">
        <w:rPr>
          <w:rFonts w:cs="Arial"/>
          <w:iCs/>
          <w:sz w:val="20"/>
          <w:szCs w:val="20"/>
        </w:rPr>
        <w:t xml:space="preserve">de </w:t>
      </w:r>
      <w:r w:rsidRPr="00D13792">
        <w:rPr>
          <w:sz w:val="20"/>
          <w:szCs w:val="20"/>
        </w:rPr>
        <w:t xml:space="preserve">laboratorio indican que las personas murieron violentamente, muestra de ello son </w:t>
      </w:r>
      <w:r w:rsidRPr="00D13792">
        <w:rPr>
          <w:rFonts w:eastAsia="HiddenHorzOCR" w:cs="HiddenHorzOCR"/>
          <w:sz w:val="20"/>
          <w:szCs w:val="20"/>
        </w:rPr>
        <w:t xml:space="preserve">las </w:t>
      </w:r>
      <w:r w:rsidRPr="00D13792">
        <w:rPr>
          <w:sz w:val="20"/>
          <w:szCs w:val="20"/>
        </w:rPr>
        <w:t xml:space="preserve">sogas aún atadas al cuello, manos atadas a </w:t>
      </w:r>
      <w:r w:rsidRPr="00D13792">
        <w:rPr>
          <w:rFonts w:cs="Arial"/>
          <w:iCs/>
          <w:sz w:val="20"/>
          <w:szCs w:val="20"/>
        </w:rPr>
        <w:t xml:space="preserve">la </w:t>
      </w:r>
      <w:r w:rsidRPr="00D13792">
        <w:rPr>
          <w:sz w:val="20"/>
          <w:szCs w:val="20"/>
        </w:rPr>
        <w:t xml:space="preserve">espalda, tiros de gracia, fracturas en diferentes partes del cuerpo, </w:t>
      </w:r>
      <w:r w:rsidRPr="00D13792">
        <w:rPr>
          <w:iCs/>
          <w:sz w:val="20"/>
          <w:szCs w:val="20"/>
        </w:rPr>
        <w:t xml:space="preserve">etc., </w:t>
      </w:r>
      <w:r w:rsidRPr="00D13792">
        <w:rPr>
          <w:sz w:val="20"/>
          <w:szCs w:val="20"/>
        </w:rPr>
        <w:t xml:space="preserve">que presentan algunas osamentas”, y que “[l]a evidencia sugiere que el sitio II fue cavado varios días después que los </w:t>
      </w:r>
      <w:r w:rsidRPr="00D13792">
        <w:rPr>
          <w:iCs/>
          <w:sz w:val="20"/>
          <w:szCs w:val="20"/>
        </w:rPr>
        <w:t xml:space="preserve">sitios </w:t>
      </w:r>
      <w:r w:rsidRPr="00D13792">
        <w:rPr>
          <w:sz w:val="20"/>
          <w:szCs w:val="20"/>
        </w:rPr>
        <w:t xml:space="preserve">I </w:t>
      </w:r>
      <w:r w:rsidRPr="00D13792">
        <w:rPr>
          <w:rFonts w:cs="Arial"/>
          <w:sz w:val="20"/>
          <w:szCs w:val="20"/>
        </w:rPr>
        <w:t xml:space="preserve">y </w:t>
      </w:r>
      <w:r w:rsidRPr="00D13792">
        <w:rPr>
          <w:sz w:val="20"/>
          <w:szCs w:val="20"/>
        </w:rPr>
        <w:t xml:space="preserve">III, </w:t>
      </w:r>
      <w:r w:rsidRPr="00D13792">
        <w:rPr>
          <w:rFonts w:cs="Arial"/>
          <w:iCs/>
          <w:sz w:val="20"/>
          <w:szCs w:val="20"/>
        </w:rPr>
        <w:t xml:space="preserve">y </w:t>
      </w:r>
      <w:r w:rsidRPr="00D13792">
        <w:rPr>
          <w:sz w:val="20"/>
          <w:szCs w:val="20"/>
        </w:rPr>
        <w:t xml:space="preserve">en él se depositaron cadáveres con huellas de haber estado parcialmente expuestos en superficie, </w:t>
      </w:r>
      <w:r w:rsidRPr="00D13792">
        <w:rPr>
          <w:rFonts w:cs="Arial"/>
          <w:iCs/>
          <w:sz w:val="20"/>
          <w:szCs w:val="20"/>
        </w:rPr>
        <w:t xml:space="preserve">y </w:t>
      </w:r>
      <w:r w:rsidRPr="00D13792">
        <w:rPr>
          <w:sz w:val="20"/>
          <w:szCs w:val="20"/>
        </w:rPr>
        <w:t xml:space="preserve">por </w:t>
      </w:r>
      <w:r w:rsidRPr="00D13792">
        <w:rPr>
          <w:sz w:val="20"/>
          <w:szCs w:val="20"/>
        </w:rPr>
        <w:lastRenderedPageBreak/>
        <w:t>esta razón, en algunos casos se pudo observar señales ocasionadas por dientes de animales”</w:t>
      </w:r>
      <w:r w:rsidRPr="00D13792">
        <w:rPr>
          <w:rStyle w:val="FootnoteReference"/>
          <w:sz w:val="20"/>
          <w:szCs w:val="20"/>
        </w:rPr>
        <w:footnoteReference w:id="87"/>
      </w:r>
      <w:r w:rsidRPr="00D13792">
        <w:rPr>
          <w:sz w:val="20"/>
          <w:szCs w:val="20"/>
        </w:rPr>
        <w:t>. En definitiva, los hallazgos del EAFG del año 1993 son consistentes con el relato de los hechos.</w:t>
      </w:r>
    </w:p>
    <w:p w:rsidR="006A0E1C" w:rsidRPr="00D13792" w:rsidRDefault="006A0E1C" w:rsidP="006A0E1C">
      <w:pPr>
        <w:spacing w:line="240" w:lineRule="auto"/>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Las 32 presuntas víctimas de esta masacre fueron los señores</w:t>
      </w:r>
      <w:r w:rsidRPr="00D13792">
        <w:rPr>
          <w:sz w:val="20"/>
          <w:szCs w:val="20"/>
          <w:vertAlign w:val="superscript"/>
        </w:rPr>
        <w:footnoteReference w:id="88"/>
      </w:r>
      <w:r w:rsidRPr="00D13792">
        <w:rPr>
          <w:sz w:val="20"/>
          <w:szCs w:val="20"/>
        </w:rPr>
        <w:t xml:space="preserve">: Víctor Juárez Pangán </w:t>
      </w:r>
      <w:r w:rsidRPr="00D13792">
        <w:rPr>
          <w:rFonts w:cs="Calibri"/>
          <w:sz w:val="20"/>
          <w:szCs w:val="20"/>
        </w:rPr>
        <w:t>o Víctor Juárez Pancán</w:t>
      </w:r>
      <w:r w:rsidRPr="00D13792">
        <w:rPr>
          <w:sz w:val="20"/>
          <w:szCs w:val="20"/>
        </w:rPr>
        <w:t xml:space="preserve">; Clemente Juárez lxpancoc; Cruz Sic Cuxum </w:t>
      </w:r>
      <w:r w:rsidRPr="00D13792">
        <w:rPr>
          <w:rFonts w:cs="Calibri"/>
          <w:sz w:val="20"/>
          <w:szCs w:val="20"/>
        </w:rPr>
        <w:t>o Cruz Sic Cuxún</w:t>
      </w:r>
      <w:r w:rsidRPr="00D13792">
        <w:rPr>
          <w:sz w:val="20"/>
          <w:szCs w:val="20"/>
        </w:rPr>
        <w:t xml:space="preserve">; Pedro Sic Jerónimo; Gregorio Garniga Valey o </w:t>
      </w:r>
      <w:r w:rsidRPr="00D13792">
        <w:rPr>
          <w:rFonts w:eastAsia="Arial" w:cs="Arial"/>
          <w:sz w:val="20"/>
          <w:szCs w:val="20"/>
        </w:rPr>
        <w:t>Gregorio Valey</w:t>
      </w:r>
      <w:r w:rsidRPr="00D13792">
        <w:rPr>
          <w:sz w:val="20"/>
          <w:szCs w:val="20"/>
        </w:rPr>
        <w:t xml:space="preserve">; Timoteo Sic Cujá o </w:t>
      </w:r>
      <w:r w:rsidRPr="00D13792">
        <w:rPr>
          <w:rFonts w:eastAsia="Arial" w:cs="Arial"/>
          <w:sz w:val="20"/>
          <w:szCs w:val="20"/>
        </w:rPr>
        <w:t>Mateo</w:t>
      </w:r>
      <w:r w:rsidRPr="00D13792">
        <w:rPr>
          <w:sz w:val="20"/>
          <w:szCs w:val="20"/>
          <w:vertAlign w:val="superscript"/>
        </w:rPr>
        <w:t xml:space="preserve"> </w:t>
      </w:r>
      <w:r w:rsidRPr="00D13792">
        <w:rPr>
          <w:sz w:val="20"/>
          <w:szCs w:val="20"/>
        </w:rPr>
        <w:t>Sic Cujá; Roberto Galiego Chen</w:t>
      </w:r>
      <w:r w:rsidRPr="00D13792">
        <w:rPr>
          <w:rFonts w:cs="Calibri"/>
          <w:sz w:val="20"/>
          <w:szCs w:val="20"/>
        </w:rPr>
        <w:t>;</w:t>
      </w:r>
      <w:r w:rsidRPr="00D13792">
        <w:rPr>
          <w:sz w:val="20"/>
          <w:szCs w:val="20"/>
        </w:rPr>
        <w:t xml:space="preserve"> Antonio Alvarado González; Alfonso Cruz Juárez; Domingo Cahuec Sic o Domingo Cahuec Sic; Santiago Alvarado Xitumul; Agustín Juárez lxpancoc; Teodoro González Xitumul; Eulogio Morales Alvarado; Luciano González o Luciano González Sis; Apolinario Juárez Pérez; Alberto Juárez Pérez; Evaristo Depaz Siana o Evaristo Siana; Pedro Tum o Pedro Pérez Ampérez; Emigdio Siana lxtecoc o </w:t>
      </w:r>
      <w:r w:rsidRPr="00D13792">
        <w:rPr>
          <w:rFonts w:eastAsia="Arial" w:cs="Arial"/>
          <w:sz w:val="20"/>
          <w:szCs w:val="20"/>
        </w:rPr>
        <w:t>Emilio</w:t>
      </w:r>
      <w:r w:rsidRPr="00D13792">
        <w:rPr>
          <w:sz w:val="20"/>
          <w:szCs w:val="20"/>
          <w:vertAlign w:val="superscript"/>
        </w:rPr>
        <w:t xml:space="preserve"> </w:t>
      </w:r>
      <w:r w:rsidRPr="00D13792">
        <w:rPr>
          <w:sz w:val="20"/>
          <w:szCs w:val="20"/>
        </w:rPr>
        <w:t xml:space="preserve">Siana lxtecoc; Pedro Galiego López; Demetrio Chen Alvarado; Pedro Galiego Mendoza; Camilo Juárez Valey; Julián Garniga o Julián Garniga López; Benito Juárez lxpancoc; Francisco Depaz; Maximiliano Sis Valey o Maximiliano Sis Valin; Vicente Sic Osorio; </w:t>
      </w:r>
      <w:r w:rsidRPr="00D13792">
        <w:rPr>
          <w:rFonts w:cs="Calibri"/>
          <w:sz w:val="20"/>
          <w:szCs w:val="20"/>
        </w:rPr>
        <w:t>Patrocinio Galiego o</w:t>
      </w:r>
      <w:r w:rsidRPr="00D13792">
        <w:rPr>
          <w:sz w:val="20"/>
          <w:szCs w:val="20"/>
        </w:rPr>
        <w:t xml:space="preserve"> Patrocinio Chen Galiego o Patrocinio Chen Coaliego; Félix Alvarado Xitumul, y Demetrio Cahuec o Demetrio Cahuec Jerónimo o </w:t>
      </w:r>
      <w:r w:rsidRPr="00D13792">
        <w:rPr>
          <w:rFonts w:cs="Calibri"/>
          <w:sz w:val="20"/>
          <w:szCs w:val="20"/>
        </w:rPr>
        <w:t>José Demetrio Cahuec Jerónimo</w:t>
      </w:r>
      <w:r w:rsidRPr="00D13792">
        <w:rPr>
          <w:sz w:val="20"/>
          <w:szCs w:val="20"/>
        </w:rPr>
        <w:t>.</w:t>
      </w:r>
    </w:p>
    <w:p w:rsidR="006A0E1C" w:rsidRPr="00D13792" w:rsidRDefault="006A0E1C" w:rsidP="006A0E1C">
      <w:pPr>
        <w:pStyle w:val="Heading3"/>
        <w:ind w:left="0"/>
        <w:rPr>
          <w:lang w:val="es-CR"/>
        </w:rPr>
      </w:pPr>
    </w:p>
    <w:p w:rsidR="006A0E1C" w:rsidRPr="00D13792" w:rsidRDefault="006A0E1C" w:rsidP="006A0E1C">
      <w:pPr>
        <w:pStyle w:val="Heading3"/>
        <w:ind w:left="0"/>
        <w:rPr>
          <w:bCs/>
          <w:i/>
          <w:iCs/>
          <w:lang w:val="es-CR"/>
        </w:rPr>
      </w:pPr>
      <w:bookmarkStart w:id="131" w:name="_Toc460938853"/>
      <w:bookmarkStart w:id="132" w:name="_Toc468443282"/>
      <w:bookmarkStart w:id="133" w:name="_Toc469670018"/>
      <w:r w:rsidRPr="00D13792">
        <w:rPr>
          <w:bCs/>
          <w:i/>
          <w:iCs/>
          <w:lang w:val="es-CR"/>
        </w:rPr>
        <w:t xml:space="preserve">B.5. Violación sexual de </w:t>
      </w:r>
      <w:r w:rsidRPr="00D13792">
        <w:rPr>
          <w:rFonts w:cs="Arial"/>
          <w:i/>
          <w:lang w:val="es-CR"/>
        </w:rPr>
        <w:t>Máxima Emiliana García Valey el 8 de enero de 1982</w:t>
      </w:r>
      <w:bookmarkEnd w:id="131"/>
      <w:bookmarkEnd w:id="132"/>
      <w:bookmarkEnd w:id="133"/>
    </w:p>
    <w:p w:rsidR="006A0E1C" w:rsidRPr="00D13792" w:rsidRDefault="006A0E1C" w:rsidP="006A0E1C">
      <w:pPr>
        <w:spacing w:line="240" w:lineRule="auto"/>
        <w:rPr>
          <w:rFonts w:cs="Arial"/>
          <w:i/>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rFonts w:cs="Arial"/>
          <w:sz w:val="20"/>
          <w:szCs w:val="20"/>
        </w:rPr>
        <w:t xml:space="preserve">El 8 de enero de 1982, mientras se desarrollaba la reunión en la clínica de la aldea Chichupac, Máxima Emiliana García Valey, de 19 años de edad, regresó a su vivienda a fin de llevar agua y comida a su esposo y su suegra. Una vez que llegó a la casa, se encontró con un grupo de soldados quienes la agarraron violentamente y le preguntaron dónde vivían unas personas cuyos nombres llevaban anotados en la mano, entre los cuales estaba el nombre de “[su] padrastro[,] un hijo de [su] padrastro y un yerno”. Ella contestó que no los conocía porque “no era de ahí”. Posteriormente, </w:t>
      </w:r>
      <w:r w:rsidRPr="00D13792">
        <w:rPr>
          <w:sz w:val="20"/>
          <w:szCs w:val="20"/>
        </w:rPr>
        <w:t xml:space="preserve">uno de los soldados le obligó a que se quitara la ropa y en fila “muchos soldados” la violaron, dejándola tan golpeada que “no podía caminar”, ya que le “dolía todo el cuerpo”. Cuando volvió a </w:t>
      </w:r>
      <w:r w:rsidRPr="00D13792">
        <w:rPr>
          <w:rFonts w:cs="Calibri"/>
          <w:sz w:val="20"/>
          <w:szCs w:val="20"/>
        </w:rPr>
        <w:t>la clínica no comentó nada porque se había quedado muda debido a lo sucedido.</w:t>
      </w:r>
      <w:r w:rsidRPr="00D13792">
        <w:rPr>
          <w:sz w:val="20"/>
          <w:szCs w:val="20"/>
        </w:rPr>
        <w:t xml:space="preserve"> Al momento de estos hechos, </w:t>
      </w:r>
      <w:r w:rsidRPr="00D13792">
        <w:rPr>
          <w:rFonts w:cs="Arial"/>
          <w:sz w:val="20"/>
          <w:szCs w:val="20"/>
        </w:rPr>
        <w:t xml:space="preserve">Máxima García </w:t>
      </w:r>
      <w:r w:rsidRPr="00D13792">
        <w:rPr>
          <w:sz w:val="20"/>
          <w:szCs w:val="20"/>
        </w:rPr>
        <w:t>tenía entre seis y ocho meses de embarazo. A los siguientes meses nació su hijo, quien padeció de problemas de salud y convulsiones desde su nacimiento y murió antes de los cuatro años</w:t>
      </w:r>
      <w:r w:rsidRPr="00D13792">
        <w:rPr>
          <w:rStyle w:val="FootnoteReference"/>
          <w:sz w:val="20"/>
          <w:szCs w:val="20"/>
        </w:rPr>
        <w:footnoteReference w:id="89"/>
      </w:r>
      <w:r w:rsidRPr="00D13792">
        <w:rPr>
          <w:sz w:val="20"/>
          <w:szCs w:val="20"/>
        </w:rPr>
        <w:t>.</w:t>
      </w:r>
    </w:p>
    <w:p w:rsidR="006A0E1C" w:rsidRPr="00D13792" w:rsidRDefault="006A0E1C" w:rsidP="006A0E1C">
      <w:pPr>
        <w:spacing w:line="240" w:lineRule="auto"/>
        <w:rPr>
          <w:sz w:val="16"/>
          <w:szCs w:val="20"/>
        </w:rPr>
      </w:pPr>
    </w:p>
    <w:p w:rsidR="006A0E1C" w:rsidRPr="00D13792" w:rsidRDefault="006A0E1C" w:rsidP="006A0E1C">
      <w:pPr>
        <w:pStyle w:val="Heading3"/>
        <w:ind w:left="0"/>
        <w:rPr>
          <w:i/>
          <w:lang w:val="es-CR"/>
        </w:rPr>
      </w:pPr>
      <w:bookmarkStart w:id="134" w:name="_Toc460938854"/>
      <w:bookmarkStart w:id="135" w:name="_Toc468443283"/>
      <w:bookmarkStart w:id="136" w:name="_Toc469670019"/>
      <w:r w:rsidRPr="00D13792">
        <w:rPr>
          <w:bCs/>
          <w:i/>
          <w:lang w:val="es-CR"/>
        </w:rPr>
        <w:t>B.6. Violencia imperante en la zona, desplazamiento de los habitantes</w:t>
      </w:r>
      <w:r w:rsidRPr="00D13792">
        <w:rPr>
          <w:i/>
          <w:lang w:val="es-CR"/>
        </w:rPr>
        <w:t>, destrucción de las comunidades y la aldea modelo o la colonia en Chichupac</w:t>
      </w:r>
      <w:bookmarkEnd w:id="134"/>
      <w:bookmarkEnd w:id="135"/>
      <w:bookmarkEnd w:id="136"/>
    </w:p>
    <w:p w:rsidR="006A0E1C" w:rsidRPr="00D13792" w:rsidRDefault="006A0E1C" w:rsidP="006A0E1C">
      <w:pPr>
        <w:spacing w:line="240" w:lineRule="auto"/>
        <w:rPr>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rFonts w:cs="Arial"/>
          <w:sz w:val="20"/>
          <w:szCs w:val="20"/>
        </w:rPr>
        <w:t>El día 8 de enero de 1982 en que se realizó la masacre</w:t>
      </w:r>
      <w:r w:rsidRPr="00D13792">
        <w:rPr>
          <w:bCs/>
          <w:sz w:val="20"/>
          <w:szCs w:val="20"/>
        </w:rPr>
        <w:t xml:space="preserve"> de la clínica en la aldea Chichupac (</w:t>
      </w:r>
      <w:r w:rsidRPr="00D13792">
        <w:rPr>
          <w:bCs/>
          <w:i/>
          <w:sz w:val="20"/>
          <w:szCs w:val="20"/>
        </w:rPr>
        <w:t>supra</w:t>
      </w:r>
      <w:r w:rsidRPr="00D13792">
        <w:rPr>
          <w:bCs/>
          <w:sz w:val="20"/>
          <w:szCs w:val="20"/>
        </w:rPr>
        <w:t xml:space="preserve"> párrs. 89 a 92),</w:t>
      </w:r>
      <w:r w:rsidRPr="00D13792">
        <w:rPr>
          <w:sz w:val="20"/>
          <w:szCs w:val="20"/>
        </w:rPr>
        <w:t xml:space="preserve"> miembros del Ejército también se llevaron animales de la comunidad</w:t>
      </w:r>
      <w:r w:rsidRPr="00D13792">
        <w:rPr>
          <w:rStyle w:val="FootnoteReference"/>
          <w:sz w:val="20"/>
          <w:szCs w:val="20"/>
        </w:rPr>
        <w:footnoteReference w:id="90"/>
      </w:r>
      <w:r w:rsidRPr="00D13792">
        <w:rPr>
          <w:iCs/>
          <w:sz w:val="20"/>
          <w:szCs w:val="20"/>
        </w:rPr>
        <w:t>. A su vez, d</w:t>
      </w:r>
      <w:r w:rsidRPr="00D13792">
        <w:rPr>
          <w:bCs/>
          <w:sz w:val="20"/>
          <w:szCs w:val="20"/>
        </w:rPr>
        <w:t xml:space="preserve">ebido al temor que generó en la población </w:t>
      </w:r>
      <w:r w:rsidRPr="00D13792">
        <w:rPr>
          <w:iCs/>
          <w:sz w:val="20"/>
          <w:szCs w:val="20"/>
        </w:rPr>
        <w:t xml:space="preserve">dichos hechos, miembros de la aldea Chichupac y comunidades vecinas, en particular hombres, huyeron hacia las montañas. Asimismo, los militares continuaron llegando a las aldeas y comunidades de Chichupac, Xeabaj, Chijom, Coyojá, El Chol, El Apazote, Chirrum, El Tablón y Toloxcoc para intimidar a las personas mediante disparos, buscar y matar a los hombres de la comunidad, matar a las </w:t>
      </w:r>
      <w:r w:rsidRPr="00D13792">
        <w:rPr>
          <w:iCs/>
          <w:sz w:val="20"/>
          <w:szCs w:val="20"/>
        </w:rPr>
        <w:lastRenderedPageBreak/>
        <w:t>mujeres cuando ya no encontraron hombres y amenazar de muerte a la población que permanecía en las comunidades para forzarlos a abandonar sus hogares</w:t>
      </w:r>
      <w:r w:rsidRPr="00D13792">
        <w:rPr>
          <w:rStyle w:val="FootnoteReference"/>
          <w:iCs/>
          <w:sz w:val="20"/>
          <w:szCs w:val="20"/>
        </w:rPr>
        <w:footnoteReference w:id="91"/>
      </w:r>
      <w:r w:rsidRPr="00D13792">
        <w:rPr>
          <w:iCs/>
          <w:sz w:val="20"/>
          <w:szCs w:val="20"/>
        </w:rPr>
        <w:t xml:space="preserve">. En el marco de las incursiones que realizaron en </w:t>
      </w:r>
      <w:r w:rsidRPr="00D13792">
        <w:rPr>
          <w:sz w:val="20"/>
          <w:szCs w:val="20"/>
        </w:rPr>
        <w:t xml:space="preserve">las </w:t>
      </w:r>
      <w:r w:rsidRPr="00D13792">
        <w:rPr>
          <w:iCs/>
          <w:sz w:val="20"/>
          <w:szCs w:val="20"/>
        </w:rPr>
        <w:t xml:space="preserve">comunidades, los efectivos militares violaron a </w:t>
      </w:r>
      <w:r w:rsidRPr="00D13792">
        <w:rPr>
          <w:sz w:val="20"/>
          <w:szCs w:val="20"/>
        </w:rPr>
        <w:t>mujeres</w:t>
      </w:r>
      <w:r w:rsidRPr="00D13792">
        <w:rPr>
          <w:iCs/>
          <w:sz w:val="20"/>
          <w:szCs w:val="20"/>
        </w:rPr>
        <w:t xml:space="preserve"> incluso en sus propios hogares</w:t>
      </w:r>
      <w:r w:rsidRPr="00D13792">
        <w:rPr>
          <w:sz w:val="20"/>
          <w:szCs w:val="20"/>
          <w:vertAlign w:val="superscript"/>
        </w:rPr>
        <w:footnoteReference w:id="92"/>
      </w:r>
      <w:r w:rsidRPr="00D13792">
        <w:rPr>
          <w:sz w:val="20"/>
          <w:szCs w:val="20"/>
        </w:rPr>
        <w:t>.</w:t>
      </w:r>
    </w:p>
    <w:p w:rsidR="006A0E1C" w:rsidRPr="00D13792" w:rsidRDefault="006A0E1C" w:rsidP="006A0E1C">
      <w:pPr>
        <w:spacing w:line="240" w:lineRule="auto"/>
        <w:rPr>
          <w:iCs/>
          <w:sz w:val="20"/>
          <w:szCs w:val="20"/>
        </w:rPr>
      </w:pPr>
    </w:p>
    <w:p w:rsidR="006A0E1C" w:rsidRPr="00D13792" w:rsidRDefault="006A0E1C" w:rsidP="006A0E1C">
      <w:pPr>
        <w:numPr>
          <w:ilvl w:val="0"/>
          <w:numId w:val="6"/>
        </w:numPr>
        <w:tabs>
          <w:tab w:val="left" w:pos="567"/>
        </w:tabs>
        <w:spacing w:line="240" w:lineRule="auto"/>
        <w:ind w:right="4"/>
        <w:rPr>
          <w:iCs/>
          <w:sz w:val="20"/>
          <w:szCs w:val="20"/>
        </w:rPr>
      </w:pPr>
      <w:r w:rsidRPr="00D13792">
        <w:rPr>
          <w:iCs/>
          <w:sz w:val="20"/>
          <w:szCs w:val="20"/>
        </w:rPr>
        <w:t>Como consecuencia de la violencia imperante en la zona, existieron movimientos masivos de miembros de las aldeas y comunidades para refugiarse solos o con sus familias en las montañas,</w:t>
      </w:r>
      <w:r w:rsidRPr="00D13792">
        <w:rPr>
          <w:sz w:val="20"/>
          <w:szCs w:val="20"/>
        </w:rPr>
        <w:t xml:space="preserve"> </w:t>
      </w:r>
      <w:r w:rsidRPr="00D13792">
        <w:rPr>
          <w:iCs/>
          <w:sz w:val="20"/>
          <w:szCs w:val="20"/>
        </w:rPr>
        <w:t xml:space="preserve">en otros pueblos, municipios, </w:t>
      </w:r>
      <w:r w:rsidRPr="00D13792">
        <w:rPr>
          <w:sz w:val="20"/>
          <w:szCs w:val="20"/>
        </w:rPr>
        <w:t>departamentos</w:t>
      </w:r>
      <w:r w:rsidRPr="00D13792">
        <w:rPr>
          <w:iCs/>
          <w:sz w:val="20"/>
          <w:szCs w:val="20"/>
        </w:rPr>
        <w:t xml:space="preserve"> y ciudades, e incluso fuera del país. Las personas que buscaron refugio en las montañas permanecieron escondidas por períodos que oscilaron entre algunos meses y hasta tres años, donde aguantaron hambre, sed y frio. Debido a las condiciones de vida insalubres y precarias, algunas personas, particularmente las niñas y niños, se enfermaron o murieron</w:t>
      </w:r>
      <w:r w:rsidRPr="00D13792">
        <w:rPr>
          <w:rStyle w:val="FootnoteReference"/>
          <w:iCs/>
          <w:sz w:val="20"/>
          <w:szCs w:val="20"/>
        </w:rPr>
        <w:footnoteReference w:id="93"/>
      </w:r>
      <w:r w:rsidRPr="00D13792">
        <w:rPr>
          <w:iCs/>
          <w:sz w:val="20"/>
          <w:szCs w:val="20"/>
        </w:rPr>
        <w:t xml:space="preserve">. Por su parte, los militares continuaron persiguiendo a los habitantes de las aldeas en las montañas, así como </w:t>
      </w:r>
      <w:r w:rsidRPr="00D13792">
        <w:rPr>
          <w:rFonts w:eastAsia="Batang" w:cs="Times"/>
          <w:sz w:val="20"/>
          <w:szCs w:val="20"/>
        </w:rPr>
        <w:t>a las personas que regresaron a las comunidades</w:t>
      </w:r>
      <w:r w:rsidRPr="00D13792">
        <w:rPr>
          <w:iCs/>
          <w:sz w:val="20"/>
          <w:szCs w:val="20"/>
        </w:rPr>
        <w:t>, disparando contra ellos, ametrallando los montes, lanzando granadas frecuentemente y efectuando rastreos en la zona, por lo cual los vecinos se vieron obligados a adentrarse en las montañas constantemente</w:t>
      </w:r>
      <w:r w:rsidRPr="00D13792">
        <w:rPr>
          <w:rStyle w:val="FootnoteReference"/>
          <w:iCs/>
          <w:sz w:val="20"/>
          <w:szCs w:val="20"/>
        </w:rPr>
        <w:footnoteReference w:id="94"/>
      </w:r>
      <w:r w:rsidRPr="00D13792">
        <w:rPr>
          <w:iCs/>
          <w:sz w:val="20"/>
          <w:szCs w:val="20"/>
        </w:rPr>
        <w:t>. Cuando los militares hallaban a personas, las capturaban, detenían, interrogaban, torturaban y/o ejecutaban, a su vez cuando eran mujeres las violaban sexualmente</w:t>
      </w:r>
      <w:r w:rsidRPr="00D13792">
        <w:rPr>
          <w:rStyle w:val="FootnoteReference"/>
          <w:iCs/>
          <w:sz w:val="20"/>
          <w:szCs w:val="20"/>
        </w:rPr>
        <w:footnoteReference w:id="95"/>
      </w:r>
      <w:r w:rsidRPr="00D13792">
        <w:rPr>
          <w:iCs/>
          <w:sz w:val="20"/>
          <w:szCs w:val="20"/>
        </w:rPr>
        <w:t xml:space="preserve">. </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iCs/>
          <w:sz w:val="20"/>
          <w:szCs w:val="20"/>
        </w:rPr>
        <w:t>L</w:t>
      </w:r>
      <w:r w:rsidRPr="00D13792">
        <w:rPr>
          <w:sz w:val="20"/>
          <w:szCs w:val="20"/>
        </w:rPr>
        <w:t>a destrucción de las comunidades tuvo lugar de manera paralela a los desplazamientos y con posterioridad a estos. De esta forma, miembros del Ejército Nacional y de las PAC realizaron los siguientes actos: a) quema de viviendas con todas sus pertenencias; b) quema y destrucción de cultivos y cosechas (entre otros, milpa, café, granadilla y caña); c) robo y muerte de ganado, caballos, gallinas, cerdos y animales domésticos; d) robo de alimentos, granos básicos y provisiones; e) robo de artículos personales, ropa y objetos de valor, y f) robo de utensilios domésticos y herramientas</w:t>
      </w:r>
      <w:r w:rsidRPr="00D13792">
        <w:rPr>
          <w:i/>
          <w:sz w:val="20"/>
          <w:szCs w:val="20"/>
        </w:rPr>
        <w:t>.</w:t>
      </w:r>
    </w:p>
    <w:p w:rsidR="006A0E1C" w:rsidRPr="00D13792" w:rsidRDefault="006A0E1C" w:rsidP="006A0E1C">
      <w:pPr>
        <w:spacing w:line="240" w:lineRule="auto"/>
        <w:rPr>
          <w:sz w:val="20"/>
          <w:szCs w:val="20"/>
        </w:rPr>
      </w:pPr>
    </w:p>
    <w:p w:rsidR="006A0E1C" w:rsidRPr="00D13792" w:rsidRDefault="006A0E1C" w:rsidP="006A0E1C">
      <w:pPr>
        <w:numPr>
          <w:ilvl w:val="0"/>
          <w:numId w:val="6"/>
        </w:numPr>
        <w:tabs>
          <w:tab w:val="left" w:pos="567"/>
        </w:tabs>
        <w:spacing w:line="240" w:lineRule="auto"/>
        <w:ind w:right="4"/>
        <w:rPr>
          <w:iCs/>
          <w:sz w:val="20"/>
          <w:szCs w:val="20"/>
        </w:rPr>
      </w:pPr>
      <w:r w:rsidRPr="00D13792">
        <w:rPr>
          <w:iCs/>
          <w:sz w:val="20"/>
          <w:szCs w:val="20"/>
        </w:rPr>
        <w:t>Aproximadamente en el año 1983, miembros del Ejército Nacional construyeron la aldea modelo o colonia en Chichupac, la cual fue habitada por personas capturadas durante la persecución en las montañas, por población civil que ingresó voluntariamente una vez que se “ofreció la amnistía” de la persecución y por personas a quienes se les obligó a volver bajo amenaza de quitarles sus terrenos</w:t>
      </w:r>
      <w:r w:rsidRPr="00D13792">
        <w:rPr>
          <w:rFonts w:eastAsia="Batang" w:cs="Times"/>
          <w:sz w:val="20"/>
          <w:szCs w:val="20"/>
        </w:rPr>
        <w:t xml:space="preserve"> </w:t>
      </w:r>
      <w:r w:rsidRPr="00D13792">
        <w:rPr>
          <w:iCs/>
          <w:sz w:val="20"/>
          <w:szCs w:val="20"/>
        </w:rPr>
        <w:t>en caso de no regresar</w:t>
      </w:r>
      <w:r w:rsidRPr="00D13792">
        <w:rPr>
          <w:rStyle w:val="FootnoteReference"/>
          <w:iCs/>
          <w:sz w:val="20"/>
          <w:szCs w:val="20"/>
        </w:rPr>
        <w:footnoteReference w:id="96"/>
      </w:r>
      <w:r w:rsidRPr="00D13792">
        <w:rPr>
          <w:iCs/>
          <w:sz w:val="20"/>
          <w:szCs w:val="20"/>
        </w:rPr>
        <w:t xml:space="preserve">. En dicha colonia las personas </w:t>
      </w:r>
      <w:r w:rsidRPr="00D13792">
        <w:rPr>
          <w:sz w:val="20"/>
          <w:szCs w:val="20"/>
        </w:rPr>
        <w:lastRenderedPageBreak/>
        <w:t>vivieron</w:t>
      </w:r>
      <w:r w:rsidRPr="00D13792">
        <w:rPr>
          <w:iCs/>
          <w:sz w:val="20"/>
          <w:szCs w:val="20"/>
        </w:rPr>
        <w:t xml:space="preserve"> en condiciones precarias con otras familias, bajo un fuerte control militar, tenían que pedir permiso para trabajar sus tierras y los soldados no les dejaban ninguna libertad. Asimismo, fueron obligadas a trabajar para mantener a los militares, por ejemplo, en la siembra de hortalizas. En específico, se obligó a las mujeres a preparar los alimentos y lavar la ropa de los militares, y a los hombres a patrullar de nuevo la zona</w:t>
      </w:r>
      <w:r w:rsidRPr="00D13792">
        <w:rPr>
          <w:rStyle w:val="FootnoteReference"/>
          <w:iCs/>
          <w:sz w:val="20"/>
          <w:szCs w:val="20"/>
        </w:rPr>
        <w:footnoteReference w:id="97"/>
      </w:r>
      <w:r w:rsidRPr="00D13792">
        <w:rPr>
          <w:iCs/>
          <w:sz w:val="20"/>
          <w:szCs w:val="20"/>
        </w:rPr>
        <w:t xml:space="preserve">. </w:t>
      </w:r>
      <w:r w:rsidRPr="00D13792">
        <w:rPr>
          <w:sz w:val="20"/>
          <w:szCs w:val="20"/>
        </w:rPr>
        <w:t>Además, algunas mujeres fueron violadas sexualmente.</w:t>
      </w:r>
      <w:r w:rsidRPr="00D13792">
        <w:rPr>
          <w:iCs/>
          <w:sz w:val="20"/>
          <w:szCs w:val="20"/>
        </w:rPr>
        <w:t xml:space="preserve"> Entre 1986 y 1987, los miembros del Ejército Nacional abandonaron la colonia. Por su parte, el Centro de Integración Familiar (en adelante “CIF”)</w:t>
      </w:r>
      <w:r w:rsidRPr="00D13792">
        <w:rPr>
          <w:rStyle w:val="FootnoteReference"/>
          <w:iCs/>
          <w:sz w:val="20"/>
          <w:szCs w:val="20"/>
        </w:rPr>
        <w:footnoteReference w:id="98"/>
      </w:r>
      <w:r w:rsidRPr="00D13792">
        <w:rPr>
          <w:iCs/>
          <w:sz w:val="20"/>
          <w:szCs w:val="20"/>
        </w:rPr>
        <w:t>,</w:t>
      </w:r>
      <w:r w:rsidRPr="00D13792">
        <w:rPr>
          <w:sz w:val="20"/>
          <w:szCs w:val="20"/>
        </w:rPr>
        <w:t xml:space="preserve"> </w:t>
      </w:r>
      <w:r w:rsidRPr="00D13792">
        <w:rPr>
          <w:rFonts w:eastAsia="Calibri" w:cs="Arial"/>
          <w:sz w:val="20"/>
          <w:szCs w:val="20"/>
        </w:rPr>
        <w:t>a través del Programa de Promoción y Desarrollo Humano Integral</w:t>
      </w:r>
      <w:r w:rsidRPr="00D13792">
        <w:rPr>
          <w:iCs/>
          <w:sz w:val="20"/>
          <w:szCs w:val="20"/>
        </w:rPr>
        <w:t xml:space="preserve">, </w:t>
      </w:r>
      <w:r w:rsidRPr="00D13792">
        <w:rPr>
          <w:sz w:val="20"/>
          <w:szCs w:val="20"/>
        </w:rPr>
        <w:t>proporcionó</w:t>
      </w:r>
      <w:r w:rsidRPr="00D13792">
        <w:rPr>
          <w:iCs/>
          <w:sz w:val="20"/>
          <w:szCs w:val="20"/>
        </w:rPr>
        <w:t xml:space="preserve"> materiales a los vecinos para </w:t>
      </w:r>
      <w:r w:rsidRPr="00D13792">
        <w:rPr>
          <w:rFonts w:cs="Arial"/>
          <w:sz w:val="20"/>
          <w:szCs w:val="20"/>
        </w:rPr>
        <w:t>reconstruir sus viviendas. De esta manera, algunas personas lograron reasentarse en la zona</w:t>
      </w:r>
      <w:r w:rsidRPr="00D13792">
        <w:rPr>
          <w:rStyle w:val="FootnoteReference"/>
          <w:iCs/>
          <w:sz w:val="20"/>
          <w:szCs w:val="20"/>
        </w:rPr>
        <w:footnoteReference w:id="99"/>
      </w:r>
      <w:r w:rsidRPr="00D13792">
        <w:rPr>
          <w:rFonts w:cs="Arial"/>
          <w:sz w:val="20"/>
          <w:szCs w:val="20"/>
        </w:rPr>
        <w:t xml:space="preserve">. Asimismo, </w:t>
      </w:r>
      <w:r w:rsidRPr="00D13792">
        <w:rPr>
          <w:iCs/>
          <w:sz w:val="20"/>
          <w:szCs w:val="20"/>
        </w:rPr>
        <w:t>el CIF</w:t>
      </w:r>
      <w:r w:rsidRPr="00D13792">
        <w:rPr>
          <w:rFonts w:eastAsia="Calibri" w:cs="Arial"/>
          <w:sz w:val="20"/>
          <w:szCs w:val="20"/>
        </w:rPr>
        <w:t xml:space="preserve"> implementó para dichas familias proyectos de cultivo de café y proporcionó algunos animales</w:t>
      </w:r>
      <w:r w:rsidRPr="00D13792">
        <w:rPr>
          <w:rStyle w:val="FootnoteReference"/>
          <w:rFonts w:eastAsia="Calibri"/>
          <w:sz w:val="20"/>
          <w:szCs w:val="20"/>
        </w:rPr>
        <w:footnoteReference w:id="100"/>
      </w:r>
      <w:r w:rsidRPr="00D13792">
        <w:rPr>
          <w:iCs/>
          <w:sz w:val="20"/>
          <w:szCs w:val="20"/>
        </w:rPr>
        <w:t>.</w:t>
      </w:r>
    </w:p>
    <w:p w:rsidR="006A0E1C" w:rsidRPr="00D13792" w:rsidRDefault="006A0E1C" w:rsidP="006A0E1C">
      <w:pPr>
        <w:spacing w:line="240" w:lineRule="auto"/>
        <w:rPr>
          <w:iCs/>
          <w:sz w:val="20"/>
          <w:szCs w:val="20"/>
        </w:rPr>
      </w:pPr>
    </w:p>
    <w:p w:rsidR="006A0E1C" w:rsidRPr="00D13792" w:rsidRDefault="006A0E1C" w:rsidP="006A0E1C">
      <w:pPr>
        <w:numPr>
          <w:ilvl w:val="0"/>
          <w:numId w:val="6"/>
        </w:numPr>
        <w:tabs>
          <w:tab w:val="left" w:pos="567"/>
        </w:tabs>
        <w:spacing w:line="240" w:lineRule="auto"/>
        <w:ind w:right="4"/>
        <w:rPr>
          <w:iCs/>
          <w:sz w:val="20"/>
          <w:szCs w:val="20"/>
        </w:rPr>
      </w:pPr>
      <w:r w:rsidRPr="00D13792">
        <w:rPr>
          <w:iCs/>
          <w:sz w:val="20"/>
          <w:szCs w:val="20"/>
        </w:rPr>
        <w:t>Sin embargo, aún en el año 1999 algunas personas sostenían que la población sobreviviente seguía viviendo con miedo y recibiendo amenazas, y que los responsables de la masacre seguían “robando y violando a las mujeres de las comunidades”</w:t>
      </w:r>
      <w:r w:rsidRPr="00D13792">
        <w:rPr>
          <w:rStyle w:val="FootnoteReference"/>
          <w:iCs/>
          <w:sz w:val="20"/>
          <w:szCs w:val="20"/>
        </w:rPr>
        <w:footnoteReference w:id="101"/>
      </w:r>
      <w:r w:rsidRPr="00D13792">
        <w:rPr>
          <w:iCs/>
          <w:sz w:val="20"/>
          <w:szCs w:val="20"/>
        </w:rPr>
        <w:t xml:space="preserve">. Al día de hoy varias personas sostienen que no han podido volver a sus tierras y reencontrarse con su </w:t>
      </w:r>
      <w:r w:rsidRPr="00D13792">
        <w:rPr>
          <w:sz w:val="20"/>
          <w:szCs w:val="20"/>
        </w:rPr>
        <w:t>comunidad</w:t>
      </w:r>
      <w:r w:rsidRPr="00D13792">
        <w:rPr>
          <w:iCs/>
          <w:sz w:val="20"/>
          <w:szCs w:val="20"/>
        </w:rPr>
        <w:t xml:space="preserve"> y su cultura debido al miedo, la violencia, el sufrimiento y la persecución que vivieron en las comunidades, la pérdida de todas sus pertenencias y el hecho de que no tienen donde vivir, por lo que se han visto forzadas a continuar en el desplazamiento. Además, dado que los militares les robaron los documentos que acreditaban la posesión de sus tierras, o estos fueron destruidos cuando los militares quemaron sus casas, algunos vecinos señalan que no han podido recuperar sus tierras porque otras personas viven en ellas y sus propietarios originales no pueden reclamarlos sin documentos y ante la ausencia de ayuda del Estado</w:t>
      </w:r>
      <w:r w:rsidRPr="00D13792">
        <w:rPr>
          <w:rStyle w:val="FootnoteReference"/>
          <w:iCs/>
          <w:sz w:val="20"/>
          <w:szCs w:val="20"/>
        </w:rPr>
        <w:footnoteReference w:id="102"/>
      </w:r>
      <w:r w:rsidRPr="00D13792">
        <w:rPr>
          <w:iCs/>
          <w:sz w:val="20"/>
          <w:szCs w:val="20"/>
        </w:rPr>
        <w:t xml:space="preserve">. </w:t>
      </w:r>
    </w:p>
    <w:p w:rsidR="006A0E1C" w:rsidRPr="00D13792" w:rsidRDefault="006A0E1C" w:rsidP="006A0E1C">
      <w:pPr>
        <w:pStyle w:val="Heading3"/>
        <w:ind w:left="0"/>
        <w:rPr>
          <w:lang w:val="es-CR"/>
        </w:rPr>
      </w:pPr>
    </w:p>
    <w:p w:rsidR="006A0E1C" w:rsidRPr="00D13792" w:rsidRDefault="006A0E1C" w:rsidP="006A0E1C">
      <w:pPr>
        <w:pStyle w:val="Heading3"/>
        <w:ind w:left="0"/>
        <w:rPr>
          <w:i/>
          <w:iCs/>
          <w:lang w:val="es-CR"/>
        </w:rPr>
      </w:pPr>
      <w:bookmarkStart w:id="137" w:name="_Toc460938855"/>
      <w:bookmarkStart w:id="138" w:name="_Toc468443284"/>
      <w:bookmarkStart w:id="139" w:name="_Toc469670020"/>
      <w:r w:rsidRPr="00D13792">
        <w:rPr>
          <w:bCs/>
          <w:i/>
          <w:iCs/>
          <w:lang w:val="es-CR"/>
        </w:rPr>
        <w:t>B.7.</w:t>
      </w:r>
      <w:r w:rsidRPr="00D13792">
        <w:rPr>
          <w:rFonts w:cs="Arial"/>
          <w:i/>
          <w:lang w:val="es-CR"/>
        </w:rPr>
        <w:t xml:space="preserve"> Desaparición e identificación de Hugo García</w:t>
      </w:r>
      <w:r w:rsidRPr="00D13792">
        <w:rPr>
          <w:i/>
          <w:iCs/>
          <w:lang w:val="es-CR"/>
        </w:rPr>
        <w:t xml:space="preserve"> </w:t>
      </w:r>
      <w:r w:rsidRPr="00D13792">
        <w:rPr>
          <w:rFonts w:cs="Arial"/>
          <w:i/>
          <w:lang w:val="es-CR"/>
        </w:rPr>
        <w:t xml:space="preserve">Depaz, Abraham Alvarado, Manuel de Jesús Alarcón Morente y </w:t>
      </w:r>
      <w:r w:rsidRPr="00D13792">
        <w:rPr>
          <w:rFonts w:eastAsia="Arial" w:cs="Arial"/>
          <w:i/>
          <w:lang w:val="es-CR"/>
        </w:rPr>
        <w:t xml:space="preserve">Edmundo </w:t>
      </w:r>
      <w:r w:rsidRPr="00D13792">
        <w:rPr>
          <w:rFonts w:cs="Arial"/>
          <w:i/>
          <w:lang w:val="es-CR"/>
        </w:rPr>
        <w:t xml:space="preserve">Alarcón Morente, desaparición de Adrián García Manuel y </w:t>
      </w:r>
      <w:r w:rsidRPr="00D13792">
        <w:rPr>
          <w:i/>
          <w:lang w:val="es-CR"/>
        </w:rPr>
        <w:t>Leonardo Cahuec González</w:t>
      </w:r>
      <w:r w:rsidRPr="00D13792">
        <w:rPr>
          <w:i/>
          <w:iCs/>
          <w:lang w:val="es-CR"/>
        </w:rPr>
        <w:t xml:space="preserve">, </w:t>
      </w:r>
      <w:r w:rsidRPr="00D13792">
        <w:rPr>
          <w:rFonts w:cs="Arial"/>
          <w:i/>
          <w:lang w:val="es-CR"/>
        </w:rPr>
        <w:t xml:space="preserve">y </w:t>
      </w:r>
      <w:r w:rsidRPr="00D13792">
        <w:rPr>
          <w:i/>
          <w:lang w:val="es-CR"/>
        </w:rPr>
        <w:t xml:space="preserve">detención de Miguel Chen Tahuico </w:t>
      </w:r>
      <w:r w:rsidRPr="00D13792">
        <w:rPr>
          <w:rFonts w:cs="Arial"/>
          <w:i/>
          <w:lang w:val="es-CR"/>
        </w:rPr>
        <w:t>el 18 de enero de 1982</w:t>
      </w:r>
      <w:bookmarkEnd w:id="137"/>
      <w:bookmarkEnd w:id="138"/>
      <w:bookmarkEnd w:id="139"/>
    </w:p>
    <w:p w:rsidR="006A0E1C" w:rsidRPr="00D13792" w:rsidRDefault="006A0E1C" w:rsidP="006A0E1C">
      <w:pPr>
        <w:spacing w:line="240" w:lineRule="auto"/>
        <w:rPr>
          <w:b/>
          <w:i/>
          <w:sz w:val="20"/>
          <w:szCs w:val="20"/>
        </w:rPr>
      </w:pPr>
    </w:p>
    <w:p w:rsidR="006A0E1C" w:rsidRPr="00D13792" w:rsidRDefault="006A0E1C" w:rsidP="006A0E1C">
      <w:pPr>
        <w:numPr>
          <w:ilvl w:val="0"/>
          <w:numId w:val="6"/>
        </w:numPr>
        <w:tabs>
          <w:tab w:val="left" w:pos="567"/>
        </w:tabs>
        <w:spacing w:line="240" w:lineRule="auto"/>
        <w:ind w:right="4"/>
        <w:rPr>
          <w:strike/>
          <w:sz w:val="20"/>
          <w:szCs w:val="20"/>
        </w:rPr>
      </w:pPr>
      <w:r w:rsidRPr="00D13792">
        <w:rPr>
          <w:sz w:val="20"/>
          <w:szCs w:val="20"/>
        </w:rPr>
        <w:t>Luego de haber sido reclutados como miembros de las PAC, el</w:t>
      </w:r>
      <w:r w:rsidRPr="00D13792">
        <w:rPr>
          <w:bCs/>
          <w:sz w:val="20"/>
          <w:szCs w:val="20"/>
        </w:rPr>
        <w:t xml:space="preserve"> 18 de enero de 1982</w:t>
      </w:r>
      <w:r w:rsidRPr="00D13792">
        <w:rPr>
          <w:sz w:val="20"/>
          <w:szCs w:val="20"/>
        </w:rPr>
        <w:t xml:space="preserve"> Adrián García Manuel, su hijo Hugo García Depaz y su sobrino Abraham Alvarado Tecú (o </w:t>
      </w:r>
      <w:r w:rsidRPr="00D13792">
        <w:rPr>
          <w:rFonts w:cs="Calibri"/>
          <w:sz w:val="20"/>
          <w:szCs w:val="20"/>
        </w:rPr>
        <w:t>Agapito Alvarado Depáz)</w:t>
      </w:r>
      <w:r w:rsidRPr="00D13792">
        <w:rPr>
          <w:sz w:val="20"/>
          <w:szCs w:val="20"/>
        </w:rPr>
        <w:t xml:space="preserve"> salieron de su vivienda en la aldea Chichupac con el fin de realizar un patrullaje. Sin embargo, fueron interceptados por miembros del Ejército Nacional, detenidos y encerrados en la escuela de la aldea Chirrum. Cuando la señora Juana García Depaz, hija de </w:t>
      </w:r>
      <w:r w:rsidRPr="00D13792">
        <w:rPr>
          <w:sz w:val="20"/>
          <w:szCs w:val="20"/>
        </w:rPr>
        <w:lastRenderedPageBreak/>
        <w:t xml:space="preserve">Adrián García, se enteró que sus familiares se encontraban detenidos en la escuela, envío a su hija a que les llevara comida. Los militares no le permitieron entregar la comida, pues indicaron que “los iban a soltar rápido y que ellos iban a llegar a casa”. Posteriormente, los tres hombres fueron trasladados al destacamento militar en la aldea Guachipelín, sin que se volviera a tener conocimiento sobre su paradero. Ese mismo día, los hermanos Manuel de Jesús y </w:t>
      </w:r>
      <w:r w:rsidRPr="00D13792">
        <w:rPr>
          <w:rFonts w:eastAsia="Arial" w:cs="Arial"/>
          <w:sz w:val="20"/>
          <w:szCs w:val="20"/>
        </w:rPr>
        <w:t>Edmundo (</w:t>
      </w:r>
      <w:r w:rsidRPr="00D13792">
        <w:rPr>
          <w:rFonts w:cs="Calibri"/>
          <w:sz w:val="20"/>
          <w:szCs w:val="20"/>
        </w:rPr>
        <w:t xml:space="preserve">o Raymundo), </w:t>
      </w:r>
      <w:r w:rsidRPr="00D13792">
        <w:rPr>
          <w:rFonts w:eastAsia="Arial" w:cs="Arial"/>
          <w:sz w:val="20"/>
          <w:szCs w:val="20"/>
        </w:rPr>
        <w:t xml:space="preserve">ambos </w:t>
      </w:r>
      <w:r w:rsidRPr="00D13792">
        <w:rPr>
          <w:sz w:val="20"/>
          <w:szCs w:val="20"/>
        </w:rPr>
        <w:t xml:space="preserve">Alarcón Morente, quienes también habían sido reclutados como miembros de las PAC, fueron vistos por última vez. Por la mañana, un grupo de soldados habían llegado a la vivienda de la familia Alarcón Morente, ubicada </w:t>
      </w:r>
      <w:r w:rsidRPr="00D13792">
        <w:rPr>
          <w:rFonts w:cs="Arial"/>
          <w:sz w:val="20"/>
          <w:szCs w:val="20"/>
        </w:rPr>
        <w:t>entre las aldeas Chirrum y Chuateguá,</w:t>
      </w:r>
      <w:r w:rsidRPr="00D13792">
        <w:rPr>
          <w:sz w:val="20"/>
          <w:szCs w:val="20"/>
        </w:rPr>
        <w:t xml:space="preserve"> y preguntaron por los dos hermanos, sin que sus familiares dieran noticia de ellos. Según el relato de la familia, Manuel de Jesús Alarcón Morente </w:t>
      </w:r>
      <w:r w:rsidRPr="00D13792">
        <w:rPr>
          <w:rFonts w:eastAsia="Arial" w:cs="Arial"/>
          <w:sz w:val="20"/>
          <w:szCs w:val="20"/>
        </w:rPr>
        <w:t xml:space="preserve">salió a cortar caña y no regresó, y su hermano Edmundo </w:t>
      </w:r>
      <w:r w:rsidRPr="00D13792">
        <w:rPr>
          <w:sz w:val="20"/>
          <w:szCs w:val="20"/>
        </w:rPr>
        <w:t>Alarcón Morente fue visto por última vez acompañado de soldados que lo llevaban amarrado</w:t>
      </w:r>
      <w:r w:rsidRPr="00D13792">
        <w:rPr>
          <w:rStyle w:val="FootnoteReference"/>
          <w:sz w:val="20"/>
          <w:szCs w:val="20"/>
        </w:rPr>
        <w:footnoteReference w:id="103"/>
      </w:r>
      <w:r w:rsidRPr="00D13792">
        <w:rPr>
          <w:sz w:val="20"/>
          <w:szCs w:val="20"/>
        </w:rPr>
        <w:t>.</w:t>
      </w:r>
    </w:p>
    <w:p w:rsidR="006A0E1C" w:rsidRPr="00D13792" w:rsidRDefault="006A0E1C" w:rsidP="006A0E1C">
      <w:pPr>
        <w:pStyle w:val="ListParagraph"/>
        <w:spacing w:after="0" w:line="240" w:lineRule="auto"/>
        <w:jc w:val="both"/>
        <w:rPr>
          <w:rFonts w:ascii="Verdana" w:eastAsia="Arial" w:hAnsi="Verdana" w:cs="Arial"/>
          <w:sz w:val="20"/>
          <w:szCs w:val="20"/>
          <w:lang w:val="es-CR"/>
        </w:rPr>
      </w:pPr>
    </w:p>
    <w:p w:rsidR="006A0E1C" w:rsidRPr="00D13792" w:rsidRDefault="006A0E1C" w:rsidP="006A0E1C">
      <w:pPr>
        <w:numPr>
          <w:ilvl w:val="0"/>
          <w:numId w:val="6"/>
        </w:numPr>
        <w:tabs>
          <w:tab w:val="left" w:pos="450"/>
        </w:tabs>
        <w:spacing w:line="240" w:lineRule="auto"/>
        <w:ind w:right="4"/>
        <w:rPr>
          <w:rFonts w:eastAsia="Arial" w:cs="Arial"/>
          <w:sz w:val="20"/>
          <w:szCs w:val="20"/>
        </w:rPr>
      </w:pPr>
      <w:r w:rsidRPr="00D13792">
        <w:rPr>
          <w:rFonts w:eastAsia="Arial" w:cs="Arial"/>
          <w:sz w:val="20"/>
          <w:szCs w:val="20"/>
        </w:rPr>
        <w:t xml:space="preserve">En el año 2006 y una vez que fue solicitado por la señora </w:t>
      </w:r>
      <w:r w:rsidRPr="00D13792">
        <w:rPr>
          <w:sz w:val="20"/>
          <w:szCs w:val="20"/>
        </w:rPr>
        <w:t>Juana García Depaz</w:t>
      </w:r>
      <w:r w:rsidRPr="00D13792">
        <w:rPr>
          <w:rFonts w:eastAsia="Arial" w:cs="Arial"/>
          <w:sz w:val="20"/>
          <w:szCs w:val="20"/>
        </w:rPr>
        <w:t xml:space="preserve">, la </w:t>
      </w:r>
      <w:r w:rsidRPr="00D13792">
        <w:rPr>
          <w:sz w:val="20"/>
          <w:szCs w:val="20"/>
        </w:rPr>
        <w:t>FAFG realizó trabajos de excavación y exhumación en un terreno ubicado en la aldea Guachipilín del municipio de Rabinal</w:t>
      </w:r>
      <w:r w:rsidRPr="00D13792">
        <w:rPr>
          <w:rStyle w:val="FootnoteReference"/>
          <w:sz w:val="20"/>
          <w:szCs w:val="20"/>
        </w:rPr>
        <w:footnoteReference w:id="104"/>
      </w:r>
      <w:r w:rsidRPr="00D13792">
        <w:rPr>
          <w:sz w:val="20"/>
          <w:szCs w:val="20"/>
        </w:rPr>
        <w:t xml:space="preserve">. </w:t>
      </w:r>
      <w:r w:rsidRPr="00D13792">
        <w:rPr>
          <w:rFonts w:cs="Calibri,Bold"/>
          <w:bCs/>
          <w:sz w:val="20"/>
          <w:szCs w:val="20"/>
        </w:rPr>
        <w:t>En el año 2008 y mediante el informe final del peritaje antropológico forense realizado por la FAFG</w:t>
      </w:r>
      <w:r w:rsidRPr="00D13792">
        <w:rPr>
          <w:rFonts w:cs="Arial"/>
          <w:sz w:val="20"/>
          <w:szCs w:val="20"/>
        </w:rPr>
        <w:t>, se concluyó que de una fosa fueron exhumadas cuatro osamentas y que los restos correspondían a Hugo García De Paz, Manuel de Jesús Alarcón Morente, Edmundo Alarcón Morente y Agapito Alvarado Depáz. Asimismo, dicho informe indicó que tres de las cuatro osamentas “tenían los brazos hacia atrás y las muñecas juntas como si hubieran estado atadas”, y que “[a]l momento de la inhumación los cuerpos no fueron colocados sino arrojados”. Además, a partir de las lesiones traumáticas observadas en los restos óseos que correspondían a Agapito Alvarado Depáz, se concluyó que “la causa de la muerte es compatible con degollamiento”</w:t>
      </w:r>
      <w:r w:rsidRPr="00D13792">
        <w:rPr>
          <w:rStyle w:val="FootnoteReference"/>
          <w:rFonts w:cs="Arial"/>
          <w:sz w:val="20"/>
          <w:szCs w:val="20"/>
        </w:rPr>
        <w:footnoteReference w:id="105"/>
      </w:r>
      <w:r w:rsidRPr="00D13792">
        <w:rPr>
          <w:rFonts w:cs="Arial"/>
          <w:sz w:val="20"/>
          <w:szCs w:val="20"/>
        </w:rPr>
        <w:t xml:space="preserve">. </w:t>
      </w:r>
      <w:r w:rsidRPr="00D13792">
        <w:rPr>
          <w:sz w:val="20"/>
          <w:szCs w:val="20"/>
        </w:rPr>
        <w:t>Según fue informado por los representantes y no controvertido, las cuatro osamentas fueron entregadas a sus familiares y sepultadas por estos.</w:t>
      </w:r>
      <w:r w:rsidRPr="00D13792">
        <w:rPr>
          <w:b/>
          <w:sz w:val="20"/>
          <w:szCs w:val="20"/>
        </w:rPr>
        <w:t xml:space="preserve"> </w:t>
      </w:r>
      <w:r w:rsidRPr="00D13792">
        <w:rPr>
          <w:rFonts w:cs="Calibri,Bold"/>
          <w:bCs/>
          <w:sz w:val="20"/>
          <w:szCs w:val="20"/>
        </w:rPr>
        <w:t>Al día de hoy se desconoce el paradero del señor Adrián García Manuel.</w:t>
      </w:r>
    </w:p>
    <w:p w:rsidR="006A0E1C" w:rsidRPr="00D13792" w:rsidRDefault="006A0E1C" w:rsidP="006A0E1C">
      <w:pPr>
        <w:tabs>
          <w:tab w:val="left" w:pos="450"/>
        </w:tabs>
        <w:spacing w:line="240" w:lineRule="auto"/>
        <w:ind w:right="4"/>
        <w:rPr>
          <w:rFonts w:eastAsia="Arial" w:cs="Arial"/>
          <w:sz w:val="20"/>
          <w:szCs w:val="20"/>
        </w:rPr>
      </w:pPr>
    </w:p>
    <w:p w:rsidR="006A0E1C" w:rsidRPr="00D13792" w:rsidRDefault="006A0E1C" w:rsidP="006A0E1C">
      <w:pPr>
        <w:numPr>
          <w:ilvl w:val="0"/>
          <w:numId w:val="6"/>
        </w:numPr>
        <w:tabs>
          <w:tab w:val="left" w:pos="450"/>
        </w:tabs>
        <w:spacing w:line="240" w:lineRule="auto"/>
        <w:ind w:right="4"/>
        <w:rPr>
          <w:sz w:val="20"/>
          <w:szCs w:val="20"/>
        </w:rPr>
      </w:pPr>
      <w:r w:rsidRPr="00D13792">
        <w:rPr>
          <w:sz w:val="20"/>
          <w:szCs w:val="20"/>
        </w:rPr>
        <w:t xml:space="preserve">También, el 18 de enero de 1982 y mientras regresaban a su vivienda en la aldea Chichupac luego de haber bautizado a una de sus hijas </w:t>
      </w:r>
      <w:r w:rsidRPr="00D13792">
        <w:rPr>
          <w:rFonts w:cs="Arial"/>
          <w:sz w:val="20"/>
          <w:szCs w:val="20"/>
        </w:rPr>
        <w:t>en una iglesia Católica de Rabinal</w:t>
      </w:r>
      <w:r w:rsidRPr="00D13792">
        <w:rPr>
          <w:sz w:val="20"/>
          <w:szCs w:val="20"/>
        </w:rPr>
        <w:t xml:space="preserve">, el señor Leonardo Cahuec González y su esposa Albertina Sic Cuxúm fueron interceptados por un automóvil, del cual bajaron dos personas vestidas de civil. Estas pidieron al señor Leonardo Cahuec sus documentos de identificación, amarraron sus manos y lo llevaron caminando a la cárcel </w:t>
      </w:r>
      <w:r w:rsidRPr="00D13792">
        <w:rPr>
          <w:rFonts w:cs="Arial"/>
          <w:sz w:val="20"/>
          <w:szCs w:val="20"/>
        </w:rPr>
        <w:t>del centro del municipio</w:t>
      </w:r>
      <w:r w:rsidRPr="00D13792">
        <w:rPr>
          <w:sz w:val="20"/>
          <w:szCs w:val="20"/>
        </w:rPr>
        <w:t xml:space="preserve"> </w:t>
      </w:r>
      <w:r w:rsidRPr="00D13792">
        <w:rPr>
          <w:rFonts w:cs="Arial"/>
          <w:sz w:val="20"/>
          <w:szCs w:val="20"/>
        </w:rPr>
        <w:t>de Rabinal</w:t>
      </w:r>
      <w:r w:rsidRPr="00D13792">
        <w:rPr>
          <w:sz w:val="20"/>
          <w:szCs w:val="20"/>
        </w:rPr>
        <w:t xml:space="preserve">. La señora Albertina Sic se dirigió con ellos a la cárcel y dos hombres que vigilaban la entrada de la misma le dijeron que su esposo era guerrillero, que “todos los hombres de la aldea Chichupac […] era[n] guerrilleros”, que “lo mandaron para el cuartel para prestar servicio militar </w:t>
      </w:r>
      <w:r w:rsidRPr="00D13792">
        <w:rPr>
          <w:rFonts w:cs="Arial"/>
          <w:sz w:val="20"/>
          <w:szCs w:val="20"/>
        </w:rPr>
        <w:t>y que iba a regresar en cualquier momento a</w:t>
      </w:r>
      <w:r w:rsidRPr="00D13792">
        <w:rPr>
          <w:sz w:val="20"/>
          <w:szCs w:val="20"/>
        </w:rPr>
        <w:t xml:space="preserve"> </w:t>
      </w:r>
      <w:r w:rsidRPr="00D13792">
        <w:rPr>
          <w:rFonts w:cs="Arial"/>
          <w:sz w:val="20"/>
          <w:szCs w:val="20"/>
        </w:rPr>
        <w:t xml:space="preserve">su casa”. Finalmente, </w:t>
      </w:r>
      <w:r w:rsidRPr="00D13792">
        <w:rPr>
          <w:sz w:val="20"/>
          <w:szCs w:val="20"/>
        </w:rPr>
        <w:t>la amenazaron con golpearla si no se retiraba. Hasta la fecha se desconoce el paradero del señor Leonardo Cahuec.</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Además, el 18 de enero de 1982, 1983 o 1984 el señor Miguel Chen Tahuico, quien huyó de la aldea Chichupac luego de la masacre </w:t>
      </w:r>
      <w:r w:rsidRPr="00D13792">
        <w:rPr>
          <w:bCs/>
          <w:sz w:val="20"/>
          <w:szCs w:val="20"/>
        </w:rPr>
        <w:t xml:space="preserve">de la clínica </w:t>
      </w:r>
      <w:r w:rsidRPr="00D13792">
        <w:rPr>
          <w:sz w:val="20"/>
          <w:szCs w:val="20"/>
        </w:rPr>
        <w:t xml:space="preserve">el </w:t>
      </w:r>
      <w:r w:rsidRPr="00D13792">
        <w:rPr>
          <w:bCs/>
          <w:sz w:val="20"/>
          <w:szCs w:val="20"/>
        </w:rPr>
        <w:t>8 de enero de 1982 y se refugió en las montañas,</w:t>
      </w:r>
      <w:r w:rsidRPr="00D13792">
        <w:rPr>
          <w:sz w:val="20"/>
          <w:szCs w:val="20"/>
        </w:rPr>
        <w:t xml:space="preserve"> fue detenido por miembros del Ejército junto con un grupo de cuatro a seis de sus familiares. Los militares lo acusaron de pertenecer a la guerrilla, lo colgaron de un árbol </w:t>
      </w:r>
      <w:r w:rsidRPr="00D13792">
        <w:rPr>
          <w:sz w:val="20"/>
          <w:szCs w:val="20"/>
        </w:rPr>
        <w:lastRenderedPageBreak/>
        <w:t xml:space="preserve">por el cuello, le quemaron su pecho con un cigarro, intentaron quemar su lengua con un tizón y una vez en el suelo, los soldados le pasaron por encima y brincaron sobre su estómago. </w:t>
      </w:r>
      <w:r w:rsidRPr="00D13792">
        <w:rPr>
          <w:rFonts w:cs="Calibri"/>
          <w:sz w:val="20"/>
          <w:szCs w:val="20"/>
        </w:rPr>
        <w:t>Después lo</w:t>
      </w:r>
      <w:r w:rsidRPr="00D13792">
        <w:rPr>
          <w:sz w:val="20"/>
          <w:szCs w:val="20"/>
        </w:rPr>
        <w:t xml:space="preserve"> </w:t>
      </w:r>
      <w:r w:rsidRPr="00D13792">
        <w:rPr>
          <w:rFonts w:cs="Calibri"/>
          <w:sz w:val="20"/>
          <w:szCs w:val="20"/>
        </w:rPr>
        <w:t>amarraron de la cabeza, cintura, manos y pies, dejándolo a la intemperie toda la noche custodiado por soldados</w:t>
      </w:r>
      <w:r w:rsidRPr="00D13792">
        <w:rPr>
          <w:sz w:val="20"/>
          <w:szCs w:val="20"/>
        </w:rPr>
        <w:t>. Al día siguiente, fue trasladado a la aldea modelo o la colonia en Chichupac que se encontraba bajo control militar. En ese lugar fue interrogado y amenazado, y posteriormente fue informado que viviría allí y patrulló nuevamente con soldados a quienes también les hacía la comida</w:t>
      </w:r>
      <w:r w:rsidRPr="00D13792">
        <w:rPr>
          <w:rStyle w:val="FootnoteReference"/>
          <w:sz w:val="20"/>
          <w:szCs w:val="20"/>
        </w:rPr>
        <w:footnoteReference w:id="106"/>
      </w:r>
      <w:r w:rsidRPr="00D13792">
        <w:rPr>
          <w:sz w:val="20"/>
          <w:szCs w:val="20"/>
        </w:rPr>
        <w:t>.</w:t>
      </w:r>
    </w:p>
    <w:p w:rsidR="006A0E1C" w:rsidRPr="00D13792" w:rsidRDefault="006A0E1C" w:rsidP="006A0E1C">
      <w:pPr>
        <w:spacing w:line="240" w:lineRule="auto"/>
        <w:rPr>
          <w:sz w:val="16"/>
          <w:szCs w:val="20"/>
        </w:rPr>
      </w:pPr>
    </w:p>
    <w:p w:rsidR="006A0E1C" w:rsidRPr="00D13792" w:rsidRDefault="006A0E1C" w:rsidP="006A0E1C">
      <w:pPr>
        <w:pStyle w:val="Heading3"/>
        <w:ind w:left="0"/>
        <w:rPr>
          <w:i/>
          <w:lang w:val="es-CR"/>
        </w:rPr>
      </w:pPr>
      <w:bookmarkStart w:id="140" w:name="_Toc460938856"/>
      <w:bookmarkStart w:id="141" w:name="_Toc468443285"/>
      <w:bookmarkStart w:id="142" w:name="_Toc469670021"/>
      <w:r w:rsidRPr="00D13792">
        <w:rPr>
          <w:bCs/>
          <w:i/>
          <w:iCs/>
          <w:lang w:val="es-CR"/>
        </w:rPr>
        <w:t>B.8.</w:t>
      </w:r>
      <w:r w:rsidRPr="00D13792">
        <w:rPr>
          <w:i/>
          <w:iCs/>
          <w:lang w:val="es-CR"/>
        </w:rPr>
        <w:t xml:space="preserve"> </w:t>
      </w:r>
      <w:r w:rsidRPr="00D13792">
        <w:rPr>
          <w:i/>
          <w:lang w:val="es-CR"/>
        </w:rPr>
        <w:t>Desaparición de Juan Mendoza Alvarado y José Cruz Mendoza Sucup desde el 31 de enero de 1982</w:t>
      </w:r>
      <w:bookmarkEnd w:id="140"/>
      <w:bookmarkEnd w:id="141"/>
      <w:bookmarkEnd w:id="142"/>
    </w:p>
    <w:p w:rsidR="006A0E1C" w:rsidRPr="00D13792" w:rsidRDefault="006A0E1C" w:rsidP="006A0E1C">
      <w:pPr>
        <w:spacing w:line="240" w:lineRule="auto"/>
        <w:rPr>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El </w:t>
      </w:r>
      <w:r w:rsidRPr="00D13792">
        <w:rPr>
          <w:bCs/>
          <w:sz w:val="20"/>
          <w:szCs w:val="20"/>
        </w:rPr>
        <w:t>31 de enero de 1982</w:t>
      </w:r>
      <w:r w:rsidRPr="00D13792">
        <w:rPr>
          <w:sz w:val="20"/>
          <w:szCs w:val="20"/>
        </w:rPr>
        <w:t xml:space="preserve"> miembros del Ejército Nacional y de las PAC se dirigieron a la aldea El Apazote, ingresaron a la vivienda en la que se encontraban Juan Mendoza Alvarado y su padre José Cruz Mendoza Sucup, los sacaron, los golpearon y desde entonces se desconoce su paradero. </w:t>
      </w:r>
    </w:p>
    <w:p w:rsidR="006A0E1C" w:rsidRPr="00D13792" w:rsidRDefault="006A0E1C" w:rsidP="006A0E1C">
      <w:pPr>
        <w:spacing w:line="240" w:lineRule="auto"/>
        <w:rPr>
          <w:sz w:val="16"/>
          <w:szCs w:val="20"/>
        </w:rPr>
      </w:pPr>
    </w:p>
    <w:p w:rsidR="006A0E1C" w:rsidRPr="00D13792" w:rsidRDefault="006A0E1C" w:rsidP="006A0E1C">
      <w:pPr>
        <w:pStyle w:val="Heading3"/>
        <w:ind w:left="0"/>
        <w:rPr>
          <w:i/>
          <w:lang w:val="es-CR"/>
        </w:rPr>
      </w:pPr>
      <w:bookmarkStart w:id="143" w:name="_Toc460938857"/>
      <w:bookmarkStart w:id="144" w:name="_Toc468443286"/>
      <w:bookmarkStart w:id="145" w:name="_Toc469670022"/>
      <w:r w:rsidRPr="00D13792">
        <w:rPr>
          <w:bCs/>
          <w:i/>
          <w:iCs/>
          <w:lang w:val="es-CR"/>
        </w:rPr>
        <w:t>B.9.</w:t>
      </w:r>
      <w:r w:rsidRPr="00D13792">
        <w:rPr>
          <w:i/>
          <w:iCs/>
          <w:lang w:val="es-CR"/>
        </w:rPr>
        <w:t xml:space="preserve"> </w:t>
      </w:r>
      <w:r w:rsidRPr="00D13792">
        <w:rPr>
          <w:i/>
          <w:lang w:val="es-CR"/>
        </w:rPr>
        <w:t>Desaparición de María Concepción Chen Sic y Casimiro Siana desde el 12 de febrero de 1982</w:t>
      </w:r>
      <w:bookmarkEnd w:id="143"/>
      <w:bookmarkEnd w:id="144"/>
      <w:bookmarkEnd w:id="145"/>
    </w:p>
    <w:p w:rsidR="006A0E1C" w:rsidRPr="00D13792" w:rsidRDefault="006A0E1C" w:rsidP="006A0E1C">
      <w:pPr>
        <w:spacing w:line="240" w:lineRule="auto"/>
        <w:rPr>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El </w:t>
      </w:r>
      <w:r w:rsidRPr="00D13792">
        <w:rPr>
          <w:bCs/>
          <w:sz w:val="20"/>
          <w:szCs w:val="20"/>
        </w:rPr>
        <w:t>12 de febrero de 1982</w:t>
      </w:r>
      <w:r w:rsidRPr="00D13792">
        <w:rPr>
          <w:sz w:val="20"/>
          <w:szCs w:val="20"/>
        </w:rPr>
        <w:t xml:space="preserve"> miembros del Ejército Nacional y de las PAC ingresaron a la vivienda de María Concepción Chen Sic en la aldea Chichupac, la acusaron de preparar alimentos a la guerrilla y le exigieron que entregara a su esposo Silvestre Sic Xitumul, quién había salido de la vivienda junto a sus dos hijos. Ese día también detuvieron al señor Casimiro Siana, quien era el alcalde auxiliar de la comunidad, mientras regaba su siembra cerca de su vivienda, y lo acusaron de apoyar a la guerrilla. La señora María Concepción Chen y el señor Casimiro Siana fueron obligados a caminar junto con varias mujeres que habían sido capturadas, hasta llegar a un punto en que a ambos los separaron del grupo y se los llevaron por otra dirección. Al día de hoy se desconoce el paradero de ambos</w:t>
      </w:r>
      <w:r w:rsidRPr="00D13792">
        <w:rPr>
          <w:sz w:val="20"/>
          <w:szCs w:val="20"/>
          <w:vertAlign w:val="superscript"/>
        </w:rPr>
        <w:footnoteReference w:id="107"/>
      </w:r>
      <w:r w:rsidRPr="00D13792">
        <w:rPr>
          <w:sz w:val="20"/>
          <w:szCs w:val="20"/>
        </w:rPr>
        <w:t>.</w:t>
      </w:r>
    </w:p>
    <w:p w:rsidR="006A0E1C" w:rsidRPr="00D13792" w:rsidRDefault="006A0E1C" w:rsidP="006A0E1C">
      <w:pPr>
        <w:spacing w:line="240" w:lineRule="auto"/>
        <w:rPr>
          <w:b/>
          <w:i/>
          <w:sz w:val="16"/>
          <w:szCs w:val="20"/>
        </w:rPr>
      </w:pPr>
    </w:p>
    <w:p w:rsidR="006A0E1C" w:rsidRPr="00D13792" w:rsidRDefault="006A0E1C" w:rsidP="006A0E1C">
      <w:pPr>
        <w:pStyle w:val="Heading3"/>
        <w:ind w:left="0"/>
        <w:rPr>
          <w:i/>
          <w:lang w:val="es-CR"/>
        </w:rPr>
      </w:pPr>
      <w:bookmarkStart w:id="146" w:name="_Toc460938858"/>
      <w:bookmarkStart w:id="147" w:name="_Toc468443287"/>
      <w:bookmarkStart w:id="148" w:name="_Toc469670023"/>
      <w:r w:rsidRPr="00D13792">
        <w:rPr>
          <w:bCs/>
          <w:i/>
          <w:iCs/>
          <w:lang w:val="es-CR"/>
        </w:rPr>
        <w:t xml:space="preserve">B.10. </w:t>
      </w:r>
      <w:r w:rsidRPr="00D13792">
        <w:rPr>
          <w:i/>
          <w:lang w:val="es-CR"/>
        </w:rPr>
        <w:t>Ejecución de Andrea Osorio Galeano el 19 de febrero de 1982</w:t>
      </w:r>
      <w:bookmarkEnd w:id="146"/>
      <w:bookmarkEnd w:id="147"/>
      <w:bookmarkEnd w:id="148"/>
    </w:p>
    <w:p w:rsidR="006A0E1C" w:rsidRPr="00D13792" w:rsidRDefault="006A0E1C" w:rsidP="006A0E1C">
      <w:pPr>
        <w:spacing w:line="240" w:lineRule="auto"/>
        <w:rPr>
          <w:i/>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El </w:t>
      </w:r>
      <w:r w:rsidRPr="00D13792">
        <w:rPr>
          <w:bCs/>
          <w:sz w:val="20"/>
          <w:szCs w:val="20"/>
        </w:rPr>
        <w:t>19 de febrero de 1982</w:t>
      </w:r>
      <w:r w:rsidRPr="00D13792">
        <w:rPr>
          <w:sz w:val="20"/>
          <w:szCs w:val="20"/>
        </w:rPr>
        <w:t xml:space="preserve"> un grupo de militares sacaron a Andrea Osorio Galeano de su vivienda en la aldea Chichupac. Al día siguiente, su hijo encontró su cuerpo sin vida como a un kilómetro de su vivienda</w:t>
      </w:r>
      <w:r w:rsidRPr="00D13792">
        <w:rPr>
          <w:sz w:val="20"/>
          <w:szCs w:val="20"/>
          <w:vertAlign w:val="superscript"/>
        </w:rPr>
        <w:footnoteReference w:id="108"/>
      </w:r>
      <w:r w:rsidRPr="00D13792">
        <w:rPr>
          <w:sz w:val="20"/>
          <w:szCs w:val="20"/>
        </w:rPr>
        <w:t>, el cual fue sepultado. Los restos de Andrea Osorio fueron exhumados, analizados e identificados en el año 1993 por el EAFG en una cuarta fosa ubicada en el lugar en que se hallaron las tres fosas en que fueron exhumados los restos de los hombres ejecutados el 8 de enero de 1982 (</w:t>
      </w:r>
      <w:r w:rsidRPr="00D13792">
        <w:rPr>
          <w:i/>
          <w:sz w:val="20"/>
          <w:szCs w:val="20"/>
        </w:rPr>
        <w:t>supra</w:t>
      </w:r>
      <w:r w:rsidRPr="00D13792">
        <w:rPr>
          <w:sz w:val="20"/>
          <w:szCs w:val="20"/>
        </w:rPr>
        <w:t xml:space="preserve"> párr. 91). En los hallazgos del EAFG se documentó la presencia de fracturas en el cuerpo y en diversas vértebras</w:t>
      </w:r>
      <w:r w:rsidRPr="00D13792">
        <w:rPr>
          <w:sz w:val="20"/>
          <w:szCs w:val="20"/>
          <w:vertAlign w:val="superscript"/>
        </w:rPr>
        <w:footnoteReference w:id="109"/>
      </w:r>
      <w:r w:rsidRPr="00D13792">
        <w:rPr>
          <w:sz w:val="20"/>
          <w:szCs w:val="20"/>
        </w:rPr>
        <w:t>.</w:t>
      </w:r>
    </w:p>
    <w:p w:rsidR="006A0E1C" w:rsidRPr="00D13792" w:rsidRDefault="006A0E1C" w:rsidP="006A0E1C">
      <w:pPr>
        <w:spacing w:line="240" w:lineRule="auto"/>
        <w:rPr>
          <w:sz w:val="16"/>
          <w:szCs w:val="20"/>
        </w:rPr>
      </w:pPr>
    </w:p>
    <w:p w:rsidR="006A0E1C" w:rsidRPr="00D13792" w:rsidRDefault="006A0E1C" w:rsidP="006A0E1C">
      <w:pPr>
        <w:pStyle w:val="Heading3"/>
        <w:ind w:left="0"/>
        <w:rPr>
          <w:i/>
          <w:lang w:val="es-CR"/>
        </w:rPr>
      </w:pPr>
      <w:bookmarkStart w:id="149" w:name="_Toc460938859"/>
      <w:bookmarkStart w:id="150" w:name="_Toc468443288"/>
      <w:bookmarkStart w:id="151" w:name="_Toc469670024"/>
      <w:r w:rsidRPr="00D13792">
        <w:rPr>
          <w:bCs/>
          <w:i/>
          <w:iCs/>
          <w:lang w:val="es-CR"/>
        </w:rPr>
        <w:t xml:space="preserve">B.11. </w:t>
      </w:r>
      <w:r w:rsidRPr="00D13792">
        <w:rPr>
          <w:i/>
          <w:lang w:val="es-CR"/>
        </w:rPr>
        <w:t>Ejecución de Elías Milián González y Amelia Milián Morales el 23 de marzo y 20 de abril de 1982</w:t>
      </w:r>
      <w:bookmarkEnd w:id="149"/>
      <w:bookmarkEnd w:id="150"/>
      <w:bookmarkEnd w:id="151"/>
    </w:p>
    <w:p w:rsidR="006A0E1C" w:rsidRPr="00D13792" w:rsidRDefault="006A0E1C" w:rsidP="006A0E1C">
      <w:pPr>
        <w:spacing w:line="240" w:lineRule="auto"/>
        <w:rPr>
          <w:sz w:val="16"/>
          <w:szCs w:val="20"/>
        </w:rPr>
      </w:pPr>
    </w:p>
    <w:p w:rsidR="006A0E1C" w:rsidRPr="00D13792" w:rsidRDefault="006A0E1C" w:rsidP="006A0E1C">
      <w:pPr>
        <w:numPr>
          <w:ilvl w:val="0"/>
          <w:numId w:val="6"/>
        </w:numPr>
        <w:tabs>
          <w:tab w:val="left" w:pos="567"/>
        </w:tabs>
        <w:spacing w:line="240" w:lineRule="auto"/>
        <w:ind w:right="4"/>
        <w:rPr>
          <w:rFonts w:cs="Arial"/>
          <w:sz w:val="20"/>
          <w:szCs w:val="20"/>
        </w:rPr>
      </w:pPr>
      <w:r w:rsidRPr="00D13792">
        <w:rPr>
          <w:sz w:val="20"/>
          <w:szCs w:val="20"/>
        </w:rPr>
        <w:t xml:space="preserve">El </w:t>
      </w:r>
      <w:r w:rsidRPr="00D13792">
        <w:rPr>
          <w:bCs/>
          <w:sz w:val="20"/>
          <w:szCs w:val="20"/>
        </w:rPr>
        <w:t>22 de marzo de 1982</w:t>
      </w:r>
      <w:r w:rsidRPr="00D13792">
        <w:rPr>
          <w:sz w:val="20"/>
          <w:szCs w:val="20"/>
        </w:rPr>
        <w:t xml:space="preserve"> el señor Elías Milián González fue detenido por un grupo de militares mientras se dirigía al centro del municipio de Rabinal. Al día siguiente, fue trasladado </w:t>
      </w:r>
      <w:r w:rsidRPr="00D13792">
        <w:rPr>
          <w:sz w:val="20"/>
          <w:szCs w:val="20"/>
        </w:rPr>
        <w:lastRenderedPageBreak/>
        <w:t xml:space="preserve">a la clínica de Xeabaj y ahorcado </w:t>
      </w:r>
      <w:r w:rsidRPr="00D13792">
        <w:rPr>
          <w:rFonts w:cs="Arial"/>
          <w:sz w:val="20"/>
          <w:szCs w:val="20"/>
        </w:rPr>
        <w:t>en la aldea Chijom</w:t>
      </w:r>
      <w:r w:rsidRPr="00D13792">
        <w:rPr>
          <w:sz w:val="20"/>
          <w:szCs w:val="20"/>
        </w:rPr>
        <w:t xml:space="preserve">. Su cadáver fue localizado días después en un horno de panela por su familia, la cual procedió a </w:t>
      </w:r>
      <w:r w:rsidRPr="00D13792">
        <w:rPr>
          <w:rFonts w:cs="Arial"/>
          <w:sz w:val="20"/>
          <w:szCs w:val="20"/>
        </w:rPr>
        <w:t>sepultarlo en ese mismo lugar</w:t>
      </w:r>
      <w:r w:rsidRPr="00D13792">
        <w:rPr>
          <w:sz w:val="20"/>
          <w:szCs w:val="20"/>
        </w:rPr>
        <w:t xml:space="preserve">. El 20 de abril de 1982 un grupo de militares llegó a la aldea Toloxcoc e ingresó a la vivienda de Amelia Milián Morales, hija de Elías Milián, y a esta la detuvieron y se la llevaron. Su cadáver fue localizado ese mismo día en un horno </w:t>
      </w:r>
      <w:r w:rsidRPr="00D13792">
        <w:rPr>
          <w:rFonts w:cs="Arial"/>
          <w:sz w:val="20"/>
          <w:szCs w:val="20"/>
        </w:rPr>
        <w:t>de panela de</w:t>
      </w:r>
      <w:r w:rsidRPr="00D13792">
        <w:rPr>
          <w:sz w:val="20"/>
          <w:szCs w:val="20"/>
        </w:rPr>
        <w:t xml:space="preserve"> </w:t>
      </w:r>
      <w:r w:rsidRPr="00D13792">
        <w:rPr>
          <w:rFonts w:cs="Arial"/>
          <w:sz w:val="20"/>
          <w:szCs w:val="20"/>
        </w:rPr>
        <w:t>dulce</w:t>
      </w:r>
      <w:r w:rsidRPr="00D13792">
        <w:rPr>
          <w:sz w:val="20"/>
          <w:szCs w:val="20"/>
        </w:rPr>
        <w:t xml:space="preserve"> en dicha aldea por una de sus hermanas, quien procedió a enterrarlo</w:t>
      </w:r>
      <w:r w:rsidRPr="00D13792">
        <w:rPr>
          <w:sz w:val="20"/>
          <w:szCs w:val="20"/>
          <w:vertAlign w:val="superscript"/>
        </w:rPr>
        <w:footnoteReference w:id="110"/>
      </w:r>
      <w:r w:rsidRPr="00D13792">
        <w:rPr>
          <w:sz w:val="20"/>
          <w:szCs w:val="20"/>
        </w:rPr>
        <w:t xml:space="preserve">. </w:t>
      </w:r>
    </w:p>
    <w:p w:rsidR="006A0E1C" w:rsidRPr="00D13792" w:rsidRDefault="006A0E1C" w:rsidP="006A0E1C">
      <w:pPr>
        <w:spacing w:line="240" w:lineRule="auto"/>
        <w:rPr>
          <w:rFonts w:cs="Arial"/>
          <w:sz w:val="20"/>
          <w:szCs w:val="20"/>
        </w:rPr>
      </w:pPr>
    </w:p>
    <w:p w:rsidR="006A0E1C" w:rsidRPr="00D13792" w:rsidRDefault="006A0E1C" w:rsidP="006A0E1C">
      <w:pPr>
        <w:numPr>
          <w:ilvl w:val="0"/>
          <w:numId w:val="6"/>
        </w:numPr>
        <w:tabs>
          <w:tab w:val="left" w:pos="567"/>
        </w:tabs>
        <w:spacing w:line="240" w:lineRule="auto"/>
        <w:ind w:right="4"/>
        <w:rPr>
          <w:rFonts w:cs="Arial"/>
          <w:sz w:val="20"/>
          <w:szCs w:val="20"/>
        </w:rPr>
      </w:pPr>
      <w:r w:rsidRPr="00D13792">
        <w:rPr>
          <w:sz w:val="20"/>
          <w:szCs w:val="20"/>
        </w:rPr>
        <w:t xml:space="preserve">En el año 2007 se realizaron diligencias de exhumación en </w:t>
      </w:r>
      <w:r w:rsidRPr="00D13792">
        <w:rPr>
          <w:rFonts w:cs="Arial"/>
          <w:sz w:val="20"/>
          <w:szCs w:val="20"/>
        </w:rPr>
        <w:t>Toloxcoc a fin de localizar</w:t>
      </w:r>
      <w:r w:rsidRPr="00D13792">
        <w:rPr>
          <w:sz w:val="20"/>
          <w:szCs w:val="20"/>
        </w:rPr>
        <w:t>, entre otros,</w:t>
      </w:r>
      <w:r w:rsidRPr="00D13792">
        <w:rPr>
          <w:rFonts w:cs="Arial"/>
          <w:sz w:val="20"/>
          <w:szCs w:val="20"/>
        </w:rPr>
        <w:t xml:space="preserve"> los restos de </w:t>
      </w:r>
      <w:r w:rsidRPr="00D13792">
        <w:rPr>
          <w:sz w:val="20"/>
          <w:szCs w:val="20"/>
        </w:rPr>
        <w:t>Amelia Milián Morales</w:t>
      </w:r>
      <w:r w:rsidRPr="00D13792">
        <w:rPr>
          <w:rFonts w:cs="Arial"/>
          <w:sz w:val="20"/>
          <w:szCs w:val="20"/>
        </w:rPr>
        <w:t xml:space="preserve">. Mediante un peritaje de la FAFG, en el año 2008 se informó que se encontraron los restos óseos, ropa y efectos personales de tres individuos: </w:t>
      </w:r>
      <w:r w:rsidRPr="00D13792">
        <w:rPr>
          <w:sz w:val="20"/>
          <w:szCs w:val="20"/>
        </w:rPr>
        <w:t>“un femenino adulto, un masculino de grupo etario no determinado, así como un individuo de sexo y de grupo etario no determinado”. Sin embargo, no fue posible su identificación</w:t>
      </w:r>
      <w:r w:rsidRPr="00D13792">
        <w:rPr>
          <w:rFonts w:cs="Arial"/>
          <w:sz w:val="20"/>
          <w:szCs w:val="20"/>
        </w:rPr>
        <w:t xml:space="preserve"> ni </w:t>
      </w:r>
      <w:r w:rsidRPr="00D13792">
        <w:rPr>
          <w:sz w:val="20"/>
          <w:szCs w:val="20"/>
        </w:rPr>
        <w:t>la determinación de la causa de su muerte, sin que ello signifique que, según el informe forense, se debiera descartar “que las mismas correspondan a los individuos buscados”. Las tres osamentas fueron entregadas en calidad de depósito a Tarcila Milián Morales</w:t>
      </w:r>
      <w:r w:rsidRPr="00D13792">
        <w:rPr>
          <w:rStyle w:val="FootnoteReference"/>
          <w:sz w:val="20"/>
          <w:szCs w:val="20"/>
        </w:rPr>
        <w:footnoteReference w:id="111"/>
      </w:r>
      <w:r w:rsidRPr="00D13792">
        <w:rPr>
          <w:rFonts w:cs="Arial"/>
          <w:sz w:val="20"/>
          <w:szCs w:val="20"/>
        </w:rPr>
        <w:t xml:space="preserve">. Posteriormente, en el año 2010 se realizó una diligencia de exhumación de restos en Chijom, seguida de un </w:t>
      </w:r>
      <w:r w:rsidRPr="00D13792">
        <w:rPr>
          <w:sz w:val="20"/>
          <w:szCs w:val="20"/>
        </w:rPr>
        <w:t>análisis antropológico forense</w:t>
      </w:r>
      <w:r w:rsidRPr="00D13792">
        <w:rPr>
          <w:rFonts w:cs="Arial"/>
          <w:sz w:val="20"/>
          <w:szCs w:val="20"/>
        </w:rPr>
        <w:t xml:space="preserve">. En el informe </w:t>
      </w:r>
      <w:r w:rsidRPr="00D13792">
        <w:rPr>
          <w:sz w:val="20"/>
          <w:szCs w:val="20"/>
        </w:rPr>
        <w:t xml:space="preserve">forense </w:t>
      </w:r>
      <w:r w:rsidRPr="00D13792">
        <w:rPr>
          <w:rFonts w:cs="Arial"/>
          <w:sz w:val="20"/>
          <w:szCs w:val="20"/>
        </w:rPr>
        <w:t xml:space="preserve">elaborado </w:t>
      </w:r>
      <w:r w:rsidRPr="00D13792">
        <w:rPr>
          <w:sz w:val="20"/>
          <w:szCs w:val="20"/>
        </w:rPr>
        <w:t xml:space="preserve">en el año 2011 </w:t>
      </w:r>
      <w:r w:rsidRPr="00D13792">
        <w:rPr>
          <w:rFonts w:cs="Arial"/>
          <w:sz w:val="20"/>
          <w:szCs w:val="20"/>
        </w:rPr>
        <w:t>por la FAFG</w:t>
      </w:r>
      <w:r w:rsidRPr="00D13792">
        <w:rPr>
          <w:sz w:val="20"/>
          <w:szCs w:val="20"/>
        </w:rPr>
        <w:t xml:space="preserve"> se logró concluir que dichos restos pertenecían al señor Elías Milián González</w:t>
      </w:r>
      <w:r w:rsidRPr="00D13792">
        <w:rPr>
          <w:rFonts w:cs="Arial"/>
          <w:sz w:val="20"/>
          <w:szCs w:val="20"/>
        </w:rPr>
        <w:t xml:space="preserve">, y </w:t>
      </w:r>
      <w:r w:rsidRPr="00D13792">
        <w:rPr>
          <w:sz w:val="20"/>
          <w:szCs w:val="20"/>
        </w:rPr>
        <w:t xml:space="preserve">que el individuo “recibió al menos un impacto contuso en [la] mandibular”. </w:t>
      </w:r>
      <w:r w:rsidRPr="00D13792">
        <w:rPr>
          <w:rFonts w:cs="Arial"/>
          <w:sz w:val="20"/>
          <w:szCs w:val="20"/>
        </w:rPr>
        <w:t xml:space="preserve">El 18 de abril de 2012 el </w:t>
      </w:r>
      <w:r w:rsidRPr="00D13792">
        <w:rPr>
          <w:rStyle w:val="CommentReference"/>
          <w:rFonts w:cs="Arial"/>
          <w:sz w:val="20"/>
          <w:szCs w:val="20"/>
        </w:rPr>
        <w:t>auxiliar Fiscal de la Fiscalía Municipal del Ministerio Público de Rabinal</w:t>
      </w:r>
      <w:r w:rsidRPr="00D13792">
        <w:rPr>
          <w:sz w:val="20"/>
          <w:szCs w:val="20"/>
        </w:rPr>
        <w:t xml:space="preserve"> entregó los</w:t>
      </w:r>
      <w:r w:rsidRPr="00D13792">
        <w:rPr>
          <w:rStyle w:val="CommentReference"/>
          <w:rFonts w:cs="Arial"/>
          <w:sz w:val="20"/>
          <w:szCs w:val="20"/>
        </w:rPr>
        <w:t xml:space="preserve"> restos del señor Milián a su hija Tarcila Milián</w:t>
      </w:r>
      <w:r w:rsidRPr="00D13792">
        <w:rPr>
          <w:rStyle w:val="FootnoteReference"/>
          <w:rFonts w:cs="Arial"/>
          <w:sz w:val="20"/>
          <w:szCs w:val="20"/>
        </w:rPr>
        <w:footnoteReference w:id="112"/>
      </w:r>
      <w:r w:rsidRPr="00D13792">
        <w:rPr>
          <w:rStyle w:val="CommentReference"/>
          <w:rFonts w:cs="Arial"/>
          <w:sz w:val="20"/>
          <w:szCs w:val="20"/>
        </w:rPr>
        <w:t>.</w:t>
      </w:r>
    </w:p>
    <w:p w:rsidR="006A0E1C" w:rsidRPr="00D13792" w:rsidRDefault="006A0E1C" w:rsidP="006A0E1C">
      <w:pPr>
        <w:spacing w:line="240" w:lineRule="auto"/>
        <w:rPr>
          <w:sz w:val="16"/>
          <w:szCs w:val="20"/>
        </w:rPr>
      </w:pPr>
    </w:p>
    <w:p w:rsidR="006A0E1C" w:rsidRPr="00D13792" w:rsidRDefault="006A0E1C" w:rsidP="006A0E1C">
      <w:pPr>
        <w:pStyle w:val="Heading3"/>
        <w:ind w:left="0"/>
        <w:rPr>
          <w:i/>
          <w:lang w:val="es-CR"/>
        </w:rPr>
      </w:pPr>
      <w:bookmarkStart w:id="152" w:name="_Toc460938860"/>
      <w:bookmarkStart w:id="153" w:name="_Toc468443289"/>
      <w:bookmarkStart w:id="154" w:name="_Toc469670025"/>
      <w:r w:rsidRPr="00D13792">
        <w:rPr>
          <w:bCs/>
          <w:i/>
          <w:iCs/>
          <w:lang w:val="es-CR"/>
        </w:rPr>
        <w:t>B.12. V</w:t>
      </w:r>
      <w:r w:rsidRPr="00D13792">
        <w:rPr>
          <w:i/>
          <w:lang w:val="es-CR"/>
        </w:rPr>
        <w:t>iolación sexual y ejecución de Gregoria Valey lxtecoc el 22 de noviembre de 1982</w:t>
      </w:r>
      <w:bookmarkEnd w:id="152"/>
      <w:bookmarkEnd w:id="153"/>
      <w:bookmarkEnd w:id="154"/>
    </w:p>
    <w:p w:rsidR="006A0E1C" w:rsidRPr="00D13792" w:rsidRDefault="006A0E1C" w:rsidP="006A0E1C">
      <w:pPr>
        <w:spacing w:line="240" w:lineRule="auto"/>
        <w:rPr>
          <w:b/>
          <w:i/>
          <w:sz w:val="16"/>
          <w:szCs w:val="20"/>
        </w:rPr>
      </w:pPr>
    </w:p>
    <w:p w:rsidR="006A0E1C" w:rsidRPr="00D13792" w:rsidRDefault="006A0E1C" w:rsidP="006A0E1C">
      <w:pPr>
        <w:numPr>
          <w:ilvl w:val="0"/>
          <w:numId w:val="6"/>
        </w:numPr>
        <w:tabs>
          <w:tab w:val="left" w:pos="567"/>
        </w:tabs>
        <w:spacing w:line="240" w:lineRule="auto"/>
        <w:ind w:right="4"/>
        <w:rPr>
          <w:rFonts w:cs="Arial"/>
          <w:sz w:val="20"/>
          <w:szCs w:val="20"/>
        </w:rPr>
      </w:pPr>
      <w:r w:rsidRPr="00D13792">
        <w:rPr>
          <w:sz w:val="20"/>
          <w:szCs w:val="20"/>
        </w:rPr>
        <w:t>Por</w:t>
      </w:r>
      <w:r w:rsidRPr="00D13792">
        <w:rPr>
          <w:rFonts w:cs="Arial"/>
          <w:sz w:val="20"/>
          <w:szCs w:val="20"/>
        </w:rPr>
        <w:t xml:space="preserve"> la mañana del 22 de noviembre de 1982 un grupo de militares y miembros de las PAC </w:t>
      </w:r>
      <w:r w:rsidRPr="00D13792">
        <w:rPr>
          <w:sz w:val="20"/>
          <w:szCs w:val="20"/>
        </w:rPr>
        <w:t>llegó</w:t>
      </w:r>
      <w:r w:rsidRPr="00D13792">
        <w:rPr>
          <w:rFonts w:cs="Arial"/>
          <w:sz w:val="20"/>
          <w:szCs w:val="20"/>
        </w:rPr>
        <w:t xml:space="preserve"> a la aldea Chichupac e ingresaron a la vivienda de la señora Gregoria Valey lxtecoc, quien </w:t>
      </w:r>
      <w:r w:rsidRPr="00D13792">
        <w:rPr>
          <w:sz w:val="20"/>
          <w:szCs w:val="20"/>
        </w:rPr>
        <w:t>tenía entre cuatro y ocho meses de embarazo</w:t>
      </w:r>
      <w:r w:rsidRPr="00D13792">
        <w:rPr>
          <w:rFonts w:cs="Arial"/>
          <w:sz w:val="20"/>
          <w:szCs w:val="20"/>
        </w:rPr>
        <w:t xml:space="preserve">. Luego de preguntarle por su esposo, quien no se encontraba, los militares se retiraron. Alrededor del mediodía el grupo de militares regresó a la vivienda de la señora Valey, la violaron sexualmente y posteriormente la colgaron en el techo de su vivienda con un lazo y la ahorcaron. Luego de ello quemaron la vivienda. Ese mismo día sus restos fueron enterrados por sus familiares cerca de ese lugar. </w:t>
      </w:r>
      <w:r w:rsidRPr="00D13792">
        <w:rPr>
          <w:sz w:val="20"/>
          <w:szCs w:val="20"/>
        </w:rPr>
        <w:t xml:space="preserve">En el año 2002 miembros de la FAFG identificaron dicha fosa, la cual hacía parte de un cementerio clandestino en el que se exhumaron e identificaron los restos de </w:t>
      </w:r>
      <w:r w:rsidRPr="00D13792">
        <w:rPr>
          <w:rFonts w:cs="Arial"/>
          <w:sz w:val="20"/>
          <w:szCs w:val="20"/>
        </w:rPr>
        <w:t>Gregoria Valey,</w:t>
      </w:r>
      <w:r w:rsidRPr="00D13792">
        <w:rPr>
          <w:sz w:val="20"/>
          <w:szCs w:val="20"/>
        </w:rPr>
        <w:t xml:space="preserve"> entre otros</w:t>
      </w:r>
      <w:r w:rsidRPr="00D13792">
        <w:rPr>
          <w:sz w:val="20"/>
          <w:szCs w:val="20"/>
          <w:vertAlign w:val="superscript"/>
        </w:rPr>
        <w:footnoteReference w:id="113"/>
      </w:r>
      <w:r w:rsidRPr="00D13792">
        <w:rPr>
          <w:sz w:val="20"/>
          <w:szCs w:val="20"/>
        </w:rPr>
        <w:t>.</w:t>
      </w:r>
    </w:p>
    <w:p w:rsidR="006A0E1C" w:rsidRPr="00D13792" w:rsidRDefault="006A0E1C" w:rsidP="006A0E1C">
      <w:pPr>
        <w:spacing w:line="240" w:lineRule="auto"/>
        <w:rPr>
          <w:sz w:val="16"/>
          <w:szCs w:val="20"/>
        </w:rPr>
      </w:pPr>
    </w:p>
    <w:p w:rsidR="006A0E1C" w:rsidRPr="00D13792" w:rsidRDefault="006A0E1C" w:rsidP="006A0E1C">
      <w:pPr>
        <w:pStyle w:val="Heading3"/>
        <w:ind w:left="0"/>
        <w:rPr>
          <w:i/>
          <w:lang w:val="es-CR"/>
        </w:rPr>
      </w:pPr>
      <w:bookmarkStart w:id="155" w:name="_Toc460938861"/>
      <w:bookmarkStart w:id="156" w:name="_Toc468443290"/>
      <w:bookmarkStart w:id="157" w:name="_Toc469670026"/>
      <w:r w:rsidRPr="00D13792">
        <w:rPr>
          <w:bCs/>
          <w:i/>
          <w:iCs/>
          <w:lang w:val="es-CR"/>
        </w:rPr>
        <w:t xml:space="preserve">B.13. </w:t>
      </w:r>
      <w:r w:rsidRPr="00D13792">
        <w:rPr>
          <w:i/>
          <w:lang w:val="es-CR"/>
        </w:rPr>
        <w:t>Desaparición de Juan Pérez Sic desde el 15 de</w:t>
      </w:r>
      <w:r w:rsidRPr="00D13792">
        <w:rPr>
          <w:bCs/>
          <w:i/>
          <w:iCs/>
          <w:lang w:val="es-CR"/>
        </w:rPr>
        <w:t xml:space="preserve"> </w:t>
      </w:r>
      <w:r w:rsidRPr="00D13792">
        <w:rPr>
          <w:i/>
          <w:lang w:val="es-CR"/>
        </w:rPr>
        <w:t>noviembre de 1981</w:t>
      </w:r>
      <w:bookmarkEnd w:id="155"/>
      <w:bookmarkEnd w:id="156"/>
      <w:bookmarkEnd w:id="157"/>
    </w:p>
    <w:p w:rsidR="006A0E1C" w:rsidRPr="00D13792" w:rsidRDefault="006A0E1C" w:rsidP="006A0E1C">
      <w:pPr>
        <w:spacing w:line="240" w:lineRule="auto"/>
        <w:rPr>
          <w:sz w:val="20"/>
          <w:szCs w:val="20"/>
        </w:rPr>
      </w:pPr>
    </w:p>
    <w:p w:rsidR="006A0E1C" w:rsidRPr="00D13792" w:rsidRDefault="006A0E1C" w:rsidP="006A0E1C">
      <w:pPr>
        <w:numPr>
          <w:ilvl w:val="0"/>
          <w:numId w:val="6"/>
        </w:numPr>
        <w:tabs>
          <w:tab w:val="left" w:pos="567"/>
        </w:tabs>
        <w:spacing w:line="240" w:lineRule="auto"/>
        <w:ind w:right="4"/>
        <w:rPr>
          <w:rFonts w:cs="Calibri"/>
          <w:sz w:val="20"/>
          <w:szCs w:val="20"/>
        </w:rPr>
      </w:pPr>
      <w:r w:rsidRPr="00D13792">
        <w:rPr>
          <w:rFonts w:cs="Calibri"/>
          <w:sz w:val="20"/>
          <w:szCs w:val="20"/>
        </w:rPr>
        <w:t xml:space="preserve">El 15 de noviembre de 1981 a las 18:00 horas aproximadamente, un grupo de “judiciales” llegó a la vivienda de Manuela Toj Pérez y Juan Pérez Sic. Este último salió a atenderlos mientras que algunos de los hombres entraron a la casa a registrarla y </w:t>
      </w:r>
      <w:r w:rsidRPr="00D13792">
        <w:rPr>
          <w:sz w:val="20"/>
          <w:szCs w:val="20"/>
        </w:rPr>
        <w:t>posteriormente</w:t>
      </w:r>
      <w:r w:rsidRPr="00D13792">
        <w:rPr>
          <w:rFonts w:cs="Calibri"/>
          <w:sz w:val="20"/>
          <w:szCs w:val="20"/>
        </w:rPr>
        <w:t xml:space="preserve"> se marcharon. Esa fue la última vez que Manuela Toj vio con vida a Juan Pérez, </w:t>
      </w:r>
      <w:r w:rsidRPr="00D13792">
        <w:rPr>
          <w:rFonts w:cs="Calibri"/>
          <w:sz w:val="20"/>
          <w:szCs w:val="20"/>
        </w:rPr>
        <w:lastRenderedPageBreak/>
        <w:t>pues desde esa fecha se desconoce su paradero</w:t>
      </w:r>
      <w:r w:rsidRPr="00D13792">
        <w:rPr>
          <w:rStyle w:val="FootnoteReference"/>
          <w:rFonts w:cs="Calibri"/>
          <w:sz w:val="20"/>
          <w:szCs w:val="20"/>
        </w:rPr>
        <w:footnoteReference w:id="114"/>
      </w:r>
      <w:r w:rsidRPr="00D13792">
        <w:rPr>
          <w:rFonts w:cs="Calibri"/>
          <w:sz w:val="20"/>
          <w:szCs w:val="20"/>
        </w:rPr>
        <w:t>.</w:t>
      </w:r>
    </w:p>
    <w:p w:rsidR="006A0E1C" w:rsidRPr="00D13792" w:rsidRDefault="006A0E1C" w:rsidP="006A0E1C">
      <w:pPr>
        <w:spacing w:line="240" w:lineRule="auto"/>
        <w:rPr>
          <w:sz w:val="16"/>
          <w:szCs w:val="20"/>
        </w:rPr>
      </w:pPr>
    </w:p>
    <w:p w:rsidR="006A0E1C" w:rsidRPr="00D13792" w:rsidRDefault="006A0E1C" w:rsidP="006A0E1C">
      <w:pPr>
        <w:pStyle w:val="Heading3"/>
        <w:ind w:left="0"/>
        <w:rPr>
          <w:i/>
          <w:lang w:val="es-CR"/>
        </w:rPr>
      </w:pPr>
      <w:bookmarkStart w:id="158" w:name="_Toc460938862"/>
      <w:bookmarkStart w:id="159" w:name="_Toc468443291"/>
      <w:bookmarkStart w:id="160" w:name="_Toc469670027"/>
      <w:r w:rsidRPr="00D13792">
        <w:rPr>
          <w:bCs/>
          <w:i/>
          <w:iCs/>
          <w:lang w:val="es-CR"/>
        </w:rPr>
        <w:t xml:space="preserve">B.14. </w:t>
      </w:r>
      <w:r w:rsidRPr="00D13792">
        <w:rPr>
          <w:i/>
          <w:lang w:val="es-CR"/>
        </w:rPr>
        <w:t>Desaparición de ocho personas desde el 26 de</w:t>
      </w:r>
      <w:r w:rsidRPr="00D13792">
        <w:rPr>
          <w:bCs/>
          <w:i/>
          <w:iCs/>
          <w:lang w:val="es-CR"/>
        </w:rPr>
        <w:t xml:space="preserve"> </w:t>
      </w:r>
      <w:r w:rsidRPr="00D13792">
        <w:rPr>
          <w:i/>
          <w:lang w:val="es-CR"/>
        </w:rPr>
        <w:t>noviembre de 1982 y detención de Napoleón García De Paz ese mismo día</w:t>
      </w:r>
      <w:bookmarkEnd w:id="158"/>
      <w:bookmarkEnd w:id="159"/>
      <w:bookmarkEnd w:id="160"/>
    </w:p>
    <w:p w:rsidR="006A0E1C" w:rsidRPr="00D13792" w:rsidRDefault="006A0E1C" w:rsidP="006A0E1C">
      <w:pPr>
        <w:spacing w:line="240" w:lineRule="auto"/>
        <w:rPr>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En la tarde del </w:t>
      </w:r>
      <w:r w:rsidRPr="00D13792">
        <w:rPr>
          <w:bCs/>
          <w:sz w:val="20"/>
          <w:szCs w:val="20"/>
        </w:rPr>
        <w:t>26 de noviembre de 1982</w:t>
      </w:r>
      <w:r w:rsidRPr="00D13792">
        <w:rPr>
          <w:sz w:val="20"/>
          <w:szCs w:val="20"/>
        </w:rPr>
        <w:t>, un grupo de militares y de las PAC llegó a las aldeas Xeabaj y Chijom, en donde detuvieron y retiraron de sus viviendas a las siguientes nueve personas: Gorgonio Gonzalez Gonzalez; Gabino Román Yvoy (o Iboy o Ivoy); Cruz Pérez Ampérez; Eustaquio lxtecoc Gonzalez (</w:t>
      </w:r>
      <w:r w:rsidRPr="00D13792">
        <w:rPr>
          <w:rFonts w:cs="Calibri"/>
          <w:sz w:val="20"/>
          <w:szCs w:val="20"/>
        </w:rPr>
        <w:t>o Eustaquio Yxtecoc Gonzalez)</w:t>
      </w:r>
      <w:r w:rsidRPr="00D13792">
        <w:rPr>
          <w:sz w:val="20"/>
          <w:szCs w:val="20"/>
        </w:rPr>
        <w:t>; Jorge Galeano Román; Rafael Depaz Tecú; Enrique Mendoza Sis; Dionisio Vachán (</w:t>
      </w:r>
      <w:r w:rsidRPr="00D13792">
        <w:rPr>
          <w:rFonts w:cs="Calibri"/>
          <w:sz w:val="20"/>
          <w:szCs w:val="20"/>
        </w:rPr>
        <w:t>o</w:t>
      </w:r>
      <w:r w:rsidRPr="00D13792">
        <w:rPr>
          <w:sz w:val="20"/>
          <w:szCs w:val="20"/>
        </w:rPr>
        <w:t xml:space="preserve"> </w:t>
      </w:r>
      <w:r w:rsidRPr="00D13792">
        <w:rPr>
          <w:rFonts w:cs="Calibri"/>
          <w:sz w:val="20"/>
          <w:szCs w:val="20"/>
        </w:rPr>
        <w:t>Bachan)</w:t>
      </w:r>
      <w:r w:rsidRPr="00D13792">
        <w:rPr>
          <w:sz w:val="20"/>
          <w:szCs w:val="20"/>
        </w:rPr>
        <w:t xml:space="preserve">, y Napoleón García De Paz (o Napoleón García Depaz o Napoleón García de Páz). Estas nueve personas fueron amarradas de las manos y llevadas al cementerio San Francisco en la aldea Xeabaj. El señor Napoleón García De Paz relató a la Corte que en ese lugar los pusieron boca abajo con las manos atadas y les dieron culatazos en la espalda. </w:t>
      </w:r>
      <w:r w:rsidRPr="00D13792">
        <w:rPr>
          <w:rFonts w:cs="Calibri"/>
          <w:sz w:val="20"/>
          <w:szCs w:val="20"/>
        </w:rPr>
        <w:t xml:space="preserve">Aproximadamente a la 1:00 a.m., </w:t>
      </w:r>
      <w:r w:rsidRPr="00D13792">
        <w:rPr>
          <w:sz w:val="20"/>
          <w:szCs w:val="20"/>
        </w:rPr>
        <w:t xml:space="preserve">pudo desatar sus manos y fue el </w:t>
      </w:r>
      <w:r w:rsidRPr="00D13792">
        <w:rPr>
          <w:rFonts w:cs="Calibri"/>
          <w:sz w:val="20"/>
          <w:szCs w:val="20"/>
        </w:rPr>
        <w:t>único que logró escapar</w:t>
      </w:r>
      <w:r w:rsidRPr="00D13792">
        <w:rPr>
          <w:rStyle w:val="FootnoteReference"/>
          <w:sz w:val="20"/>
          <w:szCs w:val="20"/>
        </w:rPr>
        <w:footnoteReference w:id="115"/>
      </w:r>
      <w:r w:rsidRPr="00D13792">
        <w:rPr>
          <w:sz w:val="20"/>
          <w:szCs w:val="20"/>
        </w:rPr>
        <w:t xml:space="preserve">. </w:t>
      </w:r>
    </w:p>
    <w:p w:rsidR="006A0E1C" w:rsidRPr="00D13792" w:rsidRDefault="006A0E1C" w:rsidP="006A0E1C">
      <w:pPr>
        <w:spacing w:line="240" w:lineRule="auto"/>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En el año 2004 miembros de la FAFG realizaron excavaciones en el cementerio municipal de Xeabaj, sin que se lograra localizar los restos óseos buscados. En el informe elaborado se explicó que “el área de trabajo era muy reducida por encontrarse en medio de los nichos construidos en este lugar y también que los testigos no tenían una ubicación exacta de donde se encontraba el enterramiento, por lo cual no se pudieron hallar los restos óseos señalados”</w:t>
      </w:r>
      <w:r w:rsidRPr="00D13792">
        <w:rPr>
          <w:rStyle w:val="FootnoteReference"/>
          <w:sz w:val="20"/>
          <w:szCs w:val="20"/>
        </w:rPr>
        <w:footnoteReference w:id="116"/>
      </w:r>
      <w:r w:rsidRPr="00D13792">
        <w:rPr>
          <w:sz w:val="20"/>
          <w:szCs w:val="20"/>
        </w:rPr>
        <w:t>. Asimismo, consta que el 22 de diciembre de 2014 la FAFG presentó ante el Ministerio Público un Dictamen Pericial de la Investigación Antropológico Forense llevada a cabo en el Cementerio San Francisco, aldea Chuateguá, los días 7 de marzo de 2012 y 20 de marzo de 2013, sin encontrar los restos buscadas</w:t>
      </w:r>
      <w:r w:rsidRPr="00D13792">
        <w:rPr>
          <w:rStyle w:val="FootnoteReference"/>
          <w:sz w:val="20"/>
          <w:szCs w:val="20"/>
        </w:rPr>
        <w:footnoteReference w:id="117"/>
      </w:r>
      <w:r w:rsidRPr="00D13792">
        <w:rPr>
          <w:sz w:val="20"/>
          <w:szCs w:val="20"/>
        </w:rPr>
        <w:t>. A la fecha se desconoce el paradero de los ocho hombres.</w:t>
      </w:r>
    </w:p>
    <w:p w:rsidR="006A0E1C" w:rsidRPr="00D13792" w:rsidRDefault="006A0E1C" w:rsidP="006A0E1C">
      <w:pPr>
        <w:spacing w:line="240" w:lineRule="auto"/>
        <w:rPr>
          <w:sz w:val="16"/>
          <w:szCs w:val="20"/>
        </w:rPr>
      </w:pPr>
    </w:p>
    <w:p w:rsidR="006A0E1C" w:rsidRPr="00D13792" w:rsidRDefault="006A0E1C" w:rsidP="006A0E1C">
      <w:pPr>
        <w:pStyle w:val="Heading3"/>
        <w:ind w:left="0"/>
        <w:rPr>
          <w:bCs/>
          <w:i/>
          <w:iCs/>
          <w:lang w:val="es-CR"/>
        </w:rPr>
      </w:pPr>
      <w:bookmarkStart w:id="161" w:name="_Toc460938863"/>
      <w:bookmarkStart w:id="162" w:name="_Toc468443292"/>
      <w:bookmarkStart w:id="163" w:name="_Toc469670028"/>
      <w:r w:rsidRPr="00D13792">
        <w:rPr>
          <w:bCs/>
          <w:i/>
          <w:iCs/>
          <w:lang w:val="es-CR"/>
        </w:rPr>
        <w:t xml:space="preserve">B.15. </w:t>
      </w:r>
      <w:r w:rsidRPr="00D13792">
        <w:rPr>
          <w:i/>
          <w:lang w:val="es-CR"/>
        </w:rPr>
        <w:t>Ejecución de ocho personas el 2 de marzo de 1983</w:t>
      </w:r>
      <w:bookmarkEnd w:id="161"/>
      <w:bookmarkEnd w:id="162"/>
      <w:bookmarkEnd w:id="163"/>
    </w:p>
    <w:p w:rsidR="006A0E1C" w:rsidRPr="00D13792" w:rsidRDefault="006A0E1C" w:rsidP="006A0E1C">
      <w:pPr>
        <w:spacing w:line="240" w:lineRule="auto"/>
        <w:rPr>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El </w:t>
      </w:r>
      <w:r w:rsidRPr="00D13792">
        <w:rPr>
          <w:bCs/>
          <w:sz w:val="20"/>
          <w:szCs w:val="20"/>
        </w:rPr>
        <w:t>2 de marzo de 1983</w:t>
      </w:r>
      <w:r w:rsidRPr="00D13792">
        <w:rPr>
          <w:sz w:val="20"/>
          <w:szCs w:val="20"/>
        </w:rPr>
        <w:t xml:space="preserve">, alrededor de las 5:00 a.m., un grupo de aproximadamente 18 personas que había huido a la montaña buscando refugio por la situación violenta de la zona, fue sorprendido por miembros del Ejército Nacional mientras dormían en una choza que les servía de refugio. Al verlos, los militares procedieron a disparar y algunas personas lograron escapar, entre ellas, el señor Napoleón García De Paz, su esposa e hijos. En la huida el señor Napoleón García recibió dos disparos en un dedo de la mano y en el pie. Las siguientes ocho personas de la aldea Xeabaj fueron ejecutadas a tiros y a machetazos: cinco niñas y niños, Rosa González Tecú de 10 años, María Concepción Xitumul Xitumul (o Maria Ixtococ Chitimul) de 5 años, Héctor Rolando Alvarado García de 4 años, Adela Florentina Alvarado García (o Delia Alvarado García) de 1 año y una niña de nombre desconocido de entre 0 y 3 meses; dos mujeres, </w:t>
      </w:r>
      <w:r w:rsidRPr="00D13792">
        <w:rPr>
          <w:rFonts w:cs="Calibri"/>
          <w:sz w:val="20"/>
          <w:szCs w:val="20"/>
        </w:rPr>
        <w:t>Enriqueta Tecú</w:t>
      </w:r>
      <w:r w:rsidRPr="00D13792">
        <w:rPr>
          <w:sz w:val="20"/>
          <w:szCs w:val="20"/>
        </w:rPr>
        <w:t xml:space="preserve"> (o Enriqueta Tecú Chiquito) y Lucía Xitumul Ixpancoc (o Luciana Xitumul Ixpancoc), y un hombre, Luciano Alvarado Xitumul (o Luciano Alvarado Chitimul). Sus cuerpos fueron enterrados en una fosa clandestina en la aldea Xeabaj por vecinos y </w:t>
      </w:r>
      <w:r w:rsidRPr="00D13792">
        <w:rPr>
          <w:sz w:val="20"/>
          <w:szCs w:val="20"/>
        </w:rPr>
        <w:lastRenderedPageBreak/>
        <w:t>familiares</w:t>
      </w:r>
      <w:r w:rsidRPr="00D13792">
        <w:rPr>
          <w:sz w:val="20"/>
          <w:szCs w:val="20"/>
          <w:vertAlign w:val="superscript"/>
        </w:rPr>
        <w:footnoteReference w:id="118"/>
      </w:r>
      <w:r w:rsidRPr="00D13792">
        <w:rPr>
          <w:sz w:val="20"/>
          <w:szCs w:val="20"/>
        </w:rPr>
        <w:t xml:space="preserve">. </w:t>
      </w:r>
    </w:p>
    <w:p w:rsidR="006A0E1C" w:rsidRPr="00D13792" w:rsidRDefault="006A0E1C" w:rsidP="006A0E1C">
      <w:pPr>
        <w:spacing w:line="240" w:lineRule="auto"/>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En el año 2004 miembros de la FAFG realizaron la excavación de una fosa colectiva y exhumaron restos humanos, prendas de vestir, artículos personales y vestigios balísticos. Una vez realizados los análisis respectivos, se concluyó que se recuperaron seis restos óseos que fueron identificados y coinciden con seis de las personas indicadas anteriormente. Los restos de Héctor Rolando Alvarado García y María Concepción Xitumul no fueron identificados</w:t>
      </w:r>
      <w:r w:rsidRPr="00D13792">
        <w:rPr>
          <w:sz w:val="20"/>
          <w:szCs w:val="20"/>
          <w:vertAlign w:val="superscript"/>
        </w:rPr>
        <w:footnoteReference w:id="119"/>
      </w:r>
      <w:r w:rsidRPr="00D13792">
        <w:rPr>
          <w:sz w:val="20"/>
          <w:szCs w:val="20"/>
        </w:rPr>
        <w:t>. El informe forense señaló que algunas osamentas evidenciaron “trauma circunmortem, como producto de la violencia ejercida al individuo en un momento cercano a la muerte, compatible con herida de proyectil de arma de fuego en cráneo y lesiones contusas en tórax”. Finalmente, “[e]l patrón de enterramiento presentado en la fosa permit[ió] inferir que fue realizado por los familiares y/o vecinos, ya que el enterramiento present[ó] ofrendas asociadas a las osamentas y además fueron recubiertas con ponchos para protección de los difuntos, colocándolos en el fondo de la fosa y no arrojándolos”</w:t>
      </w:r>
      <w:r w:rsidRPr="00D13792">
        <w:rPr>
          <w:sz w:val="20"/>
          <w:szCs w:val="20"/>
          <w:vertAlign w:val="superscript"/>
        </w:rPr>
        <w:footnoteReference w:id="120"/>
      </w:r>
      <w:r w:rsidRPr="00D13792">
        <w:rPr>
          <w:sz w:val="20"/>
          <w:szCs w:val="20"/>
        </w:rPr>
        <w:t>.</w:t>
      </w:r>
    </w:p>
    <w:p w:rsidR="006A0E1C" w:rsidRPr="00D13792" w:rsidRDefault="006A0E1C" w:rsidP="006A0E1C">
      <w:pPr>
        <w:spacing w:line="240" w:lineRule="auto"/>
        <w:rPr>
          <w:sz w:val="16"/>
          <w:szCs w:val="20"/>
        </w:rPr>
      </w:pPr>
    </w:p>
    <w:p w:rsidR="006A0E1C" w:rsidRPr="00D13792" w:rsidRDefault="006A0E1C" w:rsidP="006A0E1C">
      <w:pPr>
        <w:pStyle w:val="Heading3"/>
        <w:ind w:left="0"/>
        <w:rPr>
          <w:bCs/>
          <w:i/>
          <w:iCs/>
          <w:lang w:val="es-CR"/>
        </w:rPr>
      </w:pPr>
      <w:bookmarkStart w:id="164" w:name="_Toc460938864"/>
      <w:bookmarkStart w:id="165" w:name="_Toc468443293"/>
      <w:bookmarkStart w:id="166" w:name="_Toc469670029"/>
      <w:r w:rsidRPr="00D13792">
        <w:rPr>
          <w:bCs/>
          <w:i/>
          <w:iCs/>
          <w:lang w:val="es-CR"/>
        </w:rPr>
        <w:t xml:space="preserve">B.16. </w:t>
      </w:r>
      <w:r w:rsidRPr="00D13792">
        <w:rPr>
          <w:i/>
          <w:lang w:val="es-CR"/>
        </w:rPr>
        <w:t>Fallecimiento del niño Antonio Chen Mendoza en marzo de</w:t>
      </w:r>
      <w:r w:rsidRPr="00D13792">
        <w:rPr>
          <w:bCs/>
          <w:i/>
          <w:iCs/>
          <w:lang w:val="es-CR"/>
        </w:rPr>
        <w:t xml:space="preserve"> </w:t>
      </w:r>
      <w:r w:rsidRPr="00D13792">
        <w:rPr>
          <w:i/>
          <w:lang w:val="es-CR"/>
        </w:rPr>
        <w:t>1983</w:t>
      </w:r>
      <w:bookmarkEnd w:id="164"/>
      <w:bookmarkEnd w:id="165"/>
      <w:bookmarkEnd w:id="166"/>
    </w:p>
    <w:p w:rsidR="006A0E1C" w:rsidRPr="00D13792" w:rsidRDefault="006A0E1C" w:rsidP="006A0E1C">
      <w:pPr>
        <w:spacing w:line="240" w:lineRule="auto"/>
        <w:rPr>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bCs/>
          <w:sz w:val="20"/>
          <w:szCs w:val="20"/>
        </w:rPr>
        <w:t xml:space="preserve">El señor Miguel Chen Tahuico y la señora Vicenta Mendoza Alvarado y sus cuatro hijos salieron de su vivienda en la aldea Chichupac huyendo hacia la montaña </w:t>
      </w:r>
      <w:r w:rsidRPr="00D13792">
        <w:rPr>
          <w:sz w:val="20"/>
          <w:szCs w:val="20"/>
        </w:rPr>
        <w:t>debido a la persecución por parte de los militares</w:t>
      </w:r>
      <w:r w:rsidRPr="00D13792">
        <w:rPr>
          <w:bCs/>
          <w:sz w:val="20"/>
          <w:szCs w:val="20"/>
        </w:rPr>
        <w:t>.</w:t>
      </w:r>
      <w:r w:rsidRPr="00D13792">
        <w:rPr>
          <w:sz w:val="20"/>
          <w:szCs w:val="20"/>
        </w:rPr>
        <w:t xml:space="preserve"> Debido a la </w:t>
      </w:r>
      <w:r w:rsidRPr="00D13792">
        <w:rPr>
          <w:rFonts w:cs="Calibri"/>
          <w:sz w:val="20"/>
          <w:szCs w:val="20"/>
        </w:rPr>
        <w:t>exposición al clima</w:t>
      </w:r>
      <w:r w:rsidRPr="00D13792">
        <w:rPr>
          <w:sz w:val="20"/>
          <w:szCs w:val="20"/>
        </w:rPr>
        <w:t xml:space="preserve">, uno de sus hijos, </w:t>
      </w:r>
      <w:r w:rsidRPr="00D13792">
        <w:rPr>
          <w:rFonts w:cs="Arial"/>
          <w:sz w:val="20"/>
          <w:szCs w:val="20"/>
        </w:rPr>
        <w:t>Antonio Chen Mendoza de 6 años de edad,</w:t>
      </w:r>
      <w:r w:rsidRPr="00D13792">
        <w:rPr>
          <w:sz w:val="20"/>
          <w:szCs w:val="20"/>
        </w:rPr>
        <w:t xml:space="preserve"> “empezó a sufrir de diarreas, fiebre y le dieron granos en su cuerpecito, y a consecuencia de esta enfermedad […] falleció”. Su cuerpo fue enterrado en la montaña, sin que se tenga certeza sobre la fecha de su muerte debido a que, tal como lo señaló su padre, “en la montaña no llevaba control del tiempo”. </w:t>
      </w:r>
    </w:p>
    <w:p w:rsidR="006A0E1C" w:rsidRPr="00D13792" w:rsidRDefault="006A0E1C" w:rsidP="006A0E1C">
      <w:pPr>
        <w:spacing w:line="240" w:lineRule="auto"/>
        <w:rPr>
          <w:sz w:val="16"/>
          <w:szCs w:val="20"/>
        </w:rPr>
      </w:pPr>
    </w:p>
    <w:p w:rsidR="006A0E1C" w:rsidRPr="00D13792" w:rsidRDefault="006A0E1C" w:rsidP="006A0E1C">
      <w:pPr>
        <w:pStyle w:val="Heading3"/>
        <w:ind w:left="0"/>
        <w:rPr>
          <w:i/>
          <w:lang w:val="es-CR"/>
        </w:rPr>
      </w:pPr>
      <w:bookmarkStart w:id="167" w:name="_Toc460938865"/>
      <w:bookmarkStart w:id="168" w:name="_Toc468443294"/>
      <w:bookmarkStart w:id="169" w:name="_Toc469670030"/>
      <w:r w:rsidRPr="00D13792">
        <w:rPr>
          <w:i/>
          <w:lang w:val="es-CR"/>
        </w:rPr>
        <w:t>B.17. Ejecución de los hermanos Eusebia y José León Grave García el 22 de octubre de 1983</w:t>
      </w:r>
      <w:bookmarkEnd w:id="167"/>
      <w:bookmarkEnd w:id="168"/>
      <w:bookmarkEnd w:id="169"/>
    </w:p>
    <w:p w:rsidR="006A0E1C" w:rsidRPr="00D13792" w:rsidRDefault="006A0E1C" w:rsidP="006A0E1C">
      <w:pPr>
        <w:spacing w:line="240" w:lineRule="auto"/>
        <w:rPr>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bCs/>
          <w:sz w:val="20"/>
          <w:szCs w:val="20"/>
        </w:rPr>
        <w:t>El</w:t>
      </w:r>
      <w:r w:rsidRPr="00D13792">
        <w:rPr>
          <w:sz w:val="20"/>
          <w:szCs w:val="20"/>
        </w:rPr>
        <w:t xml:space="preserve"> </w:t>
      </w:r>
      <w:r w:rsidRPr="00D13792">
        <w:rPr>
          <w:bCs/>
          <w:sz w:val="20"/>
          <w:szCs w:val="20"/>
        </w:rPr>
        <w:t>22 de octubre de 1983</w:t>
      </w:r>
      <w:r w:rsidRPr="00D13792">
        <w:rPr>
          <w:sz w:val="20"/>
          <w:szCs w:val="20"/>
        </w:rPr>
        <w:t xml:space="preserve"> un grupo de militares y de las PAC ejecutaron a los hermanos Eusebia y José León Grave García (de 18 y 17 años de edad), hijos de</w:t>
      </w:r>
      <w:r w:rsidRPr="00D13792">
        <w:rPr>
          <w:rFonts w:cs="Arial"/>
          <w:sz w:val="20"/>
          <w:szCs w:val="20"/>
        </w:rPr>
        <w:t xml:space="preserve"> Juana García Depaz. </w:t>
      </w:r>
      <w:r w:rsidRPr="00D13792">
        <w:rPr>
          <w:sz w:val="20"/>
          <w:szCs w:val="20"/>
        </w:rPr>
        <w:t>Eusebia Grave se encontraba en una quebrada bañándose y José León Grave estaba desayunando. A este le cortaron sus genitales, su oreja y su nariz, y “le abrieron su cuerpo” previo a su muerte. Sus cadáveres fueron enterrados por familiares y vecinos en una fosa ubicada en la montaña Cumatzá,</w:t>
      </w:r>
      <w:r w:rsidRPr="00D13792">
        <w:rPr>
          <w:rFonts w:eastAsia="Segoe UI" w:cs="Segoe UI"/>
          <w:sz w:val="20"/>
          <w:szCs w:val="20"/>
        </w:rPr>
        <w:t xml:space="preserve"> en la aldea Xeabaj</w:t>
      </w:r>
      <w:r w:rsidRPr="00D13792">
        <w:rPr>
          <w:sz w:val="20"/>
          <w:szCs w:val="20"/>
        </w:rPr>
        <w:t>. En el año 2002 miembros de la FAFG identificaron dicha fosa, la cual hacía parte de un cementerio clandestino, y en el año 2003 las osamentas de Eusebia y José León Grave García fueron identificados por su madre mediante un reconocimiento judicial</w:t>
      </w:r>
      <w:r w:rsidRPr="00D13792">
        <w:rPr>
          <w:sz w:val="20"/>
          <w:szCs w:val="20"/>
          <w:vertAlign w:val="superscript"/>
        </w:rPr>
        <w:footnoteReference w:id="121"/>
      </w:r>
      <w:r w:rsidRPr="00D13792">
        <w:rPr>
          <w:sz w:val="20"/>
          <w:szCs w:val="20"/>
        </w:rPr>
        <w:t>.</w:t>
      </w:r>
    </w:p>
    <w:p w:rsidR="006A0E1C" w:rsidRPr="00D13792" w:rsidRDefault="006A0E1C" w:rsidP="006A0E1C">
      <w:pPr>
        <w:pStyle w:val="Heading3"/>
        <w:ind w:left="0"/>
        <w:rPr>
          <w:lang w:val="es-CR"/>
        </w:rPr>
      </w:pPr>
    </w:p>
    <w:p w:rsidR="006A0E1C" w:rsidRPr="00D13792" w:rsidRDefault="006A0E1C" w:rsidP="006A0E1C">
      <w:pPr>
        <w:pStyle w:val="Heading3"/>
        <w:ind w:left="0"/>
        <w:rPr>
          <w:rFonts w:cs="Arial"/>
          <w:i/>
          <w:lang w:val="es-CR"/>
        </w:rPr>
      </w:pPr>
      <w:bookmarkStart w:id="170" w:name="_Toc460938866"/>
      <w:bookmarkStart w:id="171" w:name="_Toc468443295"/>
      <w:bookmarkStart w:id="172" w:name="_Toc469670031"/>
      <w:r w:rsidRPr="00D13792">
        <w:rPr>
          <w:i/>
          <w:iCs/>
          <w:lang w:val="es-CR"/>
        </w:rPr>
        <w:t xml:space="preserve">B.18. </w:t>
      </w:r>
      <w:r w:rsidRPr="00D13792">
        <w:rPr>
          <w:rFonts w:cs="Arial"/>
          <w:i/>
          <w:lang w:val="es-CR"/>
        </w:rPr>
        <w:t>Situación</w:t>
      </w:r>
      <w:r w:rsidRPr="00D13792">
        <w:rPr>
          <w:i/>
          <w:lang w:val="es-CR"/>
        </w:rPr>
        <w:t xml:space="preserve"> </w:t>
      </w:r>
      <w:r w:rsidRPr="00D13792">
        <w:rPr>
          <w:rFonts w:cs="Arial"/>
          <w:i/>
          <w:lang w:val="es-CR"/>
        </w:rPr>
        <w:t>de Juana García Depaz a partir del 22 de octubre de 1983 y trabajos forzosos</w:t>
      </w:r>
      <w:bookmarkEnd w:id="170"/>
      <w:bookmarkEnd w:id="171"/>
      <w:bookmarkEnd w:id="172"/>
    </w:p>
    <w:p w:rsidR="006A0E1C" w:rsidRPr="00D13792" w:rsidRDefault="006A0E1C" w:rsidP="006A0E1C">
      <w:pPr>
        <w:spacing w:line="240" w:lineRule="auto"/>
        <w:rPr>
          <w:b/>
          <w:bCs/>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bCs/>
          <w:sz w:val="20"/>
          <w:szCs w:val="20"/>
        </w:rPr>
        <w:t>Por la mañana del 22 de octubre de 1983, un grupo de “judiciales” y alrededor de</w:t>
      </w:r>
      <w:r w:rsidRPr="00D13792">
        <w:rPr>
          <w:rFonts w:cs="Arial"/>
          <w:sz w:val="20"/>
          <w:szCs w:val="20"/>
        </w:rPr>
        <w:t xml:space="preserve"> doscientos militares detuvieron </w:t>
      </w:r>
      <w:r w:rsidRPr="00D13792">
        <w:rPr>
          <w:sz w:val="20"/>
          <w:szCs w:val="20"/>
        </w:rPr>
        <w:t>a Juana García Depaz junto con un</w:t>
      </w:r>
      <w:r w:rsidRPr="00D13792">
        <w:rPr>
          <w:rFonts w:cs="Arial"/>
          <w:sz w:val="20"/>
          <w:szCs w:val="20"/>
        </w:rPr>
        <w:t xml:space="preserve"> grupo de mujeres, niñas y </w:t>
      </w:r>
      <w:r w:rsidRPr="00D13792">
        <w:rPr>
          <w:rFonts w:cs="Arial"/>
          <w:sz w:val="20"/>
          <w:szCs w:val="20"/>
        </w:rPr>
        <w:lastRenderedPageBreak/>
        <w:t>niños, reunieron a los vecinos de la zona y quemaron su ropa y comida</w:t>
      </w:r>
      <w:r w:rsidRPr="00D13792">
        <w:rPr>
          <w:sz w:val="20"/>
          <w:szCs w:val="20"/>
        </w:rPr>
        <w:t xml:space="preserve">. Posteriormente, </w:t>
      </w:r>
      <w:r w:rsidRPr="00D13792">
        <w:rPr>
          <w:rFonts w:cs="Arial"/>
          <w:sz w:val="20"/>
          <w:szCs w:val="20"/>
        </w:rPr>
        <w:t xml:space="preserve">llevaron a un grupo de personas, incluida </w:t>
      </w:r>
      <w:r w:rsidRPr="00D13792">
        <w:rPr>
          <w:sz w:val="20"/>
          <w:szCs w:val="20"/>
        </w:rPr>
        <w:t>Juana García,</w:t>
      </w:r>
      <w:r w:rsidRPr="00D13792">
        <w:rPr>
          <w:rFonts w:cs="Arial"/>
          <w:sz w:val="20"/>
          <w:szCs w:val="20"/>
        </w:rPr>
        <w:t xml:space="preserve"> a un destacamento militar ubicado en la cabecera municipal de Rabinal, donde los tuvieron “sin comida” y “sin agua”. Por la noche, el grupo de personas fue encerrado en un mismo cuarto y durante tres </w:t>
      </w:r>
      <w:r w:rsidRPr="00D13792">
        <w:rPr>
          <w:sz w:val="20"/>
          <w:szCs w:val="20"/>
        </w:rPr>
        <w:t xml:space="preserve">noches las mujeres fueron golpeadas y violadas sexualmente por militares y “judiciales”. Durante ese tiempo a Juana García se le amenazó de muerte, se le colgó del cuello con un lazo y se le interrogó sobre la guerrilla. Después de tres días y </w:t>
      </w:r>
      <w:r w:rsidRPr="00D13792">
        <w:rPr>
          <w:rFonts w:cs="Arial"/>
          <w:sz w:val="20"/>
          <w:szCs w:val="20"/>
        </w:rPr>
        <w:t>una vez que los militares se llevaron a las niñas y niños “al sanatorio de las hermanas de la Caridad”</w:t>
      </w:r>
      <w:r w:rsidRPr="00D13792">
        <w:rPr>
          <w:sz w:val="20"/>
          <w:szCs w:val="20"/>
        </w:rPr>
        <w:t xml:space="preserve">, trasladaron al grupo de personas a la colonia Pacux de Rabinal, donde los retuvieron. Entre el 31 de diciembre de 1983 y 1 de enero de 1984, un grupo de hombres y mujeres, incluida Juana García, fue llevado por militares a la aldea de Chichupac, en donde vivieron concentrados en galeras. En ese lugar, las mujeres pasaron hambre, las obligaron a cocinar para trescientos o cuatrocientos soldados del destacamento y fueron víctimas de violaciones sexuales. Las violaciones sexuales llevadas a cabo </w:t>
      </w:r>
      <w:r w:rsidRPr="00D13792">
        <w:rPr>
          <w:rFonts w:cs="Arial"/>
          <w:sz w:val="20"/>
          <w:szCs w:val="20"/>
        </w:rPr>
        <w:t>por militares</w:t>
      </w:r>
      <w:r w:rsidRPr="00D13792">
        <w:rPr>
          <w:sz w:val="20"/>
          <w:szCs w:val="20"/>
        </w:rPr>
        <w:t xml:space="preserve"> e</w:t>
      </w:r>
      <w:r w:rsidRPr="00D13792">
        <w:rPr>
          <w:rFonts w:cs="Arial"/>
          <w:sz w:val="20"/>
          <w:szCs w:val="20"/>
        </w:rPr>
        <w:t xml:space="preserve">n octubre de </w:t>
      </w:r>
      <w:r w:rsidRPr="00D13792">
        <w:rPr>
          <w:sz w:val="20"/>
          <w:szCs w:val="20"/>
        </w:rPr>
        <w:t xml:space="preserve">1982 </w:t>
      </w:r>
      <w:r w:rsidRPr="00D13792">
        <w:rPr>
          <w:rFonts w:cs="Arial"/>
          <w:sz w:val="20"/>
          <w:szCs w:val="20"/>
        </w:rPr>
        <w:t xml:space="preserve">y junio de </w:t>
      </w:r>
      <w:r w:rsidRPr="00D13792">
        <w:rPr>
          <w:sz w:val="20"/>
          <w:szCs w:val="20"/>
        </w:rPr>
        <w:t>1985 en contra de la Juana García resultaron en dos embarazos,</w:t>
      </w:r>
      <w:r w:rsidRPr="00D13792">
        <w:rPr>
          <w:rFonts w:cs="Arial"/>
          <w:sz w:val="20"/>
          <w:szCs w:val="20"/>
        </w:rPr>
        <w:t xml:space="preserve"> de los cuales nacieron sus hijos </w:t>
      </w:r>
      <w:r w:rsidRPr="00D13792">
        <w:rPr>
          <w:sz w:val="20"/>
          <w:szCs w:val="20"/>
        </w:rPr>
        <w:t>Edgar y Sandra Maribel García</w:t>
      </w:r>
      <w:r w:rsidRPr="00D13792">
        <w:rPr>
          <w:rStyle w:val="FootnoteReference"/>
          <w:rFonts w:cs="Arial"/>
          <w:sz w:val="20"/>
          <w:szCs w:val="20"/>
        </w:rPr>
        <w:footnoteReference w:id="122"/>
      </w:r>
      <w:r w:rsidRPr="00D13792">
        <w:rPr>
          <w:sz w:val="20"/>
          <w:szCs w:val="20"/>
        </w:rPr>
        <w:t>.</w:t>
      </w:r>
    </w:p>
    <w:p w:rsidR="006A0E1C" w:rsidRPr="00D13792" w:rsidRDefault="006A0E1C" w:rsidP="006A0E1C">
      <w:pPr>
        <w:spacing w:line="240" w:lineRule="auto"/>
        <w:rPr>
          <w:b/>
          <w:bCs/>
          <w:sz w:val="20"/>
          <w:szCs w:val="20"/>
        </w:rPr>
      </w:pPr>
    </w:p>
    <w:p w:rsidR="006A0E1C" w:rsidRPr="00D13792" w:rsidRDefault="006A0E1C" w:rsidP="006A0E1C">
      <w:pPr>
        <w:pStyle w:val="Heading3"/>
        <w:ind w:left="0"/>
        <w:rPr>
          <w:i/>
          <w:lang w:val="es-CR"/>
        </w:rPr>
      </w:pPr>
      <w:bookmarkStart w:id="173" w:name="_Toc460938867"/>
      <w:bookmarkStart w:id="174" w:name="_Toc468443296"/>
      <w:bookmarkStart w:id="175" w:name="_Toc469670032"/>
      <w:r w:rsidRPr="00D13792">
        <w:rPr>
          <w:bCs/>
          <w:i/>
          <w:iCs/>
          <w:lang w:val="es-CR"/>
        </w:rPr>
        <w:t>B.19.</w:t>
      </w:r>
      <w:r w:rsidRPr="00D13792">
        <w:rPr>
          <w:i/>
          <w:lang w:val="es-CR"/>
        </w:rPr>
        <w:t xml:space="preserve"> Ejecución de Medardo Juárez García el 31 de agosto de 1983 o 1984</w:t>
      </w:r>
      <w:bookmarkEnd w:id="173"/>
      <w:bookmarkEnd w:id="174"/>
      <w:bookmarkEnd w:id="175"/>
    </w:p>
    <w:p w:rsidR="006A0E1C" w:rsidRPr="00D13792" w:rsidRDefault="006A0E1C" w:rsidP="006A0E1C">
      <w:pPr>
        <w:spacing w:line="240" w:lineRule="auto"/>
        <w:rPr>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bCs/>
          <w:sz w:val="20"/>
          <w:szCs w:val="20"/>
        </w:rPr>
        <w:t>El 31 de agosto de 1983 o 1984</w:t>
      </w:r>
      <w:r w:rsidRPr="00D13792">
        <w:rPr>
          <w:sz w:val="20"/>
          <w:szCs w:val="20"/>
        </w:rPr>
        <w:t xml:space="preserve"> un grupo de militares y de las PAC llegaron a la aldea Chichupac, entraron al patio de la vivienda de María Concepción García Depaz, su esposo y sus cinco hijos y realizaron disparos. En ese momento su hijo Medardo Juárez García, de entre 14 y 16 años de edad, se asustó y salió hacia la calle. En respuesta, uno de los militares le disparó y este cayó muerto. Ese mismo día, los militares quemaron la vivienda de su familia y se robaron todas sus pertenencias, junto con otras viviendas de la aldea. Los familiares de Medardo Juárez sepultaron su cadáver en una fosa que cavaron cerca de su vivienda</w:t>
      </w:r>
      <w:r w:rsidRPr="00D13792">
        <w:rPr>
          <w:sz w:val="20"/>
          <w:szCs w:val="20"/>
          <w:vertAlign w:val="superscript"/>
        </w:rPr>
        <w:footnoteReference w:id="123"/>
      </w:r>
      <w:r w:rsidRPr="00D13792">
        <w:rPr>
          <w:sz w:val="20"/>
          <w:szCs w:val="20"/>
        </w:rPr>
        <w:t>. En el año 2002 miembros de la FAFG identificaron dicha fosa, la cual hacía parte de un cementerio clandestino en el que se exhumaron e identificaron los restos humanos de Medardo Juárez</w:t>
      </w:r>
      <w:r w:rsidRPr="00D13792">
        <w:rPr>
          <w:rFonts w:cs="Arial"/>
          <w:sz w:val="20"/>
          <w:szCs w:val="20"/>
        </w:rPr>
        <w:t>,</w:t>
      </w:r>
      <w:r w:rsidRPr="00D13792">
        <w:rPr>
          <w:sz w:val="20"/>
          <w:szCs w:val="20"/>
        </w:rPr>
        <w:t xml:space="preserve"> entre otros</w:t>
      </w:r>
      <w:r w:rsidRPr="00D13792">
        <w:rPr>
          <w:sz w:val="20"/>
          <w:szCs w:val="20"/>
          <w:vertAlign w:val="superscript"/>
        </w:rPr>
        <w:footnoteReference w:id="124"/>
      </w:r>
      <w:r w:rsidRPr="00D13792">
        <w:rPr>
          <w:sz w:val="20"/>
          <w:szCs w:val="20"/>
        </w:rPr>
        <w:t>.</w:t>
      </w:r>
    </w:p>
    <w:p w:rsidR="006A0E1C" w:rsidRPr="00D13792" w:rsidRDefault="006A0E1C" w:rsidP="006A0E1C">
      <w:pPr>
        <w:spacing w:line="240" w:lineRule="auto"/>
        <w:rPr>
          <w:rFonts w:cs="Arial"/>
          <w:b/>
          <w:i/>
          <w:sz w:val="16"/>
          <w:szCs w:val="20"/>
        </w:rPr>
      </w:pPr>
    </w:p>
    <w:p w:rsidR="006A0E1C" w:rsidRPr="00D13792" w:rsidRDefault="006A0E1C" w:rsidP="006A0E1C">
      <w:pPr>
        <w:pStyle w:val="Heading3"/>
        <w:ind w:left="0"/>
        <w:rPr>
          <w:rFonts w:cs="Arial"/>
          <w:i/>
          <w:lang w:val="es-CR"/>
        </w:rPr>
      </w:pPr>
      <w:bookmarkStart w:id="176" w:name="_Toc460938868"/>
      <w:bookmarkStart w:id="177" w:name="_Toc468443297"/>
      <w:bookmarkStart w:id="178" w:name="_Toc469670033"/>
      <w:r w:rsidRPr="00D13792">
        <w:rPr>
          <w:bCs/>
          <w:i/>
          <w:iCs/>
          <w:lang w:val="es-CR"/>
        </w:rPr>
        <w:t>B.20.</w:t>
      </w:r>
      <w:r w:rsidRPr="00D13792">
        <w:rPr>
          <w:rFonts w:cs="Arial"/>
          <w:i/>
          <w:lang w:val="es-CR"/>
        </w:rPr>
        <w:t xml:space="preserve"> Desaparición de </w:t>
      </w:r>
      <w:r w:rsidRPr="00D13792">
        <w:rPr>
          <w:i/>
          <w:lang w:val="es-CR"/>
        </w:rPr>
        <w:t xml:space="preserve">Marcelo Sic Chen desde </w:t>
      </w:r>
      <w:r w:rsidRPr="00D13792">
        <w:rPr>
          <w:bCs/>
          <w:i/>
          <w:lang w:val="es-CR"/>
        </w:rPr>
        <w:t>diciembre de 1984</w:t>
      </w:r>
      <w:bookmarkEnd w:id="176"/>
      <w:bookmarkEnd w:id="177"/>
      <w:bookmarkEnd w:id="178"/>
    </w:p>
    <w:p w:rsidR="006A0E1C" w:rsidRPr="00D13792" w:rsidRDefault="006A0E1C" w:rsidP="006A0E1C">
      <w:pPr>
        <w:spacing w:line="240" w:lineRule="auto"/>
        <w:rPr>
          <w:rFonts w:cs="Arial"/>
          <w:b/>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El señor Marcelo Sic Chen llegó entre el 13 y 15 de diciembre de 1984 a la colonia Chichupac a fin de “amnistiarse y entregarse”. En dicho lugar, fue recibido por un comisionado militar quien lo entregó a los miembros del Ejército Nacional. Posteriormente fue llevado al destacamento de Rabinal y hasta la fecha se desconoce su paradero.</w:t>
      </w:r>
    </w:p>
    <w:p w:rsidR="006A0E1C" w:rsidRPr="00D13792" w:rsidRDefault="006A0E1C" w:rsidP="006A0E1C">
      <w:pPr>
        <w:pStyle w:val="Heading3"/>
        <w:ind w:left="0"/>
        <w:rPr>
          <w:lang w:val="es-CR"/>
        </w:rPr>
      </w:pPr>
    </w:p>
    <w:p w:rsidR="006A0E1C" w:rsidRPr="00D13792" w:rsidRDefault="006A0E1C" w:rsidP="006A0E1C">
      <w:pPr>
        <w:pStyle w:val="Heading3"/>
        <w:ind w:left="0"/>
        <w:rPr>
          <w:rFonts w:cs="Arial"/>
          <w:i/>
          <w:lang w:val="es-CR"/>
        </w:rPr>
      </w:pPr>
      <w:bookmarkStart w:id="179" w:name="_Toc460938869"/>
      <w:bookmarkStart w:id="180" w:name="_Toc468443298"/>
      <w:bookmarkStart w:id="181" w:name="_Toc469670034"/>
      <w:r w:rsidRPr="00D13792">
        <w:rPr>
          <w:bCs/>
          <w:i/>
          <w:iCs/>
          <w:lang w:val="es-CR"/>
        </w:rPr>
        <w:t>B.21.</w:t>
      </w:r>
      <w:r w:rsidRPr="00D13792">
        <w:rPr>
          <w:rFonts w:cs="Arial"/>
          <w:i/>
          <w:lang w:val="es-CR"/>
        </w:rPr>
        <w:t xml:space="preserve"> Ejecución de </w:t>
      </w:r>
      <w:r w:rsidRPr="00D13792">
        <w:rPr>
          <w:i/>
          <w:lang w:val="es-CR"/>
        </w:rPr>
        <w:t xml:space="preserve">Silvestre Sic y Raymunda Corazón </w:t>
      </w:r>
      <w:r w:rsidRPr="00D13792">
        <w:rPr>
          <w:rFonts w:cs="Arial"/>
          <w:i/>
          <w:lang w:val="es-CR"/>
        </w:rPr>
        <w:t xml:space="preserve">el </w:t>
      </w:r>
      <w:r w:rsidRPr="00D13792">
        <w:rPr>
          <w:i/>
          <w:lang w:val="es-CR"/>
        </w:rPr>
        <w:t>20 de diciembre de 1984</w:t>
      </w:r>
      <w:bookmarkEnd w:id="179"/>
      <w:bookmarkEnd w:id="180"/>
      <w:bookmarkEnd w:id="181"/>
    </w:p>
    <w:p w:rsidR="006A0E1C" w:rsidRPr="00D13792" w:rsidRDefault="006A0E1C" w:rsidP="006A0E1C">
      <w:pPr>
        <w:spacing w:line="240" w:lineRule="auto"/>
        <w:rPr>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Por la mañana del 20 de diciembre de 1984, un grupo de militares y miembros de las PAC ingresó a una vivienda en la aldea de Chichupac donde se encontraban Silvestre Sic (o Silvestre Sic Xutumul), padre de Marcelo Sic Chen (</w:t>
      </w:r>
      <w:r w:rsidRPr="00D13792">
        <w:rPr>
          <w:i/>
          <w:sz w:val="20"/>
          <w:szCs w:val="20"/>
        </w:rPr>
        <w:t>supra</w:t>
      </w:r>
      <w:r w:rsidRPr="00D13792">
        <w:rPr>
          <w:sz w:val="20"/>
          <w:szCs w:val="20"/>
        </w:rPr>
        <w:t xml:space="preserve"> párr. 118), y Raymunda Corazón (o Raymunda Sical Corazón), quienes fueron ejecutados con arma de fuego. Sus cuerpos destrozados fueron encontrados al día siguiente y los vecinos procedieron a enterrarlos en una letrina cercana a su vivienda</w:t>
      </w:r>
      <w:r w:rsidRPr="00D13792">
        <w:rPr>
          <w:sz w:val="20"/>
          <w:szCs w:val="20"/>
          <w:vertAlign w:val="superscript"/>
        </w:rPr>
        <w:footnoteReference w:id="125"/>
      </w:r>
      <w:r w:rsidRPr="00D13792">
        <w:rPr>
          <w:sz w:val="20"/>
          <w:szCs w:val="20"/>
        </w:rPr>
        <w:t xml:space="preserve">. En el año 2002 miembros de la FAFG identificaron dicha fosa, </w:t>
      </w:r>
      <w:r w:rsidRPr="00D13792">
        <w:rPr>
          <w:sz w:val="20"/>
          <w:szCs w:val="20"/>
        </w:rPr>
        <w:lastRenderedPageBreak/>
        <w:t>la cual hacía parte de un cementerio clandestino. Durante la diligencia de exhumación, una de las osamentas fue reconocida como Raymunda Corazón por el señor Francisco Sic Chen, sin embargo, en el informe antropológico forense consta que no fue identificada mediante el peritaje practicado. Por su parte, los restos de Silvestre Sic fueron exhumados e identificados mediante dicho peritaje</w:t>
      </w:r>
      <w:r w:rsidRPr="00D13792">
        <w:rPr>
          <w:sz w:val="20"/>
          <w:szCs w:val="20"/>
          <w:vertAlign w:val="superscript"/>
        </w:rPr>
        <w:footnoteReference w:id="126"/>
      </w:r>
      <w:r w:rsidRPr="00D13792">
        <w:rPr>
          <w:sz w:val="20"/>
          <w:szCs w:val="20"/>
        </w:rPr>
        <w:t xml:space="preserve">. </w:t>
      </w:r>
    </w:p>
    <w:p w:rsidR="006A0E1C" w:rsidRPr="00D13792" w:rsidRDefault="006A0E1C" w:rsidP="006A0E1C">
      <w:pPr>
        <w:pStyle w:val="Heading3"/>
        <w:ind w:left="0"/>
        <w:rPr>
          <w:lang w:val="es-CR"/>
        </w:rPr>
      </w:pPr>
    </w:p>
    <w:p w:rsidR="006A0E1C" w:rsidRPr="00D13792" w:rsidRDefault="006A0E1C" w:rsidP="006A0E1C">
      <w:pPr>
        <w:pStyle w:val="Heading3"/>
        <w:ind w:left="0"/>
        <w:rPr>
          <w:i/>
          <w:lang w:val="es-CR"/>
        </w:rPr>
      </w:pPr>
      <w:bookmarkStart w:id="182" w:name="_Toc460938870"/>
      <w:bookmarkStart w:id="183" w:name="_Toc468443299"/>
      <w:bookmarkStart w:id="184" w:name="_Toc469670035"/>
      <w:r w:rsidRPr="00D13792">
        <w:rPr>
          <w:bCs/>
          <w:i/>
          <w:iCs/>
          <w:lang w:val="es-CR"/>
        </w:rPr>
        <w:t>B.22.</w:t>
      </w:r>
      <w:r w:rsidRPr="00D13792">
        <w:rPr>
          <w:i/>
          <w:lang w:val="es-CR"/>
        </w:rPr>
        <w:t xml:space="preserve"> Ejecución de Efraín García de Paz el </w:t>
      </w:r>
      <w:r w:rsidRPr="00D13792">
        <w:rPr>
          <w:bCs/>
          <w:i/>
          <w:lang w:val="es-CR"/>
        </w:rPr>
        <w:t>17 de agosto de 1986</w:t>
      </w:r>
      <w:bookmarkEnd w:id="182"/>
      <w:bookmarkEnd w:id="183"/>
      <w:bookmarkEnd w:id="184"/>
    </w:p>
    <w:p w:rsidR="006A0E1C" w:rsidRPr="00D13792" w:rsidRDefault="006A0E1C" w:rsidP="006A0E1C">
      <w:pPr>
        <w:spacing w:line="240" w:lineRule="auto"/>
        <w:rPr>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El señor Efraín García de Paz, hermano de Juana García Depaz, estuvo fuera de la zona por aproximadamente tres años. Una vez que regresó, el </w:t>
      </w:r>
      <w:r w:rsidRPr="00D13792">
        <w:rPr>
          <w:bCs/>
          <w:sz w:val="20"/>
          <w:szCs w:val="20"/>
        </w:rPr>
        <w:t>17 de agosto de 1986,</w:t>
      </w:r>
      <w:r w:rsidRPr="00D13792">
        <w:rPr>
          <w:sz w:val="20"/>
          <w:szCs w:val="20"/>
        </w:rPr>
        <w:t xml:space="preserve"> en el camino de su vivienda en Chichupac a la cabecera municipal de Rabinal, fue interceptado y ejecutado. Según ha indicado la señora Juana García Depaz, la persona que mató a su hermano fue un patrullero civil, aunque también ha indicado que fue un “G2” del Ejército. Por su parte, la Comisión Interamericana concluyó en su Informe de Fondo que fue un “judicial”. Según declaró Juana García, ella junto con </w:t>
      </w:r>
      <w:r w:rsidRPr="00D13792">
        <w:rPr>
          <w:rFonts w:cs="Arial"/>
          <w:sz w:val="20"/>
          <w:szCs w:val="20"/>
        </w:rPr>
        <w:t xml:space="preserve">sus familiares recogieron el cuerpo de </w:t>
      </w:r>
      <w:r w:rsidRPr="00D13792">
        <w:rPr>
          <w:sz w:val="20"/>
          <w:szCs w:val="20"/>
        </w:rPr>
        <w:t xml:space="preserve">Efraín García </w:t>
      </w:r>
      <w:r w:rsidRPr="00D13792">
        <w:rPr>
          <w:rFonts w:cs="Arial"/>
          <w:sz w:val="20"/>
          <w:szCs w:val="20"/>
        </w:rPr>
        <w:t>y lo enterraron en el cementerio ubicado en Rabinal</w:t>
      </w:r>
      <w:r w:rsidRPr="00D13792">
        <w:rPr>
          <w:rStyle w:val="FootnoteReference"/>
          <w:rFonts w:cs="Arial"/>
          <w:sz w:val="20"/>
          <w:szCs w:val="20"/>
        </w:rPr>
        <w:footnoteReference w:id="127"/>
      </w:r>
      <w:r w:rsidRPr="00D13792">
        <w:rPr>
          <w:rFonts w:cs="Arial"/>
          <w:sz w:val="20"/>
          <w:szCs w:val="20"/>
        </w:rPr>
        <w:t>.</w:t>
      </w:r>
    </w:p>
    <w:p w:rsidR="006A0E1C" w:rsidRPr="00D13792" w:rsidRDefault="006A0E1C" w:rsidP="006A0E1C">
      <w:pPr>
        <w:autoSpaceDE w:val="0"/>
        <w:autoSpaceDN w:val="0"/>
        <w:spacing w:line="240" w:lineRule="auto"/>
        <w:rPr>
          <w:rFonts w:cs="Calibri,Bold"/>
          <w:b/>
          <w:bCs/>
          <w:sz w:val="16"/>
          <w:szCs w:val="20"/>
        </w:rPr>
      </w:pPr>
    </w:p>
    <w:p w:rsidR="006A0E1C" w:rsidRPr="00D13792" w:rsidRDefault="006A0E1C" w:rsidP="006A0E1C">
      <w:pPr>
        <w:pStyle w:val="Heading2"/>
        <w:rPr>
          <w:lang w:val="es-CR"/>
        </w:rPr>
      </w:pPr>
      <w:bookmarkStart w:id="185" w:name="_Toc468443300"/>
      <w:bookmarkStart w:id="186" w:name="_Toc469670036"/>
      <w:r w:rsidRPr="00D13792">
        <w:rPr>
          <w:lang w:val="es-CR"/>
        </w:rPr>
        <w:t>C. Investigaciones</w:t>
      </w:r>
      <w:bookmarkEnd w:id="185"/>
      <w:bookmarkEnd w:id="186"/>
    </w:p>
    <w:p w:rsidR="006A0E1C" w:rsidRPr="00D13792" w:rsidRDefault="006A0E1C" w:rsidP="006A0E1C">
      <w:pPr>
        <w:spacing w:line="240" w:lineRule="auto"/>
        <w:rPr>
          <w:rFonts w:cs="Arial"/>
          <w:sz w:val="16"/>
          <w:szCs w:val="20"/>
        </w:rPr>
      </w:pPr>
    </w:p>
    <w:p w:rsidR="006A0E1C" w:rsidRPr="00D13792" w:rsidRDefault="006A0E1C" w:rsidP="006A0E1C">
      <w:pPr>
        <w:numPr>
          <w:ilvl w:val="0"/>
          <w:numId w:val="6"/>
        </w:numPr>
        <w:tabs>
          <w:tab w:val="left" w:pos="567"/>
        </w:tabs>
        <w:spacing w:line="240" w:lineRule="auto"/>
        <w:ind w:right="4"/>
        <w:rPr>
          <w:rFonts w:eastAsia="Calibri"/>
          <w:sz w:val="20"/>
          <w:szCs w:val="20"/>
        </w:rPr>
      </w:pPr>
      <w:r w:rsidRPr="00D13792">
        <w:rPr>
          <w:rFonts w:eastAsia="Calibri"/>
          <w:sz w:val="20"/>
          <w:szCs w:val="20"/>
        </w:rPr>
        <w:t xml:space="preserve">Consta en el acervo probatorio que en este caso se tramitaron dos expedientes relacionados con la investigación de los hechos de la masacre </w:t>
      </w:r>
      <w:r w:rsidRPr="00D13792">
        <w:rPr>
          <w:sz w:val="20"/>
          <w:szCs w:val="20"/>
        </w:rPr>
        <w:t>de</w:t>
      </w:r>
      <w:r w:rsidRPr="00D13792">
        <w:rPr>
          <w:rFonts w:eastAsia="Calibri"/>
          <w:sz w:val="20"/>
          <w:szCs w:val="20"/>
        </w:rPr>
        <w:t xml:space="preserve"> 8 de enero de 1982: i) el </w:t>
      </w:r>
      <w:r w:rsidRPr="00D13792">
        <w:rPr>
          <w:rFonts w:cs="Arial"/>
          <w:sz w:val="20"/>
          <w:szCs w:val="20"/>
        </w:rPr>
        <w:t>Expediente No. 001-2005-95839 ante la Unidad de Casos Especiales y Violaciones a los Derechos Humanos del Ministerio Público</w:t>
      </w:r>
      <w:r w:rsidRPr="00D13792">
        <w:rPr>
          <w:rStyle w:val="FootnoteReference"/>
          <w:rFonts w:cs="Arial"/>
          <w:sz w:val="20"/>
          <w:szCs w:val="20"/>
        </w:rPr>
        <w:footnoteReference w:id="128"/>
      </w:r>
      <w:r w:rsidRPr="00D13792">
        <w:rPr>
          <w:rFonts w:cs="Arial"/>
          <w:sz w:val="20"/>
          <w:szCs w:val="20"/>
        </w:rPr>
        <w:t>, abierto a partir de una denuncia presentada en marzo de 1993</w:t>
      </w:r>
      <w:r w:rsidRPr="00D13792">
        <w:rPr>
          <w:rStyle w:val="FootnoteReference"/>
          <w:rFonts w:cs="Arial"/>
          <w:sz w:val="20"/>
          <w:szCs w:val="20"/>
        </w:rPr>
        <w:footnoteReference w:id="129"/>
      </w:r>
      <w:r w:rsidRPr="00D13792">
        <w:rPr>
          <w:rFonts w:cs="Arial"/>
          <w:sz w:val="20"/>
          <w:szCs w:val="20"/>
        </w:rPr>
        <w:t xml:space="preserve"> y el cual estaría aún en etapa de investigación, y ii) un expediente ante el Procurador de los Derechos Humanos de Guatemala, quien dictó una resolución el 2 de septiembre de 1996 relacionada con los cementerios clandestinos localizados, entre otros lugares</w:t>
      </w:r>
      <w:r w:rsidRPr="00D13792">
        <w:rPr>
          <w:rStyle w:val="FootnoteReference"/>
          <w:rFonts w:cs="Arial"/>
          <w:sz w:val="20"/>
          <w:szCs w:val="20"/>
        </w:rPr>
        <w:footnoteReference w:id="130"/>
      </w:r>
      <w:r w:rsidRPr="00D13792">
        <w:rPr>
          <w:rFonts w:cs="Arial"/>
          <w:sz w:val="20"/>
          <w:szCs w:val="20"/>
        </w:rPr>
        <w:t>, en la aldea Chichupac.</w:t>
      </w:r>
      <w:r w:rsidRPr="00D13792">
        <w:rPr>
          <w:rFonts w:eastAsia="Calibri"/>
          <w:sz w:val="20"/>
          <w:szCs w:val="20"/>
        </w:rPr>
        <w:t xml:space="preserve"> </w:t>
      </w:r>
    </w:p>
    <w:p w:rsidR="006A0E1C" w:rsidRPr="00D13792" w:rsidRDefault="006A0E1C" w:rsidP="006A0E1C">
      <w:pPr>
        <w:tabs>
          <w:tab w:val="left" w:pos="567"/>
        </w:tabs>
        <w:spacing w:line="240" w:lineRule="auto"/>
        <w:ind w:right="4"/>
        <w:rPr>
          <w:rFonts w:eastAsia="Calibri"/>
          <w:sz w:val="20"/>
          <w:szCs w:val="20"/>
        </w:rPr>
      </w:pPr>
    </w:p>
    <w:p w:rsidR="006A0E1C" w:rsidRPr="00D13792" w:rsidRDefault="006A0E1C" w:rsidP="006A0E1C">
      <w:pPr>
        <w:numPr>
          <w:ilvl w:val="0"/>
          <w:numId w:val="6"/>
        </w:numPr>
        <w:tabs>
          <w:tab w:val="left" w:pos="567"/>
        </w:tabs>
        <w:spacing w:line="240" w:lineRule="auto"/>
        <w:ind w:right="4"/>
        <w:rPr>
          <w:rFonts w:eastAsia="Calibri"/>
          <w:sz w:val="20"/>
          <w:szCs w:val="20"/>
        </w:rPr>
      </w:pPr>
      <w:r w:rsidRPr="00D13792">
        <w:rPr>
          <w:rFonts w:eastAsia="Calibri"/>
          <w:sz w:val="20"/>
          <w:szCs w:val="20"/>
        </w:rPr>
        <w:t xml:space="preserve">Por otro lado, se tramitaron nueve expedientes relacionados con los hechos del caso cometidos antes y después de la masacre </w:t>
      </w:r>
      <w:r w:rsidRPr="00D13792">
        <w:rPr>
          <w:sz w:val="20"/>
          <w:szCs w:val="20"/>
        </w:rPr>
        <w:t>de</w:t>
      </w:r>
      <w:r w:rsidRPr="00D13792">
        <w:rPr>
          <w:rFonts w:eastAsia="Calibri"/>
          <w:sz w:val="20"/>
          <w:szCs w:val="20"/>
        </w:rPr>
        <w:t xml:space="preserve"> 8 de enero de 1982: </w:t>
      </w:r>
      <w:r w:rsidRPr="00D13792">
        <w:rPr>
          <w:rFonts w:cs="Arial"/>
          <w:color w:val="000000"/>
          <w:sz w:val="20"/>
          <w:szCs w:val="20"/>
        </w:rPr>
        <w:t xml:space="preserve">siete ante la Fiscalía Distrital del Ministerio </w:t>
      </w:r>
      <w:r w:rsidRPr="00D13792">
        <w:rPr>
          <w:rFonts w:eastAsia="Calibri"/>
          <w:color w:val="000000"/>
          <w:sz w:val="20"/>
          <w:szCs w:val="20"/>
        </w:rPr>
        <w:t>Público</w:t>
      </w:r>
      <w:r w:rsidRPr="00D13792">
        <w:rPr>
          <w:rFonts w:cs="Arial"/>
          <w:color w:val="000000"/>
          <w:sz w:val="20"/>
          <w:szCs w:val="20"/>
        </w:rPr>
        <w:t xml:space="preserve"> de Salamá y dos ante la Fiscalía Municipal del Ministerio Público de Rabinal</w:t>
      </w:r>
      <w:r w:rsidRPr="00D13792">
        <w:rPr>
          <w:rFonts w:eastAsia="Calibri"/>
          <w:sz w:val="20"/>
          <w:szCs w:val="20"/>
        </w:rPr>
        <w:t>. E</w:t>
      </w:r>
      <w:r w:rsidRPr="00D13792">
        <w:rPr>
          <w:rFonts w:cs="Verdana"/>
          <w:color w:val="000000"/>
          <w:sz w:val="20"/>
          <w:szCs w:val="20"/>
        </w:rPr>
        <w:t xml:space="preserve">n estos expedientes se denunciaron, entre los años 1995 y 2010, </w:t>
      </w:r>
      <w:r w:rsidRPr="00D13792">
        <w:rPr>
          <w:rFonts w:eastAsia="Calibri"/>
          <w:color w:val="000000"/>
          <w:sz w:val="20"/>
          <w:szCs w:val="20"/>
        </w:rPr>
        <w:t xml:space="preserve">desapariciones, ejecuciones, desplazamiento forzado, violencia y violación sexual, actos de tortura y trabajos forzosos, entre otros. </w:t>
      </w:r>
      <w:r w:rsidRPr="00D13792">
        <w:rPr>
          <w:rFonts w:eastAsia="Calibri"/>
          <w:sz w:val="20"/>
          <w:szCs w:val="20"/>
        </w:rPr>
        <w:t>No se advierten acciones</w:t>
      </w:r>
      <w:r w:rsidRPr="00D13792">
        <w:rPr>
          <w:color w:val="000000"/>
          <w:sz w:val="20"/>
          <w:szCs w:val="20"/>
        </w:rPr>
        <w:t xml:space="preserve"> dirigidas a la determinación de los responsables en siete de estos nueve </w:t>
      </w:r>
      <w:r w:rsidRPr="00D13792">
        <w:rPr>
          <w:rFonts w:eastAsia="Calibri"/>
          <w:sz w:val="20"/>
          <w:szCs w:val="20"/>
        </w:rPr>
        <w:t>expedientes</w:t>
      </w:r>
      <w:r w:rsidRPr="00D13792">
        <w:rPr>
          <w:color w:val="000000"/>
          <w:sz w:val="20"/>
          <w:szCs w:val="20"/>
        </w:rPr>
        <w:t>. Por el contrario, las actuaciones dentro de cinco de estos expedientes</w:t>
      </w:r>
      <w:r w:rsidRPr="00D13792">
        <w:rPr>
          <w:rStyle w:val="FootnoteReference"/>
          <w:color w:val="000000"/>
          <w:sz w:val="20"/>
          <w:szCs w:val="20"/>
        </w:rPr>
        <w:footnoteReference w:id="131"/>
      </w:r>
      <w:r w:rsidRPr="00D13792">
        <w:rPr>
          <w:color w:val="000000"/>
          <w:sz w:val="20"/>
          <w:szCs w:val="20"/>
        </w:rPr>
        <w:t xml:space="preserve"> se limitaron a la exhumación y, en </w:t>
      </w:r>
      <w:r w:rsidRPr="00D13792">
        <w:rPr>
          <w:rFonts w:eastAsia="Calibri"/>
          <w:color w:val="000000"/>
          <w:sz w:val="20"/>
          <w:szCs w:val="20"/>
        </w:rPr>
        <w:t>algunos</w:t>
      </w:r>
      <w:r w:rsidRPr="00D13792">
        <w:rPr>
          <w:color w:val="000000"/>
          <w:sz w:val="20"/>
          <w:szCs w:val="20"/>
        </w:rPr>
        <w:t xml:space="preserve"> casos, a la entrega de restos a sus familiares, y en otros dos expedientes</w:t>
      </w:r>
      <w:r w:rsidRPr="00D13792">
        <w:rPr>
          <w:rStyle w:val="FootnoteReference"/>
          <w:color w:val="000000"/>
          <w:sz w:val="20"/>
          <w:szCs w:val="20"/>
        </w:rPr>
        <w:footnoteReference w:id="132"/>
      </w:r>
      <w:r w:rsidRPr="00D13792">
        <w:rPr>
          <w:color w:val="000000"/>
          <w:sz w:val="20"/>
          <w:szCs w:val="20"/>
        </w:rPr>
        <w:t xml:space="preserve"> no se registra actividad investigativa alguna. Por último, dentro de los Expedientes No. 802-95-Of. 6to</w:t>
      </w:r>
      <w:r w:rsidRPr="00D13792">
        <w:rPr>
          <w:rFonts w:eastAsia="Calibri"/>
          <w:color w:val="000000"/>
          <w:sz w:val="20"/>
          <w:szCs w:val="20"/>
        </w:rPr>
        <w:t xml:space="preserve"> y M.P. 247-2006-441 se registran algunas actuaciones dirigidas a determinar responsabilidades, pero estas fueron mínimas</w:t>
      </w:r>
      <w:r w:rsidRPr="00D13792">
        <w:rPr>
          <w:color w:val="000000"/>
          <w:sz w:val="20"/>
          <w:szCs w:val="20"/>
        </w:rPr>
        <w:t xml:space="preserve">. Lo anterior, pese a que </w:t>
      </w:r>
      <w:r w:rsidRPr="00D13792">
        <w:rPr>
          <w:rFonts w:cs="Verdana"/>
          <w:color w:val="000000"/>
          <w:sz w:val="20"/>
          <w:szCs w:val="20"/>
        </w:rPr>
        <w:t>en todos los expedientes consta que se señalaron a miembros del ejército y/o de las PAC como los responsables y en varias ocasiones los denunciantes incluso proporcionaron los nombres de dichas personas y los lugares donde podrían ser ubicadas</w:t>
      </w:r>
      <w:r w:rsidRPr="00D13792">
        <w:rPr>
          <w:rStyle w:val="FootnoteReference"/>
          <w:rFonts w:cs="Verdana"/>
          <w:color w:val="000000"/>
          <w:sz w:val="20"/>
          <w:szCs w:val="20"/>
        </w:rPr>
        <w:footnoteReference w:id="133"/>
      </w:r>
      <w:r w:rsidRPr="00D13792">
        <w:rPr>
          <w:rFonts w:cs="Verdana"/>
          <w:color w:val="000000"/>
          <w:sz w:val="20"/>
          <w:szCs w:val="20"/>
        </w:rPr>
        <w:t xml:space="preserve">, así como los nombres de posibles testigos. </w:t>
      </w:r>
    </w:p>
    <w:p w:rsidR="006A0E1C" w:rsidRPr="00D13792" w:rsidRDefault="006A0E1C" w:rsidP="006A0E1C">
      <w:pPr>
        <w:tabs>
          <w:tab w:val="left" w:pos="567"/>
        </w:tabs>
        <w:spacing w:line="240" w:lineRule="auto"/>
        <w:ind w:right="4"/>
        <w:rPr>
          <w:rFonts w:eastAsia="Calibri"/>
          <w:sz w:val="20"/>
          <w:szCs w:val="20"/>
        </w:rPr>
      </w:pPr>
    </w:p>
    <w:p w:rsidR="006A0E1C" w:rsidRPr="00D13792" w:rsidRDefault="006A0E1C" w:rsidP="006A0E1C">
      <w:pPr>
        <w:numPr>
          <w:ilvl w:val="0"/>
          <w:numId w:val="6"/>
        </w:numPr>
        <w:tabs>
          <w:tab w:val="left" w:pos="567"/>
        </w:tabs>
        <w:spacing w:line="240" w:lineRule="auto"/>
        <w:ind w:right="4"/>
        <w:rPr>
          <w:sz w:val="16"/>
        </w:rPr>
      </w:pPr>
      <w:r w:rsidRPr="00D13792">
        <w:rPr>
          <w:rFonts w:eastAsia="Calibri"/>
          <w:sz w:val="20"/>
          <w:szCs w:val="20"/>
        </w:rPr>
        <w:t xml:space="preserve">Si bien el Estado sostuvo que a partir del año 2011 “diversos hechos ocurridos en esa región” se encuentran en </w:t>
      </w:r>
      <w:r w:rsidRPr="00D13792">
        <w:rPr>
          <w:sz w:val="20"/>
          <w:szCs w:val="20"/>
        </w:rPr>
        <w:t>etapa</w:t>
      </w:r>
      <w:r w:rsidRPr="00D13792">
        <w:rPr>
          <w:rFonts w:eastAsia="Calibri"/>
          <w:sz w:val="20"/>
          <w:szCs w:val="20"/>
        </w:rPr>
        <w:t xml:space="preserve"> de investigación dentro del expediente MP001-2012-364, presuntamente tramitado por la Unidad de Casos Especiales del Enfrentamiento Armado Interno de la Fiscalía de </w:t>
      </w:r>
      <w:r w:rsidRPr="00D13792">
        <w:rPr>
          <w:rFonts w:cs="Arial"/>
          <w:sz w:val="20"/>
          <w:szCs w:val="20"/>
        </w:rPr>
        <w:t>Sección</w:t>
      </w:r>
      <w:r w:rsidRPr="00D13792">
        <w:rPr>
          <w:rFonts w:eastAsia="Calibri"/>
          <w:sz w:val="20"/>
          <w:szCs w:val="20"/>
        </w:rPr>
        <w:t xml:space="preserve"> de Derechos Humanos, Guatemala no proporcionó documentación que sustente este alegato o que permita al Tribunal evaluar las actuaciones dentro de dicho expediente, pese a que esta fue solicitada por la Corte</w:t>
      </w:r>
      <w:r w:rsidRPr="00D13792">
        <w:rPr>
          <w:rStyle w:val="FootnoteReference"/>
          <w:rFonts w:eastAsia="Calibri"/>
          <w:sz w:val="20"/>
          <w:szCs w:val="20"/>
        </w:rPr>
        <w:footnoteReference w:id="134"/>
      </w:r>
      <w:r w:rsidRPr="00D13792">
        <w:rPr>
          <w:rFonts w:eastAsia="Calibri"/>
          <w:sz w:val="20"/>
          <w:szCs w:val="20"/>
        </w:rPr>
        <w:t xml:space="preserve">. </w:t>
      </w:r>
    </w:p>
    <w:p w:rsidR="006A0E1C" w:rsidRPr="00D13792" w:rsidRDefault="006A0E1C" w:rsidP="006A0E1C">
      <w:pPr>
        <w:tabs>
          <w:tab w:val="left" w:pos="567"/>
        </w:tabs>
        <w:spacing w:line="240" w:lineRule="auto"/>
        <w:ind w:right="4"/>
        <w:jc w:val="center"/>
        <w:rPr>
          <w:b/>
          <w:sz w:val="16"/>
          <w:szCs w:val="20"/>
        </w:rPr>
      </w:pPr>
    </w:p>
    <w:p w:rsidR="006A0E1C" w:rsidRPr="00D13792" w:rsidRDefault="006A0E1C" w:rsidP="006A0E1C">
      <w:pPr>
        <w:pStyle w:val="Heading1"/>
        <w:rPr>
          <w:lang w:val="es-CR"/>
        </w:rPr>
      </w:pPr>
      <w:bookmarkStart w:id="187" w:name="_Toc469670037"/>
      <w:r w:rsidRPr="00D13792">
        <w:rPr>
          <w:lang w:val="es-CR"/>
        </w:rPr>
        <w:lastRenderedPageBreak/>
        <w:t>IX</w:t>
      </w:r>
      <w:bookmarkEnd w:id="187"/>
    </w:p>
    <w:p w:rsidR="006A0E1C" w:rsidRPr="00D13792" w:rsidRDefault="006A0E1C" w:rsidP="006A0E1C">
      <w:pPr>
        <w:pStyle w:val="Heading1"/>
        <w:rPr>
          <w:lang w:val="es-CR"/>
        </w:rPr>
      </w:pPr>
      <w:bookmarkStart w:id="188" w:name="_Toc469670038"/>
      <w:r w:rsidRPr="00D13792">
        <w:rPr>
          <w:lang w:val="es-CR"/>
        </w:rPr>
        <w:t>FONDO</w:t>
      </w:r>
      <w:bookmarkEnd w:id="188"/>
    </w:p>
    <w:p w:rsidR="006A0E1C" w:rsidRPr="00D13792" w:rsidRDefault="006A0E1C" w:rsidP="006A0E1C">
      <w:pPr>
        <w:pStyle w:val="Heading1"/>
        <w:rPr>
          <w:sz w:val="16"/>
          <w:lang w:val="es-CR"/>
        </w:rPr>
      </w:pPr>
    </w:p>
    <w:p w:rsidR="006A0E1C" w:rsidRPr="00D13792" w:rsidRDefault="006A0E1C" w:rsidP="006A0E1C">
      <w:pPr>
        <w:pStyle w:val="Heading1"/>
        <w:rPr>
          <w:lang w:val="es-CR"/>
        </w:rPr>
      </w:pPr>
      <w:bookmarkStart w:id="189" w:name="_Toc469670039"/>
      <w:r w:rsidRPr="00D13792">
        <w:rPr>
          <w:lang w:val="es-CR"/>
        </w:rPr>
        <w:t>IX.I</w:t>
      </w:r>
      <w:bookmarkEnd w:id="189"/>
    </w:p>
    <w:p w:rsidR="006A0E1C" w:rsidRPr="00D13792" w:rsidRDefault="006A0E1C" w:rsidP="006A0E1C">
      <w:pPr>
        <w:pStyle w:val="Heading1"/>
        <w:rPr>
          <w:lang w:val="es-CR"/>
        </w:rPr>
      </w:pPr>
      <w:bookmarkStart w:id="190" w:name="_Toc469670040"/>
      <w:r w:rsidRPr="00D13792">
        <w:rPr>
          <w:lang w:val="es-CR"/>
        </w:rPr>
        <w:t>DERECHOS A LA LIBERTAD PERSONAL</w:t>
      </w:r>
      <w:r w:rsidRPr="00D13792">
        <w:rPr>
          <w:rStyle w:val="FootnoteReference"/>
          <w:lang w:val="es-CR"/>
        </w:rPr>
        <w:footnoteReference w:id="135"/>
      </w:r>
      <w:r w:rsidRPr="00D13792">
        <w:rPr>
          <w:lang w:val="es-CR"/>
        </w:rPr>
        <w:t>, INTEGRIDAD PERSONAL</w:t>
      </w:r>
      <w:r w:rsidRPr="00D13792">
        <w:rPr>
          <w:rStyle w:val="FootnoteReference"/>
          <w:lang w:val="es-CR"/>
        </w:rPr>
        <w:footnoteReference w:id="136"/>
      </w:r>
      <w:r w:rsidRPr="00D13792">
        <w:rPr>
          <w:lang w:val="es-CR"/>
        </w:rPr>
        <w:t>, VIDA</w:t>
      </w:r>
      <w:r w:rsidRPr="00D13792">
        <w:rPr>
          <w:rStyle w:val="FootnoteReference"/>
          <w:lang w:val="es-CR"/>
        </w:rPr>
        <w:footnoteReference w:id="137"/>
      </w:r>
      <w:r w:rsidRPr="00D13792">
        <w:rPr>
          <w:lang w:val="es-CR"/>
        </w:rPr>
        <w:t xml:space="preserve"> Y RECONOCIMIENTO DE LA PERSONALIDAD JURÍDICA</w:t>
      </w:r>
      <w:r w:rsidRPr="00D13792">
        <w:rPr>
          <w:rStyle w:val="FootnoteReference"/>
          <w:lang w:val="es-CR"/>
        </w:rPr>
        <w:footnoteReference w:id="138"/>
      </w:r>
      <w:r w:rsidRPr="00D13792">
        <w:rPr>
          <w:lang w:val="es-CR"/>
        </w:rPr>
        <w:t xml:space="preserve"> DE LAS VÍCTIMAS DE DESAPARICIÓN FORZADA, ASÍ COMO DERECHOS A LA INTEGRIDAD PERSONAL Y A LA PROTECCIÓN A LA FAMILIA</w:t>
      </w:r>
      <w:r w:rsidRPr="00D13792">
        <w:rPr>
          <w:rStyle w:val="FootnoteReference"/>
          <w:lang w:val="es-CR"/>
        </w:rPr>
        <w:footnoteReference w:id="139"/>
      </w:r>
      <w:r w:rsidRPr="00D13792">
        <w:rPr>
          <w:lang w:val="es-CR"/>
        </w:rPr>
        <w:t xml:space="preserve"> DE SUS FAMILIARES</w:t>
      </w:r>
      <w:bookmarkEnd w:id="190"/>
    </w:p>
    <w:p w:rsidR="006A0E1C" w:rsidRPr="00D13792" w:rsidRDefault="006A0E1C" w:rsidP="006A0E1C">
      <w:pPr>
        <w:spacing w:line="240" w:lineRule="auto"/>
        <w:rPr>
          <w:b/>
          <w:i/>
          <w:sz w:val="20"/>
          <w:szCs w:val="20"/>
        </w:rPr>
      </w:pPr>
    </w:p>
    <w:p w:rsidR="006A0E1C" w:rsidRPr="00D13792" w:rsidRDefault="006A0E1C" w:rsidP="006A0E1C">
      <w:pPr>
        <w:pStyle w:val="Heading2"/>
        <w:numPr>
          <w:ilvl w:val="0"/>
          <w:numId w:val="38"/>
        </w:numPr>
        <w:tabs>
          <w:tab w:val="clear" w:pos="720"/>
          <w:tab w:val="left" w:pos="0"/>
        </w:tabs>
        <w:ind w:left="0" w:firstLine="0"/>
        <w:rPr>
          <w:rFonts w:eastAsia="MS Mincho"/>
          <w:bCs/>
          <w:lang w:val="es-CR"/>
        </w:rPr>
      </w:pPr>
      <w:bookmarkStart w:id="191" w:name="_Toc455574182"/>
      <w:bookmarkStart w:id="192" w:name="_Toc455631228"/>
      <w:bookmarkStart w:id="193" w:name="_Toc457990758"/>
      <w:bookmarkStart w:id="194" w:name="_Toc469670041"/>
      <w:r w:rsidRPr="00D13792">
        <w:rPr>
          <w:lang w:val="es-CR"/>
        </w:rPr>
        <w:t>Argumentos de la Comisión y de las partes</w:t>
      </w:r>
      <w:bookmarkEnd w:id="191"/>
      <w:bookmarkEnd w:id="192"/>
      <w:bookmarkEnd w:id="193"/>
      <w:bookmarkEnd w:id="194"/>
      <w:r w:rsidRPr="00D13792">
        <w:rPr>
          <w:lang w:val="es-CR"/>
        </w:rPr>
        <w:t xml:space="preserve"> </w:t>
      </w:r>
    </w:p>
    <w:p w:rsidR="006A0E1C" w:rsidRPr="00D13792" w:rsidRDefault="006A0E1C" w:rsidP="006A0E1C">
      <w:pPr>
        <w:spacing w:line="240" w:lineRule="auto"/>
        <w:rPr>
          <w:b/>
          <w:i/>
          <w:sz w:val="16"/>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La </w:t>
      </w:r>
      <w:r w:rsidRPr="00D13792">
        <w:rPr>
          <w:b/>
          <w:i/>
          <w:sz w:val="20"/>
          <w:szCs w:val="20"/>
        </w:rPr>
        <w:t xml:space="preserve">Comisión </w:t>
      </w:r>
      <w:r w:rsidRPr="00D13792">
        <w:rPr>
          <w:rFonts w:eastAsia="Calibri"/>
          <w:sz w:val="20"/>
          <w:szCs w:val="20"/>
        </w:rPr>
        <w:t>estableció</w:t>
      </w:r>
      <w:r w:rsidRPr="00D13792">
        <w:rPr>
          <w:rFonts w:cs="Arial"/>
          <w:sz w:val="20"/>
          <w:szCs w:val="20"/>
        </w:rPr>
        <w:t xml:space="preserve"> en su Informe de Fondo que ocho personas fueron desaparecidas los días 24 de agosto de 1981; 8, 18 y 31 de enero y 12 de febrero de 1982, y 13 de diciembre de 1984, y que todas estas personas fueron vistas por última vez bajo la custodia de agentes estatales y, hasta la fecha, no se conoce el paradero de las mismas. Las ocho desapariciones forzadas estarían enmarcadas en el contexto de violencia y persecución contra el pueblo maya sospechoso de estar vinculado a la subversión. En consecuencia, concluyó la </w:t>
      </w:r>
      <w:r w:rsidRPr="00D13792">
        <w:rPr>
          <w:sz w:val="20"/>
          <w:szCs w:val="20"/>
        </w:rPr>
        <w:t>violación</w:t>
      </w:r>
      <w:r w:rsidRPr="00D13792">
        <w:rPr>
          <w:rFonts w:cs="Arial"/>
          <w:sz w:val="20"/>
          <w:szCs w:val="20"/>
        </w:rPr>
        <w:t xml:space="preserve"> de los derechos de dichas personas al reconocimiento de la personalidad jurídica, a la vida, a la integridad personal y a la libertad personal, establecidos en los artículos 3, 4, 5 y 7 de la Convención Americana, en relación con el artículo 1.1 del mismo instrumento, así como la violación del artículo 1 de la CIDFP. En sus alegatos finales sostuvo que algunos hechos que había calificado como ejecuciones extrajudiciales en su Informe de Fondo podrían ser más bien calificados como desapariciones forzadas </w:t>
      </w:r>
      <w:r w:rsidRPr="00D13792">
        <w:rPr>
          <w:rFonts w:eastAsia="Calibri" w:cs="Cambria"/>
          <w:sz w:val="20"/>
          <w:szCs w:val="20"/>
        </w:rPr>
        <w:t>y, en consecuencia, la Corte tiene competencia temporal para pronunciarse sobre tales hechos</w:t>
      </w:r>
      <w:r w:rsidRPr="00D13792">
        <w:rPr>
          <w:rFonts w:cs="Arial"/>
          <w:sz w:val="20"/>
          <w:szCs w:val="20"/>
        </w:rPr>
        <w:t xml:space="preserve">. </w:t>
      </w:r>
      <w:r w:rsidRPr="00D13792">
        <w:rPr>
          <w:sz w:val="20"/>
          <w:szCs w:val="20"/>
        </w:rPr>
        <w:t xml:space="preserve">En esta línea, señaló que son víctimas de desaparición forzada las personas que fueron arrojadas a fosas clandestinas, que para el 9 de marzo de 1987 no habían sido exhumadas, y que sus restos no habían sido identificados ni entregados a sus familiares. Lo anterior, en tanto hubo acciones del Estado para ocultar lo sucedido e impedir la identificación de los restos. </w:t>
      </w:r>
      <w:r w:rsidRPr="00D13792">
        <w:rPr>
          <w:rFonts w:cs="Arial"/>
          <w:sz w:val="20"/>
          <w:szCs w:val="20"/>
        </w:rPr>
        <w:t xml:space="preserve">En este punto, se refirió a las similitudes de este caso con el </w:t>
      </w:r>
      <w:r w:rsidRPr="00D13792">
        <w:rPr>
          <w:rStyle w:val="Strong"/>
          <w:b w:val="0"/>
          <w:i/>
          <w:color w:val="000000"/>
          <w:sz w:val="20"/>
          <w:szCs w:val="20"/>
          <w:shd w:val="clear" w:color="auto" w:fill="FFFFFF"/>
        </w:rPr>
        <w:t>Caso Comunidad Campesina de Santa Bárbara Vs. Perú</w:t>
      </w:r>
      <w:r w:rsidRPr="00D13792">
        <w:rPr>
          <w:rFonts w:cs="Arial"/>
          <w:sz w:val="20"/>
          <w:szCs w:val="20"/>
        </w:rPr>
        <w:t xml:space="preserve">, en el cual, la Corte calificó los hechos como desaparición forzada a pesar de la existencia de claros indicios de la muerte de las víctimas. </w:t>
      </w:r>
    </w:p>
    <w:p w:rsidR="006A0E1C" w:rsidRPr="00D13792" w:rsidRDefault="006A0E1C" w:rsidP="006A0E1C">
      <w:pPr>
        <w:pStyle w:val="Prrafodelista2"/>
        <w:tabs>
          <w:tab w:val="left" w:pos="720"/>
        </w:tabs>
        <w:ind w:left="0" w:right="-90"/>
        <w:jc w:val="both"/>
        <w:rPr>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lastRenderedPageBreak/>
        <w:t xml:space="preserve">Por otra parte, la Comisión sostuvo que los familiares de los desaparecidos son a su vez, víctimas de violación a su integridad personal. </w:t>
      </w:r>
      <w:r w:rsidRPr="00D13792">
        <w:rPr>
          <w:rFonts w:cs="Arial"/>
          <w:sz w:val="20"/>
          <w:szCs w:val="20"/>
        </w:rPr>
        <w:t xml:space="preserve">De igual modo, estableció que la persecución, la violencia extrema, </w:t>
      </w:r>
      <w:r w:rsidRPr="00D13792">
        <w:rPr>
          <w:sz w:val="20"/>
          <w:szCs w:val="20"/>
        </w:rPr>
        <w:t>la profunda situación de indefensión y las intenciones de destrucción de las bases familiares y sociales que motivaron la violencia en el contexto de los hechos, permite considerar una violación autónoma del derecho a la protección de la familia. Indicó además, que en el presente caso no se ha llevado a cabo una investigación completa sobre los hechos, ni un proceso judicial efectivo. En consecuencia, concluyó que el Estado violó el derecho a la integridad psíquica y moral y el derecho a la protección a la familia, consagrados en los artículos 5.1 y 17 de la Convención Americana en relación con el deber de respeto establecido en el artículo 1.1 de la misma, en perjuicio de los familiares de las víctimas de este caso.</w:t>
      </w:r>
    </w:p>
    <w:p w:rsidR="006A0E1C" w:rsidRPr="00D13792" w:rsidRDefault="006A0E1C" w:rsidP="006A0E1C">
      <w:pPr>
        <w:pStyle w:val="Prrafodelista2"/>
        <w:tabs>
          <w:tab w:val="left" w:pos="720"/>
        </w:tabs>
        <w:ind w:left="0" w:right="-90"/>
        <w:jc w:val="both"/>
        <w:rPr>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Los </w:t>
      </w:r>
      <w:r w:rsidRPr="00D13792">
        <w:rPr>
          <w:b/>
          <w:i/>
          <w:sz w:val="20"/>
          <w:szCs w:val="20"/>
        </w:rPr>
        <w:t xml:space="preserve">representantes </w:t>
      </w:r>
      <w:r w:rsidRPr="00D13792">
        <w:rPr>
          <w:sz w:val="20"/>
          <w:szCs w:val="20"/>
        </w:rPr>
        <w:t xml:space="preserve">sostuvieron en su escrito de solicitudes y argumentos que el Estado es culpable por la </w:t>
      </w:r>
      <w:r w:rsidRPr="00D13792">
        <w:rPr>
          <w:rFonts w:eastAsia="Calibri"/>
          <w:sz w:val="20"/>
          <w:szCs w:val="20"/>
        </w:rPr>
        <w:t>desaparición</w:t>
      </w:r>
      <w:r w:rsidRPr="00D13792">
        <w:rPr>
          <w:sz w:val="20"/>
          <w:szCs w:val="20"/>
        </w:rPr>
        <w:t xml:space="preserve"> forzada de dieciocho personas que habitaban en la aldea Chichupac y las comunidades aledañas a la misma.</w:t>
      </w:r>
      <w:r w:rsidRPr="00D13792">
        <w:rPr>
          <w:sz w:val="16"/>
          <w:szCs w:val="20"/>
        </w:rPr>
        <w:t xml:space="preserve"> </w:t>
      </w:r>
      <w:r w:rsidRPr="00D13792">
        <w:rPr>
          <w:sz w:val="20"/>
          <w:szCs w:val="20"/>
        </w:rPr>
        <w:t xml:space="preserve">En sus alegatos finales indicaron, con base en la Sentencia del </w:t>
      </w:r>
      <w:r w:rsidRPr="00D13792">
        <w:rPr>
          <w:rStyle w:val="Strong"/>
          <w:b w:val="0"/>
          <w:i/>
          <w:color w:val="000000"/>
          <w:sz w:val="20"/>
          <w:szCs w:val="20"/>
          <w:shd w:val="clear" w:color="auto" w:fill="FFFFFF"/>
        </w:rPr>
        <w:t>Caso Comunidad Campesina de Santa Bárbara Vs. Perú,</w:t>
      </w:r>
      <w:r w:rsidRPr="00D13792">
        <w:rPr>
          <w:sz w:val="20"/>
          <w:szCs w:val="20"/>
        </w:rPr>
        <w:t xml:space="preserve"> que es necesario modificar la calificación jurídica de lo sucedido a las víctimas que fueron presentadas ante la Comisión como de ejecución extrajudicial, a la figura de desaparición forzada, por no existir suficientes elementos para establecer su muerte. Al respecto, solicitaron que se declaren como víctimas de desaparición forzada a las ocho personas identificadas por la Comisión en su Informe de Fondo, y solicitaron el cambio de la calificación jurídica de lo sucedido a un listado de 68 presuntas víctimas proporcionado en la audiencia pública y </w:t>
      </w:r>
      <w:r w:rsidRPr="00D13792">
        <w:rPr>
          <w:rFonts w:eastAsia="Calibri" w:cs="Verdana"/>
          <w:sz w:val="20"/>
          <w:szCs w:val="20"/>
        </w:rPr>
        <w:t xml:space="preserve">un listado de 42 </w:t>
      </w:r>
      <w:r w:rsidRPr="00D13792">
        <w:rPr>
          <w:sz w:val="20"/>
          <w:szCs w:val="20"/>
        </w:rPr>
        <w:t>presuntas víctimas</w:t>
      </w:r>
      <w:r w:rsidRPr="00D13792">
        <w:rPr>
          <w:rFonts w:eastAsia="Calibri" w:cs="Verdana"/>
          <w:sz w:val="20"/>
          <w:szCs w:val="20"/>
        </w:rPr>
        <w:t xml:space="preserve"> proporcionado en sus alegatos finales escritos, </w:t>
      </w:r>
      <w:r w:rsidRPr="00D13792">
        <w:rPr>
          <w:sz w:val="20"/>
          <w:szCs w:val="20"/>
        </w:rPr>
        <w:t>de ejecución extrajudicial a desaparición forzada</w:t>
      </w:r>
      <w:r w:rsidRPr="00D13792">
        <w:rPr>
          <w:rFonts w:eastAsia="Calibri" w:cs="Verdana"/>
          <w:sz w:val="20"/>
          <w:szCs w:val="20"/>
        </w:rPr>
        <w:t>. Alegaron que a</w:t>
      </w:r>
      <w:r w:rsidRPr="00D13792">
        <w:rPr>
          <w:sz w:val="20"/>
          <w:szCs w:val="20"/>
        </w:rPr>
        <w:t xml:space="preserve"> la fecha no se conoce el paradero de muchas de las personas que aparecen en dichos listados, no se ha determinado con certeza su identidad y sus restos no han sido hallados o entregados a sus parientes para su inhumación. Además, a pesar que en algunos casos ya se iniciaron exhumaciones, los restos no han sido identificados con pruebas o análisis que permitan comprobar su identidad, la forma y causa de su muerte y la existencia de posibles lesiones o indicios de tortura.</w:t>
      </w:r>
    </w:p>
    <w:p w:rsidR="006A0E1C" w:rsidRPr="00D13792" w:rsidRDefault="006A0E1C" w:rsidP="006A0E1C">
      <w:pPr>
        <w:pStyle w:val="Prrafodelista2"/>
        <w:tabs>
          <w:tab w:val="left" w:pos="720"/>
        </w:tabs>
        <w:ind w:left="0" w:right="-90"/>
        <w:jc w:val="both"/>
        <w:rPr>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Por otra parte, los representantes</w:t>
      </w:r>
      <w:r w:rsidRPr="00D13792">
        <w:rPr>
          <w:b/>
          <w:i/>
          <w:sz w:val="20"/>
          <w:szCs w:val="20"/>
        </w:rPr>
        <w:t xml:space="preserve"> </w:t>
      </w:r>
      <w:r w:rsidRPr="00D13792">
        <w:rPr>
          <w:sz w:val="20"/>
          <w:szCs w:val="20"/>
        </w:rPr>
        <w:t xml:space="preserve">señalaron que un aspecto relevante en cuanto a la práctica sistemática de la desaparición forzada es la afectación psíquica y moral de las familias de las víctimas que </w:t>
      </w:r>
      <w:r w:rsidRPr="00D13792">
        <w:rPr>
          <w:rFonts w:eastAsia="Calibri"/>
          <w:sz w:val="20"/>
          <w:szCs w:val="20"/>
        </w:rPr>
        <w:t>deviene</w:t>
      </w:r>
      <w:r w:rsidRPr="00D13792">
        <w:rPr>
          <w:sz w:val="20"/>
          <w:szCs w:val="20"/>
        </w:rPr>
        <w:t xml:space="preserve"> del profundo sufrimiento por la falta de ubicación de los restos mortales de sus seres queridos, así como de la nula investigación de los hechos bajo los cuales ocurrió el crimen. Por lo anterior, argumentaron que se vulneró el artículo 5 de la Convención Americana, con relación con el artículo 1.1 de la misma.</w:t>
      </w:r>
    </w:p>
    <w:p w:rsidR="006A0E1C" w:rsidRPr="00D13792" w:rsidRDefault="006A0E1C" w:rsidP="006A0E1C">
      <w:pPr>
        <w:tabs>
          <w:tab w:val="left" w:pos="567"/>
        </w:tabs>
        <w:spacing w:line="240" w:lineRule="auto"/>
        <w:ind w:right="4"/>
      </w:pPr>
    </w:p>
    <w:p w:rsidR="006A0E1C" w:rsidRPr="00D13792" w:rsidRDefault="006A0E1C" w:rsidP="006A0E1C">
      <w:pPr>
        <w:numPr>
          <w:ilvl w:val="0"/>
          <w:numId w:val="6"/>
        </w:numPr>
        <w:tabs>
          <w:tab w:val="left" w:pos="567"/>
        </w:tabs>
        <w:spacing w:line="240" w:lineRule="auto"/>
        <w:ind w:right="4"/>
        <w:rPr>
          <w:sz w:val="20"/>
          <w:szCs w:val="20"/>
        </w:rPr>
      </w:pPr>
      <w:r w:rsidRPr="00D13792">
        <w:rPr>
          <w:rFonts w:eastAsia="Calibri"/>
          <w:sz w:val="20"/>
          <w:szCs w:val="20"/>
        </w:rPr>
        <w:t xml:space="preserve">El </w:t>
      </w:r>
      <w:r w:rsidRPr="00D13792">
        <w:rPr>
          <w:rFonts w:eastAsia="Calibri"/>
          <w:b/>
          <w:i/>
          <w:sz w:val="20"/>
          <w:szCs w:val="20"/>
        </w:rPr>
        <w:t>Estado</w:t>
      </w:r>
      <w:r w:rsidRPr="00D13792">
        <w:rPr>
          <w:rFonts w:eastAsia="Calibri"/>
          <w:sz w:val="20"/>
          <w:szCs w:val="20"/>
        </w:rPr>
        <w:t xml:space="preserve"> argumentó que no se le puede atribuir responsabilidad por las desapariciones ocurridas durante la época del enfrentamiento armado, ya que el delito no se encontraba tipificado en el ordenamiento penal interno ni existía en el propio ámbito </w:t>
      </w:r>
      <w:r w:rsidRPr="00D13792">
        <w:rPr>
          <w:sz w:val="20"/>
          <w:szCs w:val="20"/>
        </w:rPr>
        <w:t>interamericano</w:t>
      </w:r>
      <w:r w:rsidRPr="00D13792">
        <w:rPr>
          <w:rFonts w:eastAsia="Calibri"/>
          <w:sz w:val="20"/>
          <w:szCs w:val="20"/>
        </w:rPr>
        <w:t xml:space="preserve">. </w:t>
      </w:r>
      <w:r w:rsidRPr="00D13792">
        <w:rPr>
          <w:sz w:val="20"/>
          <w:szCs w:val="20"/>
        </w:rPr>
        <w:t xml:space="preserve">Alegó </w:t>
      </w:r>
      <w:r w:rsidRPr="00D13792">
        <w:rPr>
          <w:rFonts w:eastAsia="Calibri"/>
          <w:sz w:val="20"/>
          <w:szCs w:val="20"/>
        </w:rPr>
        <w:t>que ni la Corte ni la Comisión distinguen entre “</w:t>
      </w:r>
      <w:r w:rsidRPr="00D13792">
        <w:rPr>
          <w:rFonts w:eastAsia="Calibri"/>
          <w:iCs/>
          <w:sz w:val="20"/>
          <w:szCs w:val="20"/>
        </w:rPr>
        <w:t xml:space="preserve">delitos continuados” y “delitos permanentes” al analizar </w:t>
      </w:r>
      <w:r w:rsidRPr="00D13792">
        <w:rPr>
          <w:rFonts w:eastAsia="Calibri"/>
          <w:sz w:val="20"/>
          <w:szCs w:val="20"/>
        </w:rPr>
        <w:t xml:space="preserve">la naturaleza jurídica del delito de desaparición forzada. </w:t>
      </w:r>
      <w:r w:rsidRPr="00D13792">
        <w:rPr>
          <w:sz w:val="20"/>
          <w:szCs w:val="20"/>
        </w:rPr>
        <w:t>E</w:t>
      </w:r>
      <w:r w:rsidRPr="00D13792">
        <w:rPr>
          <w:rFonts w:eastAsia="Calibri"/>
          <w:sz w:val="20"/>
          <w:szCs w:val="20"/>
        </w:rPr>
        <w:t>xplicó la diferencia entre dichos delitos conforme al derecho penal guatemalteco, e indicó que la desaparición forzada, que en Guatemala constituye un delito a partir del 22 de mayo de 1996, es un delito permanente porque se comete en un momento determinado y aunque permanezcan los efectos, no puede re-tipificarse con base en hechos posteriores conforme al principio de legalidad e irretroactividad de la ley.</w:t>
      </w:r>
      <w:r w:rsidRPr="00D13792">
        <w:rPr>
          <w:sz w:val="20"/>
          <w:szCs w:val="20"/>
        </w:rPr>
        <w:t xml:space="preserve"> En consecuencia, los hechos ocurridos con anterioridad a la tipificación y entrada en vigencia de los delitos de desaparición forzada y de tortura, podrían encuadrar como delito de secuestro, detención ilegal o lesiones graves.</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El Estado a</w:t>
      </w:r>
      <w:r w:rsidRPr="00D13792">
        <w:rPr>
          <w:rFonts w:eastAsia="Calibri"/>
          <w:sz w:val="20"/>
          <w:szCs w:val="20"/>
        </w:rPr>
        <w:t xml:space="preserve">ñadió que únicamente un Juez con jurisdicción penal puede establecer la existencia de una desaparición forzada. Además, </w:t>
      </w:r>
      <w:r w:rsidRPr="00D13792">
        <w:rPr>
          <w:sz w:val="20"/>
          <w:szCs w:val="20"/>
        </w:rPr>
        <w:t xml:space="preserve">señaló “que </w:t>
      </w:r>
      <w:r w:rsidRPr="00D13792">
        <w:rPr>
          <w:rFonts w:eastAsia="Calibri"/>
          <w:sz w:val="20"/>
          <w:szCs w:val="20"/>
        </w:rPr>
        <w:t>no se le pueden atribuir sin ningún tipo de pruebas fehacientes la responsabilidad al Estado de haber cometido dichas desapariciones”.</w:t>
      </w:r>
      <w:r w:rsidRPr="00D13792">
        <w:rPr>
          <w:sz w:val="20"/>
          <w:szCs w:val="20"/>
        </w:rPr>
        <w:t xml:space="preserve"> </w:t>
      </w:r>
      <w:r w:rsidRPr="00D13792">
        <w:rPr>
          <w:rFonts w:eastAsia="Calibri"/>
          <w:sz w:val="20"/>
          <w:szCs w:val="20"/>
        </w:rPr>
        <w:t xml:space="preserve">Al respecto, sostuvo que, para establecer una desaparición forzada, tanto la Comisión como la Corte únicamente se basan en el patrón sistemático de la época del enfrentamiento armado interno. También argumentó que cuando se da un cambio de gobierno, </w:t>
      </w:r>
      <w:r w:rsidRPr="00D13792">
        <w:rPr>
          <w:rFonts w:eastAsia="Calibri"/>
          <w:sz w:val="20"/>
          <w:szCs w:val="20"/>
        </w:rPr>
        <w:lastRenderedPageBreak/>
        <w:t xml:space="preserve">si bien puede extenderse la responsabilidad como Estado por los actos de funcionarios de gobiernos anteriores, no pueden calificarse esos hechos como una conducta continuada de Estado y en consecuencia no puede extenderse la competencia de la Corte a hechos anteriores a la temporalidad con la que el Estado reconoció su competencia. </w:t>
      </w:r>
      <w:r w:rsidRPr="00D13792">
        <w:rPr>
          <w:sz w:val="20"/>
          <w:szCs w:val="20"/>
        </w:rPr>
        <w:t xml:space="preserve">Asimismo, sostuvo que la </w:t>
      </w:r>
      <w:r w:rsidRPr="00D13792">
        <w:rPr>
          <w:rFonts w:cs="Arial"/>
          <w:sz w:val="20"/>
          <w:szCs w:val="20"/>
        </w:rPr>
        <w:t>CIDFP</w:t>
      </w:r>
      <w:r w:rsidRPr="00D13792">
        <w:rPr>
          <w:rFonts w:eastAsia="Calibri"/>
          <w:sz w:val="20"/>
          <w:szCs w:val="20"/>
        </w:rPr>
        <w:t xml:space="preserve"> no se puede aplicar de manera retroactiva a hechos que ocurrieron antes de su entrada en vigor para el Estado ni aquellos cuyo principio de ejecución ocurrió antes de la ratificación de dicha Convención el 25 de febrero de 2000</w:t>
      </w:r>
      <w:r w:rsidRPr="00D13792">
        <w:rPr>
          <w:sz w:val="20"/>
          <w:szCs w:val="20"/>
        </w:rPr>
        <w:t>.</w:t>
      </w:r>
    </w:p>
    <w:p w:rsidR="006A0E1C" w:rsidRPr="00D13792" w:rsidRDefault="006A0E1C" w:rsidP="006A0E1C">
      <w:pPr>
        <w:pStyle w:val="Prrafodelista2"/>
        <w:tabs>
          <w:tab w:val="left" w:pos="720"/>
        </w:tabs>
        <w:ind w:left="0" w:right="-90"/>
        <w:jc w:val="both"/>
        <w:rPr>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rFonts w:eastAsia="Calibri"/>
          <w:sz w:val="20"/>
          <w:szCs w:val="20"/>
        </w:rPr>
        <w:t xml:space="preserve">En el mismo sentido, el Estado argumentó que no puede incurrir en las violaciones de los derechos a la vida, integridad personal, libertad personal y al reconocimiento de la personalidad jurídica, ya que la Corte no puede conocer de hechos anteriores a la fecha en que Guatemala reconoció su competencia. Por otro lado, citó el </w:t>
      </w:r>
      <w:r w:rsidRPr="00D13792">
        <w:rPr>
          <w:rFonts w:eastAsia="Calibri"/>
          <w:i/>
          <w:sz w:val="20"/>
          <w:szCs w:val="20"/>
        </w:rPr>
        <w:t>Caso Efraín Bámaca Velásquez</w:t>
      </w:r>
      <w:r w:rsidRPr="00D13792">
        <w:rPr>
          <w:rFonts w:eastAsia="Calibri"/>
          <w:sz w:val="20"/>
          <w:szCs w:val="20"/>
        </w:rPr>
        <w:t xml:space="preserve"> para argumentar que “</w:t>
      </w:r>
      <w:r w:rsidRPr="00D13792">
        <w:rPr>
          <w:rFonts w:eastAsia="Calibri"/>
          <w:iCs/>
          <w:sz w:val="20"/>
          <w:szCs w:val="20"/>
        </w:rPr>
        <w:t xml:space="preserve">la privación arbitraria de la vida suprime a la persona humana y, por </w:t>
      </w:r>
      <w:r w:rsidRPr="00D13792">
        <w:rPr>
          <w:sz w:val="20"/>
          <w:szCs w:val="20"/>
        </w:rPr>
        <w:t>consiguiente</w:t>
      </w:r>
      <w:r w:rsidRPr="00D13792">
        <w:rPr>
          <w:rFonts w:eastAsia="Calibri"/>
          <w:iCs/>
          <w:sz w:val="20"/>
          <w:szCs w:val="20"/>
        </w:rPr>
        <w:t>, no procede, en esta circunstancia, invocar la supuesta violación del derecho a la personalidad jurídica o de otros derechos consagrados en la Convención”</w:t>
      </w:r>
      <w:r w:rsidRPr="00D13792">
        <w:rPr>
          <w:rFonts w:eastAsia="Calibri"/>
          <w:sz w:val="20"/>
          <w:szCs w:val="20"/>
        </w:rPr>
        <w:t>. Finalmente, se opuso a que se agreguen nuevos nombres de personas que habrían sido “ejecutadas extrajudicialmente”</w:t>
      </w:r>
      <w:r w:rsidRPr="00D13792">
        <w:rPr>
          <w:sz w:val="20"/>
          <w:szCs w:val="20"/>
        </w:rPr>
        <w:t xml:space="preserve"> </w:t>
      </w:r>
      <w:r w:rsidRPr="00D13792">
        <w:rPr>
          <w:rFonts w:eastAsia="Calibri"/>
          <w:sz w:val="20"/>
          <w:szCs w:val="20"/>
        </w:rPr>
        <w:t>según los Informes de Admisibilidad y Fondo de la Comisión, a la lista de personas presuntamente desaparecidas forzosamente.</w:t>
      </w:r>
    </w:p>
    <w:p w:rsidR="006A0E1C" w:rsidRPr="00D13792" w:rsidRDefault="006A0E1C" w:rsidP="006A0E1C">
      <w:pPr>
        <w:pStyle w:val="Prrafodelista2"/>
        <w:tabs>
          <w:tab w:val="left" w:pos="720"/>
        </w:tabs>
        <w:ind w:left="0" w:right="-90"/>
        <w:jc w:val="both"/>
        <w:rPr>
          <w:lang w:val="es-CR"/>
        </w:rPr>
      </w:pPr>
    </w:p>
    <w:p w:rsidR="006A0E1C" w:rsidRPr="00D13792" w:rsidRDefault="006A0E1C" w:rsidP="006A0E1C">
      <w:pPr>
        <w:pStyle w:val="Heading2"/>
        <w:numPr>
          <w:ilvl w:val="0"/>
          <w:numId w:val="38"/>
        </w:numPr>
        <w:tabs>
          <w:tab w:val="clear" w:pos="720"/>
          <w:tab w:val="left" w:pos="0"/>
        </w:tabs>
        <w:ind w:left="0" w:firstLine="0"/>
        <w:rPr>
          <w:lang w:val="es-CR"/>
        </w:rPr>
      </w:pPr>
      <w:bookmarkStart w:id="195" w:name="_Toc455574183"/>
      <w:bookmarkStart w:id="196" w:name="_Toc455631229"/>
      <w:bookmarkStart w:id="197" w:name="_Toc457990759"/>
      <w:bookmarkStart w:id="198" w:name="_Toc469670042"/>
      <w:r w:rsidRPr="00D13792">
        <w:rPr>
          <w:lang w:val="es-CR"/>
        </w:rPr>
        <w:t>Consideraciones de la Corte</w:t>
      </w:r>
      <w:bookmarkEnd w:id="195"/>
      <w:bookmarkEnd w:id="196"/>
      <w:bookmarkEnd w:id="197"/>
      <w:bookmarkEnd w:id="198"/>
    </w:p>
    <w:p w:rsidR="006A0E1C" w:rsidRPr="00D13792" w:rsidRDefault="006A0E1C" w:rsidP="006A0E1C">
      <w:pPr>
        <w:widowControl/>
        <w:adjustRightInd/>
        <w:spacing w:line="240" w:lineRule="auto"/>
        <w:jc w:val="left"/>
        <w:rPr>
          <w:rFonts w:eastAsia="MS Mincho"/>
          <w:sz w:val="20"/>
          <w:szCs w:val="20"/>
          <w:lang w:eastAsia="en-US" w:bidi="en-US"/>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En el </w:t>
      </w:r>
      <w:r w:rsidRPr="00D13792">
        <w:rPr>
          <w:rFonts w:eastAsia="Calibri"/>
          <w:sz w:val="20"/>
          <w:szCs w:val="20"/>
        </w:rPr>
        <w:t>presente</w:t>
      </w:r>
      <w:r w:rsidRPr="00D13792">
        <w:rPr>
          <w:sz w:val="20"/>
          <w:szCs w:val="20"/>
        </w:rPr>
        <w:t xml:space="preserve"> caso, el Estado ha sido enfático en señalar que no pretende negar que sucedieron los hechos </w:t>
      </w:r>
      <w:r w:rsidRPr="00D13792">
        <w:rPr>
          <w:rFonts w:eastAsia="Calibri"/>
          <w:sz w:val="20"/>
          <w:szCs w:val="20"/>
        </w:rPr>
        <w:t>que causaron violaciones a los derechos humanos</w:t>
      </w:r>
      <w:r w:rsidRPr="00D13792">
        <w:rPr>
          <w:sz w:val="20"/>
          <w:szCs w:val="20"/>
        </w:rPr>
        <w:t xml:space="preserve"> ni su responsabilidad </w:t>
      </w:r>
      <w:r w:rsidRPr="00D13792">
        <w:rPr>
          <w:rFonts w:eastAsia="Calibri"/>
          <w:sz w:val="20"/>
          <w:szCs w:val="20"/>
        </w:rPr>
        <w:t>si ha habido dolo, negligencia o culpa institucional o de funcionarios o empleados públicos (</w:t>
      </w:r>
      <w:r w:rsidRPr="00D13792">
        <w:rPr>
          <w:rFonts w:eastAsia="Calibri"/>
          <w:i/>
          <w:sz w:val="20"/>
          <w:szCs w:val="20"/>
        </w:rPr>
        <w:t>supra</w:t>
      </w:r>
      <w:r w:rsidRPr="00D13792">
        <w:rPr>
          <w:rFonts w:eastAsia="Calibri"/>
          <w:sz w:val="20"/>
          <w:szCs w:val="20"/>
        </w:rPr>
        <w:t xml:space="preserve"> párrs. 15 y 51)</w:t>
      </w:r>
      <w:r w:rsidRPr="00D13792">
        <w:rPr>
          <w:sz w:val="20"/>
          <w:szCs w:val="20"/>
        </w:rPr>
        <w:t xml:space="preserve">. Sin embargo, controvirtió el análisis que la Corte ha hecho sobre la desaparición forzada a lo largo de su jurisprudencia, y sobre esta base sostuvo que no </w:t>
      </w:r>
      <w:r w:rsidRPr="00D13792">
        <w:rPr>
          <w:rFonts w:eastAsia="Calibri"/>
          <w:sz w:val="20"/>
          <w:szCs w:val="20"/>
        </w:rPr>
        <w:t>se le puede atribuir responsabilidad internacional por los hechos de este caso. La Corte procede a dar respuesta a los argumentos del Estado.</w:t>
      </w:r>
    </w:p>
    <w:p w:rsidR="006A0E1C" w:rsidRPr="00D13792" w:rsidRDefault="006A0E1C" w:rsidP="006A0E1C">
      <w:pPr>
        <w:pStyle w:val="Prrafodelista2"/>
        <w:tabs>
          <w:tab w:val="left" w:pos="720"/>
        </w:tabs>
        <w:ind w:left="0" w:right="-90"/>
        <w:jc w:val="both"/>
        <w:rPr>
          <w:b/>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En primer lugar, el Estado alegó que no </w:t>
      </w:r>
      <w:r w:rsidRPr="00D13792">
        <w:rPr>
          <w:rFonts w:eastAsia="Calibri"/>
          <w:sz w:val="20"/>
          <w:szCs w:val="20"/>
        </w:rPr>
        <w:t>se le puede atribuir responsabilidad internacional por las desapariciones ocurridas durante la época del enfrentamiento armado interno, debido a que</w:t>
      </w:r>
      <w:r w:rsidRPr="00D13792">
        <w:rPr>
          <w:sz w:val="20"/>
          <w:szCs w:val="20"/>
        </w:rPr>
        <w:t xml:space="preserve"> e</w:t>
      </w:r>
      <w:r w:rsidRPr="00D13792">
        <w:rPr>
          <w:rFonts w:eastAsia="Calibri"/>
          <w:sz w:val="20"/>
          <w:szCs w:val="20"/>
        </w:rPr>
        <w:t>l delito de desaparición forzada es un delito permanente que no se encontraba tipificado en el ordenamiento penal interno ni existía en el propio ámbito interamericano</w:t>
      </w:r>
      <w:r w:rsidRPr="00D13792">
        <w:rPr>
          <w:sz w:val="20"/>
          <w:szCs w:val="20"/>
        </w:rPr>
        <w:t xml:space="preserve"> y </w:t>
      </w:r>
      <w:r w:rsidRPr="00D13792">
        <w:rPr>
          <w:rFonts w:eastAsia="Calibri"/>
          <w:sz w:val="20"/>
          <w:szCs w:val="20"/>
        </w:rPr>
        <w:t xml:space="preserve">no puede retipificarse conforme a los principios de legalidad e irretroactividad de la ley. En todo caso el delito podría encuadrar, según el Estado, en la figura delictiva de </w:t>
      </w:r>
      <w:r w:rsidRPr="00D13792">
        <w:rPr>
          <w:sz w:val="20"/>
          <w:szCs w:val="20"/>
        </w:rPr>
        <w:t>secuestro, detención ilegal o lesiones graves</w:t>
      </w:r>
      <w:r w:rsidRPr="00D13792">
        <w:rPr>
          <w:rFonts w:eastAsia="Calibri"/>
          <w:sz w:val="20"/>
          <w:szCs w:val="20"/>
        </w:rPr>
        <w:t xml:space="preserve">. </w:t>
      </w:r>
    </w:p>
    <w:p w:rsidR="006A0E1C" w:rsidRPr="00D13792" w:rsidRDefault="006A0E1C" w:rsidP="006A0E1C">
      <w:pPr>
        <w:pStyle w:val="Prrafodelista2"/>
        <w:tabs>
          <w:tab w:val="left" w:pos="720"/>
        </w:tabs>
        <w:ind w:left="0" w:right="-86"/>
        <w:jc w:val="both"/>
        <w:rPr>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En su jurisprudencia constante iniciada desde 1988</w:t>
      </w:r>
      <w:r w:rsidRPr="00D13792">
        <w:rPr>
          <w:rStyle w:val="FootnoteReference"/>
          <w:sz w:val="20"/>
          <w:szCs w:val="20"/>
        </w:rPr>
        <w:footnoteReference w:id="140"/>
      </w:r>
      <w:r w:rsidRPr="00D13792">
        <w:rPr>
          <w:sz w:val="20"/>
          <w:szCs w:val="20"/>
        </w:rPr>
        <w:t>, la</w:t>
      </w:r>
      <w:r w:rsidRPr="00D13792">
        <w:rPr>
          <w:spacing w:val="-2"/>
          <w:sz w:val="20"/>
          <w:szCs w:val="20"/>
        </w:rPr>
        <w:t xml:space="preserve"> Corte ha establecido que la desaparición </w:t>
      </w:r>
      <w:r w:rsidRPr="00D13792">
        <w:rPr>
          <w:rFonts w:eastAsia="Calibri"/>
          <w:sz w:val="20"/>
          <w:szCs w:val="20"/>
        </w:rPr>
        <w:t>forzada</w:t>
      </w:r>
      <w:r w:rsidRPr="00D13792">
        <w:rPr>
          <w:spacing w:val="-2"/>
          <w:sz w:val="20"/>
          <w:szCs w:val="20"/>
        </w:rPr>
        <w:t xml:space="preserve"> de personas es una violación de derechos humanos constituida por tres </w:t>
      </w:r>
      <w:r w:rsidRPr="00D13792">
        <w:rPr>
          <w:sz w:val="20"/>
          <w:szCs w:val="20"/>
        </w:rPr>
        <w:t>elementos</w:t>
      </w:r>
      <w:r w:rsidRPr="00D13792">
        <w:rPr>
          <w:spacing w:val="-2"/>
          <w:sz w:val="20"/>
          <w:szCs w:val="20"/>
        </w:rPr>
        <w:t xml:space="preserve"> concurrentes: a) la privación de la libertad; b) la intervención directa de agentes estatales o la aquiescencia de estos, y c) la negativa de reconocer la detención y de revelar la suerte o el paradero de la persona interesada.</w:t>
      </w:r>
      <w:r w:rsidRPr="00D13792">
        <w:rPr>
          <w:rFonts w:cs="Arial"/>
          <w:sz w:val="20"/>
          <w:szCs w:val="20"/>
        </w:rPr>
        <w:t xml:space="preserve"> Al respecto, </w:t>
      </w:r>
      <w:r w:rsidRPr="00D13792">
        <w:rPr>
          <w:spacing w:val="-2"/>
          <w:sz w:val="20"/>
          <w:szCs w:val="20"/>
        </w:rPr>
        <w:t xml:space="preserve">este Tribunal ha desarrollado en su jurisprudencia el carácter pluriofensivo de la desaparición forzada, así como su naturaleza permanente o continua, </w:t>
      </w:r>
      <w:r w:rsidRPr="00D13792">
        <w:rPr>
          <w:rFonts w:cs="Times"/>
          <w:sz w:val="20"/>
          <w:szCs w:val="20"/>
        </w:rPr>
        <w:t>en la cual la desaparición y su ejecución se inician con la privación de la libertad de la persona y la subsiguiente falta de información sobre su destino, y permanece mientras no se conozca el paradero de la persona desaparecida o se hallen sus restos de modo que se determine con certeza su identidad</w:t>
      </w:r>
      <w:r w:rsidRPr="00D13792">
        <w:rPr>
          <w:spacing w:val="-2"/>
          <w:sz w:val="20"/>
          <w:szCs w:val="20"/>
          <w:vertAlign w:val="superscript"/>
        </w:rPr>
        <w:footnoteReference w:id="141"/>
      </w:r>
      <w:r w:rsidRPr="00D13792">
        <w:rPr>
          <w:sz w:val="20"/>
          <w:szCs w:val="20"/>
        </w:rPr>
        <w:t>.</w:t>
      </w:r>
      <w:r w:rsidRPr="00D13792">
        <w:rPr>
          <w:spacing w:val="-2"/>
          <w:sz w:val="20"/>
          <w:szCs w:val="20"/>
        </w:rPr>
        <w:t xml:space="preserve"> Mientras perdure la desaparición, </w:t>
      </w:r>
      <w:r w:rsidRPr="00D13792">
        <w:rPr>
          <w:sz w:val="20"/>
          <w:szCs w:val="20"/>
        </w:rPr>
        <w:t xml:space="preserve">los Estados tienen el deber correlativo de investigarla y, eventualmente, sancionar a los responsables, </w:t>
      </w:r>
      <w:r w:rsidRPr="00D13792">
        <w:rPr>
          <w:sz w:val="20"/>
          <w:szCs w:val="20"/>
        </w:rPr>
        <w:lastRenderedPageBreak/>
        <w:t>conforme a las obligaciones derivadas de la Convención Americana y, en particular, de la Convención Interamericana sobre Desaparición Forzada de Personas (CIDFP)</w:t>
      </w:r>
      <w:r w:rsidRPr="00D13792">
        <w:rPr>
          <w:rStyle w:val="FootnoteReference"/>
          <w:rFonts w:eastAsia="Calibri"/>
          <w:sz w:val="20"/>
          <w:szCs w:val="20"/>
        </w:rPr>
        <w:footnoteReference w:id="142"/>
      </w:r>
      <w:r w:rsidRPr="00D13792">
        <w:rPr>
          <w:sz w:val="20"/>
          <w:szCs w:val="20"/>
        </w:rPr>
        <w:t xml:space="preserve">. </w:t>
      </w:r>
    </w:p>
    <w:p w:rsidR="006A0E1C" w:rsidRPr="00D13792" w:rsidRDefault="006A0E1C" w:rsidP="006A0E1C">
      <w:pPr>
        <w:pStyle w:val="Prrafodelista2"/>
        <w:tabs>
          <w:tab w:val="left" w:pos="720"/>
        </w:tabs>
        <w:ind w:left="0" w:right="-90"/>
        <w:jc w:val="both"/>
        <w:rPr>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Este Tribunal tiene competencia para eventualmente calificar los hechos del presente caso como desaparición forzada debido al carácter permanente o continuo de sus actos constitutivos, y la pluriofensividad a los derechos de las personas reconocidos en la Convención Americana mientras no se conozca el paradero de la víctima o se hallen sus restos. La Corte recuerda que una desaparición forzada se configura por una pluralidad de conductas que, cohesionadas por un único fin, vulneran de manera permanente, mientras subsistan, distintos bienes jurídicos protegidos por la Convención</w:t>
      </w:r>
      <w:r w:rsidRPr="00D13792">
        <w:rPr>
          <w:rFonts w:eastAsia="Batang"/>
          <w:sz w:val="20"/>
          <w:szCs w:val="20"/>
          <w:vertAlign w:val="superscript"/>
        </w:rPr>
        <w:footnoteReference w:id="143"/>
      </w:r>
      <w:r w:rsidRPr="00D13792">
        <w:rPr>
          <w:sz w:val="20"/>
          <w:szCs w:val="20"/>
        </w:rPr>
        <w:t>. Por tanto, el examen de una posible desaparición forzada debe ser consecuente con la violación compleja de derechos humanos que esta conlleva y no debe enfocarse de manera aislada, dividida y fragmentada solo en la detención, la posible tortura o el riesgo de perder la vida</w:t>
      </w:r>
      <w:r w:rsidRPr="00D13792">
        <w:rPr>
          <w:rFonts w:cs="Times"/>
          <w:sz w:val="20"/>
          <w:szCs w:val="20"/>
          <w:vertAlign w:val="superscript"/>
        </w:rPr>
        <w:footnoteReference w:id="144"/>
      </w:r>
      <w:r w:rsidRPr="00D13792">
        <w:rPr>
          <w:sz w:val="20"/>
          <w:szCs w:val="20"/>
        </w:rPr>
        <w:t>. En tal sentido, su análisis debe abarcar la totalidad del conjunto de los hechos que se presentan a consideración del Tribunal. Solo de este modo el análisis legal de la desaparición forzada es consecuente con la compleja violación a derechos humanos que esta conlleva</w:t>
      </w:r>
      <w:r w:rsidRPr="00D13792">
        <w:rPr>
          <w:rStyle w:val="FootnoteReference"/>
          <w:rFonts w:eastAsia="Calibri"/>
          <w:sz w:val="20"/>
          <w:szCs w:val="20"/>
        </w:rPr>
        <w:footnoteReference w:id="145"/>
      </w:r>
      <w:r w:rsidRPr="00D13792">
        <w:rPr>
          <w:sz w:val="20"/>
          <w:szCs w:val="20"/>
        </w:rPr>
        <w:t xml:space="preserve">. </w:t>
      </w:r>
    </w:p>
    <w:p w:rsidR="006A0E1C" w:rsidRPr="00D13792" w:rsidRDefault="006A0E1C" w:rsidP="006A0E1C">
      <w:pPr>
        <w:pStyle w:val="Prrafodelista2"/>
        <w:tabs>
          <w:tab w:val="left" w:pos="720"/>
        </w:tabs>
        <w:ind w:left="0" w:right="-90"/>
        <w:jc w:val="both"/>
        <w:rPr>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Dichas consideraciones no infringen </w:t>
      </w:r>
      <w:r w:rsidRPr="00D13792">
        <w:rPr>
          <w:rFonts w:eastAsia="Calibri"/>
          <w:sz w:val="20"/>
          <w:szCs w:val="20"/>
        </w:rPr>
        <w:t>los principios de legalidad e irretroactividad</w:t>
      </w:r>
      <w:r w:rsidRPr="00D13792">
        <w:rPr>
          <w:sz w:val="20"/>
          <w:szCs w:val="20"/>
        </w:rPr>
        <w:t>, pues a diferencia de las ejecuciones extrajudiciales, la desaparición forzada de personas se caracteriza por ser una violación de carácter continuo o permanente. Lo anterior permite que la Corte pueda pronunciarse sobre una presunta desaparición forzada, aun si esta se inicia con anterioridad a la fecha en que el Estado reconoce la competencia de la Corte, siempre y cuando dicha violación permanezca o continúe con posterioridad a dicha fecha</w:t>
      </w:r>
      <w:r w:rsidRPr="00D13792">
        <w:rPr>
          <w:rStyle w:val="FootnoteReference"/>
          <w:sz w:val="20"/>
          <w:szCs w:val="20"/>
        </w:rPr>
        <w:footnoteReference w:id="146"/>
      </w:r>
      <w:r w:rsidRPr="00D13792">
        <w:rPr>
          <w:sz w:val="20"/>
          <w:szCs w:val="20"/>
        </w:rPr>
        <w:t>. Sin perjuicio de ello, el Tribunal recuerda que aun cuando le corresponde analizar la alegada desaparición forzada desde una perspectiva integral, puede declarar una violación a la Convención Americana u otros tratados a partir de la fecha del reconocimiento de la competencia por parte del Estado demandado</w:t>
      </w:r>
      <w:r w:rsidRPr="00D13792">
        <w:rPr>
          <w:rStyle w:val="FootnoteReference"/>
          <w:sz w:val="20"/>
          <w:szCs w:val="20"/>
        </w:rPr>
        <w:footnoteReference w:id="147"/>
      </w:r>
      <w:r w:rsidRPr="00D13792">
        <w:rPr>
          <w:sz w:val="20"/>
          <w:szCs w:val="20"/>
        </w:rPr>
        <w:t xml:space="preserve">, esto es, el 9 de marzo de 1987. </w:t>
      </w:r>
    </w:p>
    <w:p w:rsidR="006A0E1C" w:rsidRPr="00D13792" w:rsidRDefault="006A0E1C" w:rsidP="006A0E1C">
      <w:pPr>
        <w:tabs>
          <w:tab w:val="left" w:pos="567"/>
        </w:tabs>
        <w:spacing w:line="240" w:lineRule="auto"/>
        <w:ind w:right="4"/>
        <w:rPr>
          <w:rFonts w:eastAsia="Calibri"/>
          <w:sz w:val="20"/>
        </w:rPr>
      </w:pPr>
    </w:p>
    <w:p w:rsidR="006A0E1C" w:rsidRPr="00D13792" w:rsidRDefault="006A0E1C" w:rsidP="006A0E1C">
      <w:pPr>
        <w:numPr>
          <w:ilvl w:val="0"/>
          <w:numId w:val="6"/>
        </w:numPr>
        <w:tabs>
          <w:tab w:val="left" w:pos="567"/>
        </w:tabs>
        <w:spacing w:line="240" w:lineRule="auto"/>
        <w:ind w:right="4"/>
        <w:rPr>
          <w:rFonts w:eastAsia="Calibri"/>
          <w:sz w:val="20"/>
        </w:rPr>
      </w:pPr>
      <w:r w:rsidRPr="00D13792">
        <w:rPr>
          <w:sz w:val="20"/>
          <w:szCs w:val="20"/>
        </w:rPr>
        <w:t>Por último y respecto a los argumentos que se refieren a la manera en que deben ser procesados a nivel interno los hechos de desaparición forzada</w:t>
      </w:r>
      <w:r w:rsidRPr="00D13792">
        <w:rPr>
          <w:sz w:val="20"/>
        </w:rPr>
        <w:t xml:space="preserve">, la Corte advierte que en su jurisprudencia ha conocido de casos en que la falta en un inicio de la tipificación del delito autónomo de desaparición forzada de personas </w:t>
      </w:r>
      <w:r w:rsidRPr="00D13792">
        <w:rPr>
          <w:sz w:val="20"/>
          <w:szCs w:val="20"/>
        </w:rPr>
        <w:t xml:space="preserve">al momento en que ocurrieron los hechos y en que iniciaron los </w:t>
      </w:r>
      <w:r w:rsidRPr="00D13792">
        <w:rPr>
          <w:sz w:val="20"/>
        </w:rPr>
        <w:t>procesos penales a nivel interno</w:t>
      </w:r>
      <w:r w:rsidRPr="00D13792">
        <w:rPr>
          <w:rFonts w:eastAsia="Calibri"/>
          <w:sz w:val="20"/>
        </w:rPr>
        <w:t>,</w:t>
      </w:r>
      <w:r w:rsidRPr="00D13792">
        <w:rPr>
          <w:sz w:val="20"/>
        </w:rPr>
        <w:t xml:space="preserve"> </w:t>
      </w:r>
      <w:r w:rsidRPr="00D13792">
        <w:rPr>
          <w:sz w:val="20"/>
          <w:szCs w:val="20"/>
        </w:rPr>
        <w:t>no obstaculizó el desarrollo de estos, sin</w:t>
      </w:r>
      <w:r w:rsidRPr="00D13792">
        <w:rPr>
          <w:sz w:val="20"/>
        </w:rPr>
        <w:t xml:space="preserve"> embargo, </w:t>
      </w:r>
      <w:r w:rsidRPr="00D13792">
        <w:rPr>
          <w:sz w:val="20"/>
          <w:szCs w:val="20"/>
        </w:rPr>
        <w:t>ha sido</w:t>
      </w:r>
      <w:r w:rsidRPr="00D13792">
        <w:rPr>
          <w:sz w:val="20"/>
        </w:rPr>
        <w:t xml:space="preserve"> fundamental que </w:t>
      </w:r>
      <w:r w:rsidRPr="00D13792">
        <w:rPr>
          <w:rFonts w:eastAsia="Calibri"/>
          <w:sz w:val="20"/>
        </w:rPr>
        <w:t xml:space="preserve">la eventual </w:t>
      </w:r>
      <w:r w:rsidRPr="00D13792">
        <w:rPr>
          <w:sz w:val="20"/>
        </w:rPr>
        <w:t xml:space="preserve">aplicación de figuras penales sean </w:t>
      </w:r>
      <w:r w:rsidRPr="00D13792">
        <w:rPr>
          <w:rFonts w:eastAsia="Calibri"/>
          <w:sz w:val="20"/>
        </w:rPr>
        <w:t>consecuentes con la gravedad de los hechos y</w:t>
      </w:r>
      <w:r w:rsidRPr="00D13792">
        <w:rPr>
          <w:sz w:val="20"/>
        </w:rPr>
        <w:t xml:space="preserve"> la violación compleja de derechos humanos que se alega.</w:t>
      </w:r>
      <w:r w:rsidRPr="00D13792">
        <w:rPr>
          <w:rFonts w:eastAsia="Calibri"/>
          <w:sz w:val="20"/>
          <w:szCs w:val="20"/>
        </w:rPr>
        <w:t xml:space="preserve"> </w:t>
      </w:r>
      <w:r w:rsidRPr="00D13792">
        <w:rPr>
          <w:rStyle w:val="Strong"/>
          <w:b w:val="0"/>
          <w:color w:val="000000"/>
          <w:sz w:val="20"/>
          <w:shd w:val="clear" w:color="auto" w:fill="FFFFFF"/>
        </w:rPr>
        <w:t xml:space="preserve">Así, en el </w:t>
      </w:r>
      <w:r w:rsidRPr="00D13792">
        <w:rPr>
          <w:rStyle w:val="Strong"/>
          <w:b w:val="0"/>
          <w:i/>
          <w:color w:val="000000"/>
          <w:sz w:val="20"/>
          <w:shd w:val="clear" w:color="auto" w:fill="FFFFFF"/>
        </w:rPr>
        <w:t>Caso Ticona Estrada y otros Vs. Bolivia</w:t>
      </w:r>
      <w:r w:rsidRPr="00D13792">
        <w:rPr>
          <w:rStyle w:val="Strong"/>
          <w:b w:val="0"/>
          <w:color w:val="000000"/>
          <w:sz w:val="20"/>
          <w:shd w:val="clear" w:color="auto" w:fill="FFFFFF"/>
        </w:rPr>
        <w:t xml:space="preserve">, </w:t>
      </w:r>
      <w:r w:rsidRPr="00D13792">
        <w:rPr>
          <w:sz w:val="20"/>
        </w:rPr>
        <w:t>el juez de la causa penal</w:t>
      </w:r>
      <w:r w:rsidRPr="00D13792">
        <w:rPr>
          <w:sz w:val="20"/>
          <w:szCs w:val="20"/>
        </w:rPr>
        <w:t xml:space="preserve"> </w:t>
      </w:r>
      <w:r w:rsidRPr="00D13792">
        <w:rPr>
          <w:sz w:val="20"/>
        </w:rPr>
        <w:t xml:space="preserve">dictó una sentencia el 8 de enero de 2008 mediante la cual condenó a dos ex miembros del ejército por los delitos de asesinato, privación de libertad, amenazas y secuestro, así como a dos ex agentes estatales por el delito de complicidad en asesinato. </w:t>
      </w:r>
      <w:r w:rsidRPr="00D13792">
        <w:rPr>
          <w:sz w:val="20"/>
          <w:szCs w:val="20"/>
        </w:rPr>
        <w:t>La Corte consideró que “</w:t>
      </w:r>
      <w:r w:rsidRPr="00D13792">
        <w:rPr>
          <w:sz w:val="20"/>
        </w:rPr>
        <w:t xml:space="preserve">no se ha[bía] demostrado que la falta de tipificación del delito autónomo de desaparición forzada de personas ha[bía] </w:t>
      </w:r>
      <w:r w:rsidRPr="00D13792">
        <w:rPr>
          <w:sz w:val="20"/>
        </w:rPr>
        <w:lastRenderedPageBreak/>
        <w:t>obstaculizado el desarrollo efectivo del presente proceso penal</w:t>
      </w:r>
      <w:r w:rsidRPr="00D13792">
        <w:rPr>
          <w:sz w:val="20"/>
          <w:szCs w:val="20"/>
        </w:rPr>
        <w:t>”</w:t>
      </w:r>
      <w:r w:rsidRPr="00D13792">
        <w:rPr>
          <w:rStyle w:val="FootnoteReference"/>
          <w:sz w:val="20"/>
          <w:szCs w:val="20"/>
        </w:rPr>
        <w:footnoteReference w:id="148"/>
      </w:r>
      <w:r w:rsidRPr="00D13792">
        <w:rPr>
          <w:sz w:val="20"/>
          <w:szCs w:val="20"/>
        </w:rPr>
        <w:t>.</w:t>
      </w:r>
      <w:r w:rsidRPr="00D13792">
        <w:rPr>
          <w:rFonts w:eastAsia="Calibri"/>
          <w:sz w:val="20"/>
          <w:szCs w:val="20"/>
        </w:rPr>
        <w:t xml:space="preserve"> </w:t>
      </w:r>
      <w:r w:rsidRPr="00D13792">
        <w:rPr>
          <w:sz w:val="20"/>
        </w:rPr>
        <w:t xml:space="preserve">En el </w:t>
      </w:r>
      <w:r w:rsidRPr="00D13792">
        <w:rPr>
          <w:rStyle w:val="Strong"/>
          <w:b w:val="0"/>
          <w:i/>
          <w:color w:val="000000"/>
          <w:sz w:val="20"/>
          <w:shd w:val="clear" w:color="auto" w:fill="FFFFFF"/>
        </w:rPr>
        <w:t>Caso Goiburú y otros Vs. Paraguay</w:t>
      </w:r>
      <w:r w:rsidRPr="00D13792">
        <w:rPr>
          <w:rStyle w:val="Strong"/>
          <w:b w:val="0"/>
          <w:color w:val="000000"/>
          <w:sz w:val="20"/>
          <w:shd w:val="clear" w:color="auto" w:fill="FFFFFF"/>
        </w:rPr>
        <w:t xml:space="preserve">, </w:t>
      </w:r>
      <w:r w:rsidRPr="00D13792">
        <w:rPr>
          <w:sz w:val="20"/>
        </w:rPr>
        <w:t xml:space="preserve">los </w:t>
      </w:r>
      <w:r w:rsidRPr="00D13792">
        <w:rPr>
          <w:sz w:val="20"/>
          <w:szCs w:val="20"/>
        </w:rPr>
        <w:t>imputados</w:t>
      </w:r>
      <w:r w:rsidRPr="00D13792">
        <w:rPr>
          <w:sz w:val="20"/>
        </w:rPr>
        <w:t xml:space="preserve"> en algunos casos fueron condenados bajo tipos penales tales como secuestro, privación ilegítima de libertad, abuso de autoridad, asociación o concierto para delinquir, lesiones, coacción o amenazas, y homicidio, contenidos en el Código Penal de 1914 y de 1998 cuando este resultó más beneficioso al imputado. </w:t>
      </w:r>
      <w:r w:rsidRPr="00D13792">
        <w:rPr>
          <w:sz w:val="20"/>
          <w:szCs w:val="20"/>
        </w:rPr>
        <w:t xml:space="preserve">La Corte reconoció </w:t>
      </w:r>
      <w:r w:rsidRPr="00D13792">
        <w:rPr>
          <w:sz w:val="20"/>
        </w:rPr>
        <w:t>que “la detención ilegal y arbitraria, tortura y desaparición forzada de las víctimas no ha[bía] quedado en la total impunidad mediante la aplicación de otras figuras penales</w:t>
      </w:r>
      <w:r w:rsidRPr="00D13792">
        <w:rPr>
          <w:sz w:val="20"/>
          <w:szCs w:val="20"/>
        </w:rPr>
        <w:t>”</w:t>
      </w:r>
      <w:r w:rsidRPr="00D13792">
        <w:rPr>
          <w:rStyle w:val="FootnoteReference"/>
          <w:sz w:val="20"/>
          <w:szCs w:val="20"/>
        </w:rPr>
        <w:footnoteReference w:id="149"/>
      </w:r>
      <w:r w:rsidRPr="00D13792">
        <w:rPr>
          <w:sz w:val="20"/>
          <w:szCs w:val="20"/>
        </w:rPr>
        <w:t>.</w:t>
      </w:r>
      <w:r w:rsidRPr="00D13792">
        <w:rPr>
          <w:rFonts w:eastAsia="Calibri"/>
          <w:sz w:val="20"/>
          <w:szCs w:val="20"/>
        </w:rPr>
        <w:t xml:space="preserve"> </w:t>
      </w:r>
      <w:r w:rsidRPr="00D13792">
        <w:rPr>
          <w:sz w:val="20"/>
        </w:rPr>
        <w:t xml:space="preserve">En el </w:t>
      </w:r>
      <w:r w:rsidRPr="00D13792">
        <w:rPr>
          <w:i/>
          <w:sz w:val="20"/>
        </w:rPr>
        <w:t xml:space="preserve">Caso Castillo Páez Vs. </w:t>
      </w:r>
      <w:r w:rsidRPr="00D13792">
        <w:rPr>
          <w:rFonts w:cs="Verdana"/>
          <w:i/>
          <w:sz w:val="20"/>
          <w:szCs w:val="20"/>
        </w:rPr>
        <w:t>Perú</w:t>
      </w:r>
      <w:r w:rsidRPr="00D13792">
        <w:rPr>
          <w:rFonts w:cs="Verdana"/>
          <w:sz w:val="20"/>
          <w:szCs w:val="20"/>
        </w:rPr>
        <w:t xml:space="preserve"> se dio un supuesto distinto: aunque los hechos inicialmente fueron procesados por el delito de secuestro, el 16 de marzo de 2006 se condenó a cuatro personas por el delito de desaparición forzada. La Corte Suprema de Justicia del Perú confirmó esa posición en sentencia de 18 de diciembre 2007, estableciendo que, “al tratarse de un delito </w:t>
      </w:r>
      <w:r w:rsidRPr="00D13792">
        <w:rPr>
          <w:sz w:val="20"/>
          <w:szCs w:val="20"/>
        </w:rPr>
        <w:t>permanente</w:t>
      </w:r>
      <w:r w:rsidRPr="00D13792">
        <w:rPr>
          <w:rFonts w:cs="Verdana"/>
          <w:sz w:val="20"/>
          <w:szCs w:val="20"/>
        </w:rPr>
        <w:t xml:space="preserve">, se entenderá perpetrado bajo la vigencia del nuevo Código Penal y se aplicarán sus disposiciones”. La Corte Interamericana consideró que las </w:t>
      </w:r>
      <w:r w:rsidRPr="00D13792">
        <w:rPr>
          <w:sz w:val="20"/>
          <w:szCs w:val="20"/>
        </w:rPr>
        <w:t>decisiones adoptadas constituyeron “importantes precedentes de la justicia latinoamericana en materia de derechos humanos”</w:t>
      </w:r>
      <w:r w:rsidRPr="00D13792">
        <w:rPr>
          <w:rStyle w:val="FootnoteReference"/>
          <w:sz w:val="20"/>
        </w:rPr>
        <w:footnoteReference w:id="150"/>
      </w:r>
      <w:r w:rsidRPr="00D13792">
        <w:rPr>
          <w:sz w:val="20"/>
        </w:rPr>
        <w:t>.</w:t>
      </w:r>
    </w:p>
    <w:p w:rsidR="006A0E1C" w:rsidRPr="00D13792" w:rsidRDefault="006A0E1C" w:rsidP="006A0E1C">
      <w:pPr>
        <w:pStyle w:val="Prrafodelista2"/>
        <w:tabs>
          <w:tab w:val="left" w:pos="720"/>
        </w:tabs>
        <w:ind w:left="0" w:right="-90"/>
        <w:jc w:val="both"/>
        <w:rPr>
          <w:lang w:val="es-CR"/>
        </w:rPr>
      </w:pPr>
    </w:p>
    <w:p w:rsidR="006A0E1C" w:rsidRPr="00D13792" w:rsidRDefault="006A0E1C" w:rsidP="006A0E1C">
      <w:pPr>
        <w:numPr>
          <w:ilvl w:val="0"/>
          <w:numId w:val="6"/>
        </w:numPr>
        <w:tabs>
          <w:tab w:val="left" w:pos="567"/>
        </w:tabs>
        <w:spacing w:line="240" w:lineRule="auto"/>
        <w:ind w:right="4"/>
        <w:rPr>
          <w:rFonts w:eastAsia="Calibri"/>
          <w:sz w:val="20"/>
          <w:szCs w:val="20"/>
        </w:rPr>
      </w:pPr>
      <w:r w:rsidRPr="00D13792">
        <w:rPr>
          <w:sz w:val="20"/>
          <w:szCs w:val="20"/>
        </w:rPr>
        <w:t xml:space="preserve">En </w:t>
      </w:r>
      <w:r w:rsidRPr="00D13792">
        <w:rPr>
          <w:rFonts w:eastAsia="Calibri"/>
          <w:sz w:val="20"/>
          <w:szCs w:val="20"/>
        </w:rPr>
        <w:t>segundo</w:t>
      </w:r>
      <w:r w:rsidRPr="00D13792">
        <w:rPr>
          <w:sz w:val="20"/>
          <w:szCs w:val="20"/>
        </w:rPr>
        <w:t xml:space="preserve"> lugar</w:t>
      </w:r>
      <w:r w:rsidRPr="00D13792">
        <w:rPr>
          <w:rFonts w:eastAsia="Calibri"/>
          <w:sz w:val="20"/>
          <w:szCs w:val="20"/>
        </w:rPr>
        <w:t xml:space="preserve">, el Estado alegó que la determinación de la existencia de una desaparición forzada solo se realiza a través de las instancias jurisdiccionales penales internas y mediante </w:t>
      </w:r>
      <w:r w:rsidRPr="00D13792">
        <w:rPr>
          <w:sz w:val="20"/>
          <w:szCs w:val="20"/>
        </w:rPr>
        <w:t>la</w:t>
      </w:r>
      <w:r w:rsidRPr="00D13792">
        <w:rPr>
          <w:rFonts w:eastAsia="Calibri"/>
          <w:sz w:val="20"/>
          <w:szCs w:val="20"/>
        </w:rPr>
        <w:t xml:space="preserve"> utilización de las pruebas idóneas, y que este Tribunal no puede atribuir la responsabilidad de haber cometido dichas desapariciones sin pruebas fehacientes. </w:t>
      </w:r>
    </w:p>
    <w:p w:rsidR="006A0E1C" w:rsidRPr="00D13792" w:rsidRDefault="006A0E1C" w:rsidP="006A0E1C">
      <w:pPr>
        <w:pStyle w:val="Prrafodelista2"/>
        <w:tabs>
          <w:tab w:val="left" w:pos="720"/>
        </w:tabs>
        <w:ind w:left="0" w:right="-90"/>
        <w:jc w:val="both"/>
        <w:rPr>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L</w:t>
      </w:r>
      <w:r w:rsidRPr="00D13792">
        <w:rPr>
          <w:iCs/>
          <w:sz w:val="20"/>
          <w:szCs w:val="20"/>
        </w:rPr>
        <w:t xml:space="preserve">a Corte recuerda que la jurisdicción internacional de los derechos humanos no debe confundirse </w:t>
      </w:r>
      <w:r w:rsidRPr="00D13792">
        <w:rPr>
          <w:rFonts w:eastAsia="Calibri"/>
          <w:sz w:val="20"/>
          <w:szCs w:val="20"/>
        </w:rPr>
        <w:t>con</w:t>
      </w:r>
      <w:r w:rsidRPr="00D13792">
        <w:rPr>
          <w:iCs/>
          <w:sz w:val="20"/>
          <w:szCs w:val="20"/>
        </w:rPr>
        <w:t xml:space="preserve"> la jurisdicción penal, ya que los Estados no comparecen ante la Corte como sujetos de acción penal</w:t>
      </w:r>
      <w:r w:rsidRPr="00D13792">
        <w:rPr>
          <w:sz w:val="20"/>
          <w:szCs w:val="20"/>
        </w:rPr>
        <w:t>. El derecho internacional de los derechos humanos no tiene por objeto imponer penas a las personas culpables de sus violaciones, sino amparar a las víctimas y disponer la reparación de los daños que les hayan sido causados por los Estados responsables de tales acciones</w:t>
      </w:r>
      <w:r w:rsidRPr="00D13792">
        <w:rPr>
          <w:rStyle w:val="FootnoteReference"/>
          <w:sz w:val="20"/>
          <w:szCs w:val="20"/>
        </w:rPr>
        <w:footnoteReference w:id="151"/>
      </w:r>
      <w:r w:rsidRPr="00D13792">
        <w:rPr>
          <w:iCs/>
          <w:sz w:val="20"/>
          <w:szCs w:val="20"/>
        </w:rPr>
        <w:t xml:space="preserve">. </w:t>
      </w:r>
      <w:r w:rsidRPr="00D13792">
        <w:rPr>
          <w:sz w:val="20"/>
          <w:szCs w:val="20"/>
        </w:rPr>
        <w:t xml:space="preserve">Para establecer que se ha producido una violación de los derechos consagrados en la Convención </w:t>
      </w:r>
      <w:r w:rsidRPr="00D13792">
        <w:rPr>
          <w:iCs/>
          <w:sz w:val="20"/>
          <w:szCs w:val="20"/>
        </w:rPr>
        <w:t>no es necesario que se pruebe la responsabilidad del Estado más allá de toda duda razonable ni que</w:t>
      </w:r>
      <w:r w:rsidRPr="00D13792">
        <w:rPr>
          <w:sz w:val="20"/>
          <w:szCs w:val="20"/>
        </w:rPr>
        <w:t xml:space="preserve"> se identifique individualmente a los agentes a los cuales se atribuyen los hechos violatorios, sino que es suficiente demostrar que se han verificado acciones u omisiones que hayan permitido la perpetración de esas violaciones o que exista una obligación del Estado que haya sido incumplida por este</w:t>
      </w:r>
      <w:r w:rsidRPr="00D13792">
        <w:rPr>
          <w:rStyle w:val="FootnoteReference"/>
          <w:sz w:val="20"/>
          <w:szCs w:val="20"/>
        </w:rPr>
        <w:footnoteReference w:id="152"/>
      </w:r>
      <w:r w:rsidRPr="00D13792">
        <w:rPr>
          <w:sz w:val="20"/>
          <w:szCs w:val="20"/>
        </w:rPr>
        <w:t>. Para ello, la Corte debe aplicar una valoración de la prueba que tenga en cuenta la gravedad de la atribución de responsabilidad internacional a un Estado y que, sin perjuicio de ello, sea capaz de crear la convicción de la verdad de los hechos alegados</w:t>
      </w:r>
      <w:r w:rsidRPr="00D13792">
        <w:rPr>
          <w:rStyle w:val="FootnoteReference"/>
          <w:sz w:val="20"/>
          <w:szCs w:val="20"/>
        </w:rPr>
        <w:footnoteReference w:id="153"/>
      </w:r>
      <w:r w:rsidRPr="00D13792">
        <w:rPr>
          <w:sz w:val="20"/>
          <w:szCs w:val="20"/>
        </w:rPr>
        <w:t>. Por último, este Tribunal estima pertinente recordar que para fundar una sentencia, l</w:t>
      </w:r>
      <w:r w:rsidRPr="00D13792">
        <w:rPr>
          <w:rFonts w:cs="Verdana"/>
          <w:sz w:val="20"/>
          <w:szCs w:val="20"/>
        </w:rPr>
        <w:t>a prueba indiciaria o presuntiva resulta de especial importancia cuando se trata de denuncias sobre desaparición forzada, ya que esta forma de violación se caracteriza por procurar la supresión de todo elemento que permita comprobar la detención, el paradero y la suerte de las víctimas</w:t>
      </w:r>
      <w:r w:rsidRPr="00D13792">
        <w:rPr>
          <w:rStyle w:val="FootnoteReference"/>
          <w:sz w:val="20"/>
          <w:szCs w:val="20"/>
        </w:rPr>
        <w:footnoteReference w:id="154"/>
      </w:r>
      <w:r w:rsidRPr="00D13792">
        <w:rPr>
          <w:rFonts w:cs="Verdana"/>
          <w:sz w:val="20"/>
          <w:szCs w:val="20"/>
        </w:rPr>
        <w:t>.</w:t>
      </w:r>
    </w:p>
    <w:p w:rsidR="006A0E1C" w:rsidRPr="00D13792" w:rsidRDefault="006A0E1C" w:rsidP="006A0E1C">
      <w:pPr>
        <w:pStyle w:val="Prrafodelista2"/>
        <w:tabs>
          <w:tab w:val="left" w:pos="720"/>
        </w:tabs>
        <w:ind w:left="0" w:right="-90"/>
        <w:jc w:val="both"/>
        <w:rPr>
          <w:lang w:val="es-CR"/>
        </w:rPr>
      </w:pPr>
    </w:p>
    <w:p w:rsidR="006A0E1C" w:rsidRPr="00D13792" w:rsidRDefault="006A0E1C" w:rsidP="006A0E1C">
      <w:pPr>
        <w:pStyle w:val="Heading3"/>
        <w:ind w:left="0"/>
        <w:rPr>
          <w:i/>
          <w:spacing w:val="0"/>
          <w:lang w:val="es-CR"/>
        </w:rPr>
      </w:pPr>
      <w:bookmarkStart w:id="199" w:name="_Toc460938876"/>
      <w:bookmarkStart w:id="200" w:name="_Toc469670043"/>
      <w:r w:rsidRPr="00D13792">
        <w:rPr>
          <w:i/>
          <w:spacing w:val="0"/>
          <w:lang w:val="es-CR"/>
        </w:rPr>
        <w:t>B.1. Determinación de la ocurrencia de las alegadas desapariciones forzadas y su permanencia en el tiempo</w:t>
      </w:r>
      <w:bookmarkEnd w:id="199"/>
      <w:bookmarkEnd w:id="200"/>
    </w:p>
    <w:p w:rsidR="006A0E1C" w:rsidRPr="00D13792" w:rsidRDefault="006A0E1C" w:rsidP="006A0E1C">
      <w:pPr>
        <w:pStyle w:val="Prrafodelista2"/>
        <w:tabs>
          <w:tab w:val="left" w:pos="720"/>
        </w:tabs>
        <w:ind w:left="0" w:right="-90"/>
        <w:jc w:val="both"/>
        <w:rPr>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A continuación la Corte analizará las desapariciones forzadas alegadas en el presente </w:t>
      </w:r>
      <w:r w:rsidRPr="00D13792">
        <w:rPr>
          <w:sz w:val="20"/>
          <w:szCs w:val="20"/>
        </w:rPr>
        <w:lastRenderedPageBreak/>
        <w:t xml:space="preserve">caso. Al </w:t>
      </w:r>
      <w:r w:rsidRPr="00D13792">
        <w:rPr>
          <w:rFonts w:eastAsia="Calibri"/>
          <w:sz w:val="20"/>
          <w:szCs w:val="20"/>
        </w:rPr>
        <w:t>respecto</w:t>
      </w:r>
      <w:r w:rsidRPr="00D13792">
        <w:rPr>
          <w:sz w:val="20"/>
          <w:szCs w:val="20"/>
        </w:rPr>
        <w:t>, la Comisión señaló como víctimas de desaparición forzada a 8 personas. Adicionalmente, los representantes identificaron como víctimas de desaparición forzada a 10 personas en su escrito de solicitudes y argumentos, a 68 personas durante la audiencia pública y a 42 personas en sus alegatos finales escritos. La Corte ha realizado una comparación de</w:t>
      </w:r>
      <w:r w:rsidRPr="00D13792">
        <w:rPr>
          <w:rFonts w:eastAsia="Calibri"/>
          <w:sz w:val="20"/>
          <w:szCs w:val="20"/>
        </w:rPr>
        <w:t xml:space="preserve"> todos los listados mencionados y como resultado advierte que hay nombres que se repiten en todos los listados, otros nombres solo aparecen en dos listados y algunos más fueron incorporados únicamente en un listado. Así, una vez realizado el cotejo de todos los nombres, es posible concluir que un total de 81 personas</w:t>
      </w:r>
      <w:r w:rsidRPr="00D13792">
        <w:rPr>
          <w:rStyle w:val="FootnoteReference"/>
          <w:rFonts w:eastAsia="Calibri"/>
          <w:sz w:val="20"/>
          <w:szCs w:val="20"/>
        </w:rPr>
        <w:footnoteReference w:id="155"/>
      </w:r>
      <w:r w:rsidRPr="00D13792">
        <w:rPr>
          <w:rFonts w:eastAsia="Calibri"/>
          <w:sz w:val="20"/>
          <w:szCs w:val="20"/>
        </w:rPr>
        <w:t xml:space="preserve"> han sido alegadas como víctimas de desaparición forzada por la Comisión y los representantes. A su vez, cabe señalar que los nombres de estas 81 personas constan en el Informe de Fondo como supuestas víctimas de desaparición forzada, de</w:t>
      </w:r>
      <w:r w:rsidRPr="00D13792">
        <w:rPr>
          <w:rFonts w:cs="Arial"/>
          <w:sz w:val="20"/>
          <w:szCs w:val="20"/>
        </w:rPr>
        <w:t xml:space="preserve"> ejecución extrajudicial y/o de otras alegadas violaciones a los derechos humanos</w:t>
      </w:r>
      <w:r w:rsidRPr="00D13792">
        <w:rPr>
          <w:sz w:val="20"/>
          <w:szCs w:val="20"/>
        </w:rPr>
        <w:t>.</w:t>
      </w:r>
      <w:r w:rsidRPr="00D13792">
        <w:rPr>
          <w:rFonts w:eastAsia="Calibri"/>
          <w:sz w:val="20"/>
          <w:szCs w:val="20"/>
        </w:rPr>
        <w:t xml:space="preserve"> </w:t>
      </w:r>
      <w:r w:rsidRPr="00D13792">
        <w:rPr>
          <w:sz w:val="20"/>
          <w:szCs w:val="20"/>
        </w:rPr>
        <w:t>Corresponde a este Tribunal determinar, dentro del ámbito de su jurisdicción y de conformidad con la Convención Americana y demás tratados interamericanos que le otorgan competencia, si las 81 personas señaladas fueron víctimas de desaparición forzada.</w:t>
      </w:r>
    </w:p>
    <w:p w:rsidR="006A0E1C" w:rsidRPr="00D13792" w:rsidRDefault="006A0E1C" w:rsidP="006A0E1C">
      <w:pPr>
        <w:pStyle w:val="Prrafodelista2"/>
        <w:tabs>
          <w:tab w:val="left" w:pos="720"/>
        </w:tabs>
        <w:ind w:left="0" w:right="-90"/>
        <w:jc w:val="both"/>
        <w:rPr>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bCs/>
          <w:sz w:val="20"/>
          <w:szCs w:val="20"/>
        </w:rPr>
        <w:t>Según</w:t>
      </w:r>
      <w:r w:rsidRPr="00D13792">
        <w:rPr>
          <w:sz w:val="20"/>
          <w:szCs w:val="20"/>
        </w:rPr>
        <w:t xml:space="preserve"> la definición contenida en la CIDFP y la jurisprudencia de este Tribunal, “una de las características de la desaparición forzada, a diferencia de la ejecución extrajudicial, es que conlleva la negativa del Estado de reconocer que la víctima está bajo su control y de proporcionar información al respecto, con el propósito de generar incertidumbre acerca de su paradero, vida o muerte, de provocar intimidación y supresión de derechos”</w:t>
      </w:r>
      <w:r w:rsidRPr="00D13792">
        <w:rPr>
          <w:sz w:val="20"/>
          <w:szCs w:val="20"/>
          <w:vertAlign w:val="superscript"/>
        </w:rPr>
        <w:footnoteReference w:id="156"/>
      </w:r>
      <w:r w:rsidRPr="00D13792">
        <w:rPr>
          <w:sz w:val="20"/>
          <w:szCs w:val="20"/>
        </w:rPr>
        <w:t xml:space="preserve">. </w:t>
      </w:r>
      <w:r w:rsidRPr="00D13792">
        <w:rPr>
          <w:spacing w:val="-2"/>
          <w:sz w:val="20"/>
          <w:szCs w:val="20"/>
        </w:rPr>
        <w:t xml:space="preserve">Este Tribunal ha reconocido que </w:t>
      </w:r>
      <w:r w:rsidRPr="00D13792">
        <w:rPr>
          <w:rFonts w:cs="Times"/>
          <w:spacing w:val="-2"/>
          <w:sz w:val="20"/>
          <w:szCs w:val="20"/>
        </w:rPr>
        <w:t>la desaparición forzada ha incluido con frecuencia la ejecución de los detenidos, en secreto y sin fórmula de juicio, seguida del ocultamiento del cadáver con el objeto de borrar toda huella material del crimen y procurar la impunidad de quienes lo cometieron</w:t>
      </w:r>
      <w:r w:rsidRPr="00D13792">
        <w:rPr>
          <w:spacing w:val="-2"/>
          <w:sz w:val="20"/>
          <w:szCs w:val="20"/>
          <w:vertAlign w:val="superscript"/>
        </w:rPr>
        <w:footnoteReference w:id="157"/>
      </w:r>
      <w:r w:rsidRPr="00D13792">
        <w:rPr>
          <w:rFonts w:cs="Times"/>
          <w:spacing w:val="-2"/>
          <w:sz w:val="20"/>
          <w:szCs w:val="20"/>
        </w:rPr>
        <w:t xml:space="preserve">. </w:t>
      </w:r>
      <w:r w:rsidRPr="00D13792">
        <w:rPr>
          <w:rFonts w:cs="Cambria"/>
          <w:sz w:val="20"/>
          <w:szCs w:val="20"/>
        </w:rPr>
        <w:t>En este sentido, la Corte ha conocido de casos en los cuales la existencia de mayores o menores indicios sobre la muerte de las víctimas no modificó la calificación como desaparición forzada</w:t>
      </w:r>
      <w:r w:rsidRPr="00D13792">
        <w:rPr>
          <w:rFonts w:cs="Cambria"/>
          <w:sz w:val="20"/>
          <w:szCs w:val="20"/>
          <w:vertAlign w:val="superscript"/>
        </w:rPr>
        <w:footnoteReference w:id="158"/>
      </w:r>
      <w:r w:rsidRPr="00D13792">
        <w:rPr>
          <w:bCs/>
          <w:sz w:val="20"/>
          <w:szCs w:val="20"/>
          <w:shd w:val="clear" w:color="auto" w:fill="FFFFFF"/>
        </w:rPr>
        <w:t>. F</w:t>
      </w:r>
      <w:r w:rsidRPr="00D13792">
        <w:rPr>
          <w:rFonts w:cs="Cambria"/>
          <w:sz w:val="20"/>
          <w:szCs w:val="20"/>
        </w:rPr>
        <w:t>ue precisamente lo que los agentes estatales hicieron después de dar muerte a las víctimas, esto es, la adopción de medidas dirigidas a ocultar lo que realmente había ocurrido o borrar todo rastro de los cuerpos para evitar su identificación o que su destino y paradero fuera establecido, lo que permitió a la Corte concluir la desaparición forzada de las víctimas</w:t>
      </w:r>
      <w:r w:rsidRPr="00D13792">
        <w:rPr>
          <w:rStyle w:val="FootnoteReference"/>
          <w:rFonts w:eastAsia="Calibri" w:cs="Cambria"/>
          <w:sz w:val="20"/>
          <w:szCs w:val="20"/>
        </w:rPr>
        <w:footnoteReference w:id="159"/>
      </w:r>
      <w:r w:rsidRPr="00D13792">
        <w:rPr>
          <w:rFonts w:cs="Cambria"/>
          <w:sz w:val="20"/>
          <w:szCs w:val="20"/>
        </w:rPr>
        <w:t xml:space="preserve">. </w:t>
      </w:r>
    </w:p>
    <w:p w:rsidR="006A0E1C" w:rsidRPr="00D13792" w:rsidRDefault="006A0E1C" w:rsidP="006A0E1C">
      <w:pPr>
        <w:spacing w:line="240" w:lineRule="auto"/>
        <w:rPr>
          <w:rFonts w:cs="Verdana"/>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rFonts w:cs="Verdana"/>
          <w:sz w:val="20"/>
          <w:szCs w:val="20"/>
        </w:rPr>
        <w:t xml:space="preserve">Es bajo este orden de ideas que, tal como ya fue señalado, los actos constitutivos de desaparición </w:t>
      </w:r>
      <w:r w:rsidRPr="00D13792">
        <w:rPr>
          <w:rFonts w:eastAsia="Calibri"/>
          <w:sz w:val="20"/>
          <w:szCs w:val="20"/>
        </w:rPr>
        <w:t>forzada</w:t>
      </w:r>
      <w:r w:rsidRPr="00D13792">
        <w:rPr>
          <w:rFonts w:cs="Verdana"/>
          <w:sz w:val="20"/>
          <w:szCs w:val="20"/>
        </w:rPr>
        <w:t xml:space="preserve"> tienen carácter </w:t>
      </w:r>
      <w:r w:rsidRPr="00D13792">
        <w:rPr>
          <w:sz w:val="20"/>
          <w:szCs w:val="20"/>
        </w:rPr>
        <w:t>permanente</w:t>
      </w:r>
      <w:r w:rsidRPr="00D13792">
        <w:rPr>
          <w:rFonts w:cs="Verdana"/>
          <w:sz w:val="20"/>
          <w:szCs w:val="20"/>
        </w:rPr>
        <w:t xml:space="preserve"> mientras no se </w:t>
      </w:r>
      <w:r w:rsidRPr="00D13792">
        <w:rPr>
          <w:rFonts w:cs="Helvetica"/>
          <w:sz w:val="20"/>
          <w:szCs w:val="20"/>
        </w:rPr>
        <w:t>conozca</w:t>
      </w:r>
      <w:r w:rsidRPr="00D13792">
        <w:rPr>
          <w:rFonts w:cs="Verdana"/>
          <w:sz w:val="20"/>
          <w:szCs w:val="20"/>
        </w:rPr>
        <w:t xml:space="preserve"> el paradero de la víctima o se hallen sus restos (</w:t>
      </w:r>
      <w:r w:rsidRPr="00D13792">
        <w:rPr>
          <w:rFonts w:cs="Verdana"/>
          <w:i/>
          <w:sz w:val="20"/>
          <w:szCs w:val="20"/>
        </w:rPr>
        <w:t>supra</w:t>
      </w:r>
      <w:r w:rsidRPr="00D13792">
        <w:rPr>
          <w:rFonts w:cs="Verdana"/>
          <w:sz w:val="20"/>
          <w:szCs w:val="20"/>
        </w:rPr>
        <w:t xml:space="preserve"> párr. 134). Sin embargo, particularmente en relación con este último aspecto, de manera </w:t>
      </w:r>
      <w:r w:rsidRPr="00D13792">
        <w:rPr>
          <w:sz w:val="20"/>
          <w:szCs w:val="20"/>
        </w:rPr>
        <w:t>reiterada</w:t>
      </w:r>
      <w:r w:rsidRPr="00D13792">
        <w:rPr>
          <w:rFonts w:cs="Verdana"/>
          <w:sz w:val="20"/>
          <w:szCs w:val="20"/>
        </w:rPr>
        <w:t xml:space="preserve"> el Tribunal ha indicado que</w:t>
      </w:r>
      <w:r w:rsidRPr="00D13792">
        <w:rPr>
          <w:sz w:val="20"/>
          <w:szCs w:val="20"/>
        </w:rPr>
        <w:t xml:space="preserve"> </w:t>
      </w:r>
      <w:r w:rsidRPr="00D13792">
        <w:rPr>
          <w:rFonts w:cs="Verdana"/>
          <w:sz w:val="20"/>
          <w:szCs w:val="20"/>
        </w:rPr>
        <w:t>no se trata meramente del acto de encontrar los restos de una determinada persona sino que ello, lógicamente, debe ir acompañado de la realización de las pruebas o análisis que permitan comprobar que, efectivamente, esos restos corresponden a esa persona</w:t>
      </w:r>
      <w:r w:rsidRPr="00D13792">
        <w:rPr>
          <w:sz w:val="20"/>
          <w:szCs w:val="20"/>
          <w:vertAlign w:val="superscript"/>
        </w:rPr>
        <w:footnoteReference w:id="160"/>
      </w:r>
      <w:r w:rsidRPr="00D13792">
        <w:rPr>
          <w:rFonts w:cs="Verdana"/>
          <w:sz w:val="20"/>
          <w:szCs w:val="20"/>
        </w:rPr>
        <w:t xml:space="preserve">. Mientras los restos no sean </w:t>
      </w:r>
      <w:r w:rsidRPr="00D13792">
        <w:rPr>
          <w:sz w:val="20"/>
          <w:szCs w:val="20"/>
        </w:rPr>
        <w:t>debidamente localizados e identificados</w:t>
      </w:r>
      <w:r w:rsidRPr="00D13792">
        <w:rPr>
          <w:rFonts w:cs="Verdana"/>
          <w:sz w:val="20"/>
          <w:szCs w:val="20"/>
        </w:rPr>
        <w:t>, la desaparición forzada sigue ejecutándose</w:t>
      </w:r>
      <w:r w:rsidRPr="00D13792">
        <w:rPr>
          <w:sz w:val="20"/>
          <w:szCs w:val="20"/>
          <w:vertAlign w:val="superscript"/>
        </w:rPr>
        <w:footnoteReference w:id="161"/>
      </w:r>
      <w:r w:rsidRPr="00D13792">
        <w:rPr>
          <w:rFonts w:cs="Verdana"/>
          <w:sz w:val="20"/>
          <w:szCs w:val="20"/>
        </w:rPr>
        <w:t>.</w:t>
      </w:r>
      <w:r w:rsidRPr="00D13792">
        <w:rPr>
          <w:sz w:val="20"/>
          <w:szCs w:val="20"/>
        </w:rPr>
        <w:t xml:space="preserve"> Al respecto, </w:t>
      </w:r>
      <w:r w:rsidRPr="00D13792">
        <w:rPr>
          <w:rFonts w:cs="Helvetica"/>
          <w:sz w:val="20"/>
          <w:szCs w:val="20"/>
        </w:rPr>
        <w:t xml:space="preserve">la Corte recuerda que </w:t>
      </w:r>
      <w:r w:rsidRPr="00D13792">
        <w:rPr>
          <w:sz w:val="20"/>
          <w:szCs w:val="20"/>
        </w:rPr>
        <w:t xml:space="preserve">la investigación y judicialización penal no es incompatible con la adopción de diferentes mecanismos adecuados y efectivos para localizar el paradero de las personas desaparecidas </w:t>
      </w:r>
      <w:r w:rsidRPr="00D13792">
        <w:rPr>
          <w:rFonts w:cs="Times"/>
          <w:sz w:val="20"/>
          <w:szCs w:val="20"/>
        </w:rPr>
        <w:t>o localizar sus restos de modo que se determine con certeza su identidad</w:t>
      </w:r>
      <w:r w:rsidRPr="00D13792">
        <w:rPr>
          <w:sz w:val="20"/>
          <w:szCs w:val="20"/>
        </w:rPr>
        <w:t xml:space="preserve">, por lo que ambas medidas </w:t>
      </w:r>
      <w:r w:rsidRPr="00D13792">
        <w:rPr>
          <w:rFonts w:cs="Arial"/>
          <w:sz w:val="20"/>
          <w:szCs w:val="20"/>
        </w:rPr>
        <w:t>pueden complementarse mutuamente</w:t>
      </w:r>
      <w:r w:rsidRPr="00D13792">
        <w:rPr>
          <w:rStyle w:val="FootnoteReference"/>
          <w:sz w:val="20"/>
          <w:szCs w:val="20"/>
        </w:rPr>
        <w:footnoteReference w:id="162"/>
      </w:r>
      <w:r w:rsidRPr="00D13792">
        <w:rPr>
          <w:sz w:val="20"/>
          <w:szCs w:val="20"/>
        </w:rPr>
        <w:t>.</w:t>
      </w:r>
    </w:p>
    <w:p w:rsidR="006A0E1C" w:rsidRPr="00D13792" w:rsidRDefault="006A0E1C" w:rsidP="006A0E1C">
      <w:pPr>
        <w:pStyle w:val="Prrafodelista2"/>
        <w:tabs>
          <w:tab w:val="left" w:pos="720"/>
        </w:tabs>
        <w:ind w:left="0" w:right="-90"/>
        <w:jc w:val="both"/>
        <w:rPr>
          <w:i/>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Ahora bien, </w:t>
      </w:r>
      <w:r w:rsidRPr="00D13792">
        <w:rPr>
          <w:rFonts w:eastAsia="Calibri"/>
          <w:sz w:val="20"/>
          <w:szCs w:val="20"/>
        </w:rPr>
        <w:t>la</w:t>
      </w:r>
      <w:r w:rsidRPr="00D13792">
        <w:rPr>
          <w:sz w:val="20"/>
          <w:szCs w:val="20"/>
        </w:rPr>
        <w:t xml:space="preserve"> Corte recuerda que en el </w:t>
      </w:r>
      <w:r w:rsidRPr="00D13792">
        <w:rPr>
          <w:rStyle w:val="Strong"/>
          <w:b w:val="0"/>
          <w:i/>
          <w:color w:val="000000"/>
          <w:sz w:val="20"/>
          <w:szCs w:val="20"/>
          <w:shd w:val="clear" w:color="auto" w:fill="FFFFFF"/>
        </w:rPr>
        <w:t>Caso Comunidad Campesina de Santa Bárbara Vs. Perú</w:t>
      </w:r>
      <w:r w:rsidRPr="00D13792">
        <w:rPr>
          <w:sz w:val="20"/>
          <w:szCs w:val="20"/>
        </w:rPr>
        <w:t xml:space="preserve"> concluyó la desaparición forzada de 15 personas que fueron privadas de libertad por agentes estatales y permanecieron bajo custodia estatal mientras se les trasladó e introdujo al interior de una mina donde fueron acribilladas con fusiles y casi de inmediato fueron inmolados sus cuerpos mediante la detonación de cargas de dinamita. En dicho caso quedó acreditada la existencia de indicios sobre actuaciones posteriores de las autoridades y agentes estatales que “tuvieron el propósito de eliminar las evidencias de lo sucedido y ocultar lo que realmente había ocurrido o borrar todo rastro de los cuerpos para evitar su identificación o que su destino y paradero fuera establecido”. Dichos indicios consistieron en: a) la negativa de las autoridades del Ejército de reconocer la detención de las víctimas durante los primeros días de ocurridos los hechos; b) el </w:t>
      </w:r>
      <w:r w:rsidRPr="00D13792">
        <w:rPr>
          <w:i/>
          <w:sz w:val="20"/>
          <w:szCs w:val="20"/>
        </w:rPr>
        <w:t>modus operandi</w:t>
      </w:r>
      <w:r w:rsidRPr="00D13792">
        <w:rPr>
          <w:sz w:val="20"/>
          <w:szCs w:val="20"/>
        </w:rPr>
        <w:t xml:space="preserve"> utilizado en la destrucción de evidencias durante los primeros días de ocurridos los hechos; c) la pérdida de la evidencia recolectada el 18 de julio de 1991; d) la inscripción de las partidas de defunción en los años 1991 y 1992 con edades fraudulentas, y e) que la investigación forense en la búsqueda, recuperación, análisis y eventual identificación de los restos humanos se caracterizó por una clara</w:t>
      </w:r>
      <w:r w:rsidRPr="00D13792">
        <w:rPr>
          <w:rFonts w:cs="Verdana"/>
          <w:szCs w:val="20"/>
        </w:rPr>
        <w:t xml:space="preserve"> </w:t>
      </w:r>
      <w:r w:rsidRPr="00D13792">
        <w:rPr>
          <w:rFonts w:cs="Arial"/>
          <w:sz w:val="20"/>
          <w:szCs w:val="20"/>
        </w:rPr>
        <w:t xml:space="preserve">falta de </w:t>
      </w:r>
      <w:r w:rsidRPr="00D13792">
        <w:rPr>
          <w:sz w:val="20"/>
          <w:szCs w:val="20"/>
        </w:rPr>
        <w:t>seriedad y debida diligencia, especialmente grave. En definitiva, los indicios sobre las actuaciones posteriores de agentes estatales que buscaron eliminar las evidencias de lo sucedido y ocultar lo que realmente ocurrió, fueron fundamentales en la conclusión del Tribunal</w:t>
      </w:r>
      <w:r w:rsidRPr="00D13792">
        <w:rPr>
          <w:rStyle w:val="FootnoteReference"/>
          <w:sz w:val="20"/>
          <w:szCs w:val="20"/>
        </w:rPr>
        <w:footnoteReference w:id="163"/>
      </w:r>
      <w:r w:rsidRPr="00D13792">
        <w:rPr>
          <w:sz w:val="20"/>
          <w:szCs w:val="20"/>
        </w:rPr>
        <w:t xml:space="preserve">. </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En el presente caso y teniendo en cuenta los argumentos de las partes y la Comisión, la Corte realizará el análisis de las actuaciones llevadas a cabo por las fuerzas de seguridad del Estado con </w:t>
      </w:r>
      <w:r w:rsidRPr="00D13792">
        <w:rPr>
          <w:rFonts w:eastAsia="Calibri"/>
          <w:sz w:val="20"/>
          <w:szCs w:val="20"/>
        </w:rPr>
        <w:t>posterioridad</w:t>
      </w:r>
      <w:r w:rsidRPr="00D13792">
        <w:rPr>
          <w:sz w:val="20"/>
          <w:szCs w:val="20"/>
        </w:rPr>
        <w:t xml:space="preserve"> a supuestamente dar muerte a las presuntas víctimas y, con base en ello, evaluará si procede calificar los hechos como desapariciones forzadas. Asimismo, este Tribunal se pronunciará sobre las consecuencias de no iniciar, continuar y/o concluir las investigaciones forenses relacionadas con la búsqueda, recuperación, análisis y eventual </w:t>
      </w:r>
      <w:r w:rsidRPr="00D13792">
        <w:rPr>
          <w:sz w:val="20"/>
          <w:szCs w:val="20"/>
        </w:rPr>
        <w:lastRenderedPageBreak/>
        <w:t>identificación de restos en el presente caso.</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rPr>
      </w:pPr>
      <w:r w:rsidRPr="00D13792">
        <w:rPr>
          <w:sz w:val="20"/>
          <w:szCs w:val="20"/>
        </w:rPr>
        <w:t>Primeramente, consta en los hechos que, de las 81 personas señaladas como víctimas de desapariciones forzadas, un total de 21 de estas personas</w:t>
      </w:r>
      <w:r w:rsidRPr="00D13792">
        <w:rPr>
          <w:rStyle w:val="FootnoteReference"/>
          <w:sz w:val="20"/>
          <w:szCs w:val="20"/>
        </w:rPr>
        <w:footnoteReference w:id="164"/>
      </w:r>
      <w:r w:rsidRPr="00D13792">
        <w:rPr>
          <w:sz w:val="20"/>
          <w:szCs w:val="20"/>
        </w:rPr>
        <w:t xml:space="preserve"> fueron privadas de la vida por fuerzas de seguridad del Estado y sus cuerpos abandonados a la intemperie entre </w:t>
      </w:r>
      <w:r w:rsidRPr="00D13792">
        <w:rPr>
          <w:rFonts w:cs="Arial"/>
          <w:sz w:val="20"/>
          <w:szCs w:val="20"/>
        </w:rPr>
        <w:t>agosto de 1981</w:t>
      </w:r>
      <w:r w:rsidRPr="00D13792">
        <w:rPr>
          <w:sz w:val="20"/>
          <w:szCs w:val="20"/>
        </w:rPr>
        <w:t xml:space="preserve"> y </w:t>
      </w:r>
      <w:r w:rsidRPr="00D13792">
        <w:rPr>
          <w:bCs/>
          <w:sz w:val="20"/>
          <w:szCs w:val="20"/>
        </w:rPr>
        <w:t>agosto de 1986</w:t>
      </w:r>
      <w:r w:rsidRPr="00D13792">
        <w:rPr>
          <w:sz w:val="20"/>
          <w:szCs w:val="20"/>
        </w:rPr>
        <w:t>. Los restos de dichas personas fueron encontrados por familiares y vecinos, quienes los enterraron en fosas clandestinas. Posteriormente, en los años 1993, 2002, 2003 y 2004 se realizaron trabajos forenses en los que se logró exhumar e identificar los restos óseos de al menos 18 de las personas mencionadas, los cuales eventualmente fueron entregados a sus familiares</w:t>
      </w:r>
      <w:r w:rsidRPr="00D13792">
        <w:rPr>
          <w:bCs/>
          <w:sz w:val="20"/>
          <w:szCs w:val="20"/>
        </w:rPr>
        <w:t xml:space="preserve"> (</w:t>
      </w:r>
      <w:r w:rsidRPr="00D13792">
        <w:rPr>
          <w:bCs/>
          <w:i/>
          <w:sz w:val="20"/>
          <w:szCs w:val="20"/>
        </w:rPr>
        <w:t>supra</w:t>
      </w:r>
      <w:r w:rsidRPr="00D13792">
        <w:rPr>
          <w:bCs/>
          <w:sz w:val="20"/>
          <w:szCs w:val="20"/>
        </w:rPr>
        <w:t xml:space="preserve"> párrs. 87, 105, 112, 113, 115, 117, 119 y 120)</w:t>
      </w:r>
      <w:r w:rsidRPr="00D13792">
        <w:rPr>
          <w:sz w:val="20"/>
          <w:szCs w:val="20"/>
        </w:rPr>
        <w:t xml:space="preserve">. </w:t>
      </w:r>
      <w:r w:rsidRPr="00D13792">
        <w:rPr>
          <w:rFonts w:cs="Cambria"/>
          <w:sz w:val="20"/>
          <w:szCs w:val="20"/>
        </w:rPr>
        <w:t xml:space="preserve">Es decir, a partir de su muerte </w:t>
      </w:r>
      <w:r w:rsidRPr="00D13792">
        <w:rPr>
          <w:sz w:val="20"/>
        </w:rPr>
        <w:t xml:space="preserve">y </w:t>
      </w:r>
      <w:r w:rsidRPr="00D13792">
        <w:rPr>
          <w:spacing w:val="-2"/>
          <w:sz w:val="20"/>
          <w:szCs w:val="20"/>
        </w:rPr>
        <w:t>en todo momento posterior, los familiares de estas 21 personas han tenido conocimiento claro d</w:t>
      </w:r>
      <w:r w:rsidRPr="00D13792">
        <w:rPr>
          <w:rFonts w:cs="Times"/>
          <w:sz w:val="20"/>
          <w:szCs w:val="20"/>
        </w:rPr>
        <w:t>e que las víctimas fueron ejecutadas, así como del lugar en que incluso ellos mismos enterraron sus restos</w:t>
      </w:r>
      <w:r w:rsidRPr="00D13792">
        <w:rPr>
          <w:spacing w:val="-2"/>
          <w:sz w:val="20"/>
          <w:szCs w:val="20"/>
        </w:rPr>
        <w:t xml:space="preserve">. En consecuencia, la Corte considera que </w:t>
      </w:r>
      <w:r w:rsidRPr="00D13792">
        <w:rPr>
          <w:sz w:val="20"/>
          <w:szCs w:val="20"/>
        </w:rPr>
        <w:t xml:space="preserve">no es procedente concluir que las mencionadas 21 personas fueron víctimas de desaparición forzada, en razón que del relato de los hechos no se desprenda que haya mediado intento alguno de </w:t>
      </w:r>
      <w:r w:rsidRPr="00D13792">
        <w:rPr>
          <w:rFonts w:cs="Cambria"/>
          <w:sz w:val="20"/>
          <w:szCs w:val="20"/>
        </w:rPr>
        <w:t>los agentes estatales de</w:t>
      </w:r>
      <w:r w:rsidRPr="00D13792">
        <w:rPr>
          <w:sz w:val="20"/>
          <w:szCs w:val="20"/>
        </w:rPr>
        <w:t xml:space="preserve"> ocultar su muerte y lo que realmente ocurrió, o borrar todo rastro de los cuerpos para evitar su identificación o que su destino y paradero fuera establecido, y tampoco eliminar las evidencias de lo sucedido. </w:t>
      </w:r>
    </w:p>
    <w:p w:rsidR="006A0E1C" w:rsidRPr="00D13792" w:rsidRDefault="006A0E1C" w:rsidP="006A0E1C">
      <w:pPr>
        <w:spacing w:line="240" w:lineRule="auto"/>
        <w:rPr>
          <w:sz w:val="20"/>
        </w:rPr>
      </w:pPr>
    </w:p>
    <w:p w:rsidR="006A0E1C" w:rsidRPr="00D13792" w:rsidRDefault="006A0E1C" w:rsidP="006A0E1C">
      <w:pPr>
        <w:numPr>
          <w:ilvl w:val="0"/>
          <w:numId w:val="6"/>
        </w:numPr>
        <w:tabs>
          <w:tab w:val="left" w:pos="567"/>
        </w:tabs>
        <w:spacing w:line="240" w:lineRule="auto"/>
        <w:ind w:right="4"/>
        <w:rPr>
          <w:sz w:val="20"/>
        </w:rPr>
      </w:pPr>
      <w:r w:rsidRPr="00D13792">
        <w:rPr>
          <w:sz w:val="20"/>
          <w:szCs w:val="20"/>
        </w:rPr>
        <w:t xml:space="preserve">En segundo </w:t>
      </w:r>
      <w:r w:rsidRPr="00D13792">
        <w:rPr>
          <w:rFonts w:eastAsia="Calibri"/>
          <w:sz w:val="20"/>
          <w:szCs w:val="20"/>
        </w:rPr>
        <w:t>lugar</w:t>
      </w:r>
      <w:r w:rsidRPr="00D13792">
        <w:rPr>
          <w:sz w:val="20"/>
          <w:szCs w:val="20"/>
        </w:rPr>
        <w:t>, consta que, de las 81 personas señaladas como presuntas víctimas de desapariciones forzadas, 34 personas</w:t>
      </w:r>
      <w:r w:rsidRPr="00D13792">
        <w:rPr>
          <w:rStyle w:val="FootnoteReference"/>
          <w:sz w:val="20"/>
          <w:szCs w:val="20"/>
        </w:rPr>
        <w:footnoteReference w:id="165"/>
      </w:r>
      <w:r w:rsidRPr="00D13792">
        <w:rPr>
          <w:sz w:val="20"/>
          <w:szCs w:val="20"/>
        </w:rPr>
        <w:t xml:space="preserve"> fueron privadas de la vida por miembros de las fuerzas de seguridad del Estado, quienes inmediatamente procedieron a realizar un enterramiento de los cuerpos que no se completó, por lo que los restos fueron encontrados parcialmente a la intemperie por sus familiares y vecinos, quienes procedieron a realizar un enterramiento más profundo de dichas personas en fosas clandestinas. En los años 1993, 2007, 2008, 2010, 2011 y 2012 se realizaron trabajos forenses en los que exhumaron restos óseos y se logró identificar a 7 de las personas mencionadas (</w:t>
      </w:r>
      <w:r w:rsidRPr="00D13792">
        <w:rPr>
          <w:i/>
          <w:sz w:val="20"/>
          <w:szCs w:val="20"/>
        </w:rPr>
        <w:t>supra</w:t>
      </w:r>
      <w:r w:rsidRPr="00D13792">
        <w:rPr>
          <w:sz w:val="20"/>
          <w:szCs w:val="20"/>
        </w:rPr>
        <w:t xml:space="preserve"> párrs. 91 y 107). En definitiva, si bien existió un primer intento de ocultar los cuerpos sin vida de estas 34 personas, el cual no fue completado, fueron vecinos y los propios familiares quienes posteriormente concluyeron el enterramiento de los cuerpos y estos han tenido</w:t>
      </w:r>
      <w:r w:rsidRPr="00D13792">
        <w:rPr>
          <w:sz w:val="20"/>
        </w:rPr>
        <w:t xml:space="preserve"> conocimiento </w:t>
      </w:r>
      <w:r w:rsidRPr="00D13792">
        <w:rPr>
          <w:sz w:val="20"/>
          <w:szCs w:val="20"/>
        </w:rPr>
        <w:t xml:space="preserve">desde ese entonces </w:t>
      </w:r>
      <w:r w:rsidRPr="00D13792">
        <w:rPr>
          <w:rFonts w:cs="Times"/>
          <w:sz w:val="20"/>
          <w:szCs w:val="20"/>
        </w:rPr>
        <w:t>del lugar en que se encuentran inhumados dichos restos</w:t>
      </w:r>
      <w:r w:rsidRPr="00D13792">
        <w:rPr>
          <w:sz w:val="20"/>
          <w:szCs w:val="20"/>
        </w:rPr>
        <w:t>. Por ende</w:t>
      </w:r>
      <w:r w:rsidRPr="00D13792">
        <w:rPr>
          <w:rFonts w:cs="Cambria"/>
          <w:sz w:val="20"/>
          <w:szCs w:val="20"/>
        </w:rPr>
        <w:t xml:space="preserve">, este Tribunal </w:t>
      </w:r>
      <w:r w:rsidRPr="00D13792">
        <w:rPr>
          <w:spacing w:val="-2"/>
          <w:sz w:val="20"/>
          <w:szCs w:val="20"/>
        </w:rPr>
        <w:t xml:space="preserve">considera que </w:t>
      </w:r>
      <w:r w:rsidRPr="00D13792">
        <w:rPr>
          <w:sz w:val="20"/>
          <w:szCs w:val="20"/>
        </w:rPr>
        <w:t>no es procedente concluir que estas 34 personas fueron víctimas de desaparición forzada.</w:t>
      </w:r>
    </w:p>
    <w:p w:rsidR="006A0E1C" w:rsidRPr="00D13792" w:rsidRDefault="006A0E1C" w:rsidP="006A0E1C">
      <w:pPr>
        <w:tabs>
          <w:tab w:val="left" w:pos="567"/>
        </w:tabs>
        <w:spacing w:line="240" w:lineRule="auto"/>
        <w:ind w:right="4"/>
        <w:rPr>
          <w:sz w:val="20"/>
        </w:rPr>
      </w:pPr>
    </w:p>
    <w:p w:rsidR="006A0E1C" w:rsidRPr="00D13792" w:rsidRDefault="006A0E1C" w:rsidP="006A0E1C">
      <w:pPr>
        <w:numPr>
          <w:ilvl w:val="0"/>
          <w:numId w:val="6"/>
        </w:numPr>
        <w:tabs>
          <w:tab w:val="left" w:pos="567"/>
        </w:tabs>
        <w:spacing w:line="240" w:lineRule="auto"/>
        <w:ind w:right="4"/>
        <w:rPr>
          <w:spacing w:val="-2"/>
          <w:sz w:val="20"/>
          <w:szCs w:val="20"/>
        </w:rPr>
      </w:pPr>
      <w:r w:rsidRPr="00D13792">
        <w:rPr>
          <w:sz w:val="20"/>
          <w:szCs w:val="20"/>
        </w:rPr>
        <w:t xml:space="preserve">En tercer lugar, consta que Antonio Chen Mendoza </w:t>
      </w:r>
      <w:r w:rsidRPr="00D13792">
        <w:rPr>
          <w:rFonts w:cs="Arial"/>
          <w:sz w:val="20"/>
          <w:szCs w:val="20"/>
        </w:rPr>
        <w:t>de 6 años de edad</w:t>
      </w:r>
      <w:r w:rsidRPr="00D13792">
        <w:rPr>
          <w:sz w:val="20"/>
          <w:szCs w:val="20"/>
        </w:rPr>
        <w:t xml:space="preserve"> también fue señalado como </w:t>
      </w:r>
      <w:r w:rsidRPr="00D13792">
        <w:rPr>
          <w:rFonts w:eastAsia="Calibri"/>
          <w:sz w:val="20"/>
          <w:szCs w:val="20"/>
        </w:rPr>
        <w:t>víctima</w:t>
      </w:r>
      <w:r w:rsidRPr="00D13792">
        <w:rPr>
          <w:sz w:val="20"/>
          <w:szCs w:val="20"/>
        </w:rPr>
        <w:t xml:space="preserve"> de desaparición forzada, sin embargo, ha sido determinado en los hechos del presente caso que este permaneció junto a su familia en las montañas, y que</w:t>
      </w:r>
      <w:r w:rsidRPr="00D13792">
        <w:rPr>
          <w:spacing w:val="-2"/>
          <w:sz w:val="20"/>
          <w:szCs w:val="20"/>
        </w:rPr>
        <w:t xml:space="preserve"> </w:t>
      </w:r>
      <w:r w:rsidRPr="00D13792">
        <w:rPr>
          <w:sz w:val="20"/>
          <w:szCs w:val="20"/>
        </w:rPr>
        <w:t xml:space="preserve">debido a la </w:t>
      </w:r>
      <w:r w:rsidRPr="00D13792">
        <w:rPr>
          <w:rFonts w:cs="Calibri"/>
          <w:sz w:val="20"/>
          <w:szCs w:val="20"/>
        </w:rPr>
        <w:t>exposición de los estragos del clima</w:t>
      </w:r>
      <w:r w:rsidRPr="00D13792">
        <w:rPr>
          <w:sz w:val="20"/>
          <w:szCs w:val="20"/>
        </w:rPr>
        <w:t xml:space="preserve"> enfermó y murió. Su cuerpo fue enterrado en la montaña por su propia familia (</w:t>
      </w:r>
      <w:r w:rsidRPr="00D13792">
        <w:rPr>
          <w:i/>
          <w:sz w:val="20"/>
          <w:szCs w:val="20"/>
        </w:rPr>
        <w:t>supra</w:t>
      </w:r>
      <w:r w:rsidRPr="00D13792">
        <w:rPr>
          <w:sz w:val="20"/>
          <w:szCs w:val="20"/>
        </w:rPr>
        <w:t xml:space="preserve"> párr. 114).</w:t>
      </w:r>
      <w:r w:rsidRPr="00D13792">
        <w:rPr>
          <w:spacing w:val="-2"/>
          <w:sz w:val="20"/>
          <w:szCs w:val="20"/>
        </w:rPr>
        <w:t xml:space="preserve"> </w:t>
      </w:r>
      <w:r w:rsidRPr="00D13792">
        <w:rPr>
          <w:sz w:val="20"/>
          <w:szCs w:val="20"/>
        </w:rPr>
        <w:t xml:space="preserve">Además, Juan Alvarado Grave fue señalado como víctima de desaparición forzada, no obstante, del relato de los hechos se desprende que fue ejecutado por un grupo de “judiciales” y su cuerpo se encontraría en el Hospital de Salamá, </w:t>
      </w:r>
      <w:r w:rsidRPr="00D13792">
        <w:rPr>
          <w:sz w:val="20"/>
          <w:szCs w:val="20"/>
        </w:rPr>
        <w:lastRenderedPageBreak/>
        <w:t xml:space="preserve">lugar al que su hermano Mateo Grave acompañado de dos personas se habrían dirigido a fin de localizar </w:t>
      </w:r>
      <w:r w:rsidRPr="00D13792">
        <w:rPr>
          <w:rFonts w:cs="Calibri"/>
          <w:sz w:val="20"/>
          <w:szCs w:val="20"/>
        </w:rPr>
        <w:t xml:space="preserve">y reconocer </w:t>
      </w:r>
      <w:r w:rsidRPr="00D13792">
        <w:rPr>
          <w:sz w:val="20"/>
          <w:szCs w:val="20"/>
        </w:rPr>
        <w:t>el cadáver (</w:t>
      </w:r>
      <w:r w:rsidRPr="00D13792">
        <w:rPr>
          <w:i/>
          <w:sz w:val="20"/>
          <w:szCs w:val="20"/>
        </w:rPr>
        <w:t>supra</w:t>
      </w:r>
      <w:r w:rsidRPr="00D13792">
        <w:rPr>
          <w:sz w:val="20"/>
          <w:szCs w:val="20"/>
        </w:rPr>
        <w:t xml:space="preserve"> párr. 85). A su vez, Mateo Grave y Pedro Depaz Ciprián fueron señalados como víctimas de desaparición forzada, sin embargo, ha sido determinado que fueron ejecutados por un grupo de “judiciales” y sus cuerpos fueron trasladados también al Hospital de Salamá. Respecto a Mateo Grave, consta incluso que su cadáver fue enterrado en el cementerio de San Salamá por órdenes del Juez de Paz de San Miguel Chicaj (</w:t>
      </w:r>
      <w:r w:rsidRPr="00D13792">
        <w:rPr>
          <w:i/>
          <w:sz w:val="20"/>
          <w:szCs w:val="20"/>
        </w:rPr>
        <w:t>supra</w:t>
      </w:r>
      <w:r w:rsidRPr="00D13792">
        <w:rPr>
          <w:sz w:val="20"/>
          <w:szCs w:val="20"/>
        </w:rPr>
        <w:t xml:space="preserve"> párrs. 85 y 86).</w:t>
      </w:r>
      <w:r w:rsidRPr="00D13792">
        <w:rPr>
          <w:sz w:val="20"/>
        </w:rPr>
        <w:t xml:space="preserve"> </w:t>
      </w:r>
      <w:r w:rsidRPr="00D13792">
        <w:rPr>
          <w:rFonts w:cs="Cambria"/>
          <w:sz w:val="20"/>
          <w:szCs w:val="20"/>
        </w:rPr>
        <w:t xml:space="preserve">Por ende y debido a que este Tribunal </w:t>
      </w:r>
      <w:r w:rsidRPr="00D13792">
        <w:rPr>
          <w:spacing w:val="-2"/>
          <w:sz w:val="20"/>
          <w:szCs w:val="20"/>
        </w:rPr>
        <w:t xml:space="preserve">no cuenta con </w:t>
      </w:r>
      <w:r w:rsidRPr="00D13792">
        <w:rPr>
          <w:sz w:val="20"/>
          <w:szCs w:val="20"/>
        </w:rPr>
        <w:t xml:space="preserve">mayor información ni elementos que le permitan llegar a una conclusión diferente, </w:t>
      </w:r>
      <w:r w:rsidRPr="00D13792">
        <w:rPr>
          <w:spacing w:val="-2"/>
          <w:sz w:val="20"/>
          <w:szCs w:val="20"/>
        </w:rPr>
        <w:t xml:space="preserve">considera que </w:t>
      </w:r>
      <w:r w:rsidRPr="00D13792">
        <w:rPr>
          <w:sz w:val="20"/>
          <w:szCs w:val="20"/>
        </w:rPr>
        <w:t>no es procedente concluir que las 4 personas mencionadas fueron víctimas de desaparición forzada.</w:t>
      </w:r>
    </w:p>
    <w:p w:rsidR="006A0E1C" w:rsidRPr="00D13792" w:rsidRDefault="006A0E1C" w:rsidP="006A0E1C">
      <w:pPr>
        <w:pStyle w:val="Prrafodelista2"/>
        <w:tabs>
          <w:tab w:val="left" w:pos="720"/>
        </w:tabs>
        <w:ind w:left="0" w:right="-90"/>
        <w:jc w:val="both"/>
        <w:rPr>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En suma, la Corte considera que no es procedente concluir la desaparición forzada de un total de 59 personas que fueron alegadas como víctimas de dicha violación (</w:t>
      </w:r>
      <w:r w:rsidRPr="00D13792">
        <w:rPr>
          <w:i/>
          <w:sz w:val="20"/>
          <w:szCs w:val="20"/>
        </w:rPr>
        <w:t>supra</w:t>
      </w:r>
      <w:r w:rsidRPr="00D13792">
        <w:rPr>
          <w:sz w:val="20"/>
          <w:szCs w:val="20"/>
        </w:rPr>
        <w:t xml:space="preserve"> párrs. 144 a 146). Sin perjuicio de lo anterior, la Corte observa que debido a la desidia investigativa del Estado y según la información aportada a este Tribunal que no fue desvirtuada, aún no ha sido posible exhumar y/o identificar en su totalidad los restos de 31 personas</w:t>
      </w:r>
      <w:r w:rsidRPr="00D13792">
        <w:rPr>
          <w:rStyle w:val="FootnoteReference"/>
          <w:sz w:val="20"/>
          <w:szCs w:val="20"/>
        </w:rPr>
        <w:footnoteReference w:id="166"/>
      </w:r>
      <w:r w:rsidRPr="00D13792">
        <w:rPr>
          <w:sz w:val="20"/>
          <w:szCs w:val="20"/>
        </w:rPr>
        <w:t xml:space="preserve"> que fueron enterradas por familiares y vecinos en cementerios clandestinos en la época del conflicto armado interno en Guatemala. En efecto, en algunos casos se desprende que aunque se conoce el lugar de enterramiento y/o se practicó la exhumación y recuperación de restos, se desconoce si se han completado los trabajos forenses de búsqueda, exhumación, recuperación, análisis y eventual identificación de restos. Dicha situación será tomada en cuenta por este Tribunal </w:t>
      </w:r>
      <w:r w:rsidRPr="00D13792">
        <w:rPr>
          <w:spacing w:val="-2"/>
          <w:sz w:val="20"/>
          <w:szCs w:val="20"/>
        </w:rPr>
        <w:t xml:space="preserve">en </w:t>
      </w:r>
      <w:r w:rsidRPr="00D13792">
        <w:rPr>
          <w:sz w:val="20"/>
          <w:szCs w:val="20"/>
        </w:rPr>
        <w:t>el eventual análisis sobre la alegada falta de debida diligencia e impunidad en el caso, así como en el momento de resolver sobre las eventuales reparaciones, en los Capítulos IX.III y X de esta Sentencia.</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Por otro lado, queda por determinar</w:t>
      </w:r>
      <w:r w:rsidRPr="00D13792">
        <w:rPr>
          <w:sz w:val="20"/>
        </w:rPr>
        <w:t xml:space="preserve"> lo </w:t>
      </w:r>
      <w:r w:rsidRPr="00D13792">
        <w:rPr>
          <w:sz w:val="20"/>
          <w:szCs w:val="20"/>
        </w:rPr>
        <w:t>ocurrido a 22 personas que también han sido señaladas como víctimas de desaparición forzada y respecto de las cuales se tiene establecido que:</w:t>
      </w:r>
    </w:p>
    <w:p w:rsidR="006A0E1C" w:rsidRPr="00D13792" w:rsidRDefault="006A0E1C" w:rsidP="006A0E1C">
      <w:pPr>
        <w:pStyle w:val="ListParagraph"/>
        <w:widowControl w:val="0"/>
        <w:numPr>
          <w:ilvl w:val="1"/>
          <w:numId w:val="19"/>
        </w:numPr>
        <w:autoSpaceDE w:val="0"/>
        <w:autoSpaceDN w:val="0"/>
        <w:adjustRightInd w:val="0"/>
        <w:spacing w:after="0" w:line="240" w:lineRule="auto"/>
        <w:ind w:left="720" w:firstLine="0"/>
        <w:contextualSpacing w:val="0"/>
        <w:jc w:val="both"/>
        <w:rPr>
          <w:rFonts w:ascii="Verdana" w:hAnsi="Verdana"/>
          <w:sz w:val="20"/>
          <w:szCs w:val="20"/>
          <w:lang w:val="es-CR" w:eastAsia="es-CR"/>
        </w:rPr>
      </w:pPr>
      <w:r w:rsidRPr="00D13792">
        <w:rPr>
          <w:rFonts w:ascii="Verdana" w:hAnsi="Verdana" w:cs="Arial"/>
          <w:sz w:val="20"/>
          <w:szCs w:val="20"/>
          <w:u w:val="single"/>
          <w:lang w:val="es-CR"/>
        </w:rPr>
        <w:t>Pedro Siana</w:t>
      </w:r>
      <w:r w:rsidRPr="00D13792">
        <w:rPr>
          <w:rFonts w:ascii="Verdana" w:hAnsi="Verdana" w:cs="Arial"/>
          <w:sz w:val="20"/>
          <w:szCs w:val="20"/>
          <w:lang w:val="es-CR"/>
        </w:rPr>
        <w:t xml:space="preserve"> </w:t>
      </w:r>
      <w:r w:rsidRPr="00D13792">
        <w:rPr>
          <w:rFonts w:ascii="Verdana" w:eastAsia="Calibri" w:hAnsi="Verdana"/>
          <w:sz w:val="20"/>
          <w:szCs w:val="20"/>
          <w:lang w:val="es-CR" w:eastAsia="en-US"/>
        </w:rPr>
        <w:t xml:space="preserve">fue detenido junto con dos personas en el camino de </w:t>
      </w:r>
      <w:r w:rsidRPr="00D13792">
        <w:rPr>
          <w:rFonts w:ascii="Verdana" w:hAnsi="Verdana"/>
          <w:sz w:val="20"/>
          <w:szCs w:val="20"/>
          <w:lang w:val="es-CR"/>
        </w:rPr>
        <w:t>Rabinal</w:t>
      </w:r>
      <w:r w:rsidRPr="00D13792">
        <w:rPr>
          <w:rFonts w:ascii="Verdana" w:eastAsia="Calibri" w:hAnsi="Verdana"/>
          <w:sz w:val="20"/>
          <w:szCs w:val="20"/>
          <w:lang w:val="es-CR" w:eastAsia="en-US"/>
        </w:rPr>
        <w:t xml:space="preserve"> </w:t>
      </w:r>
      <w:r w:rsidRPr="00D13792">
        <w:rPr>
          <w:rFonts w:ascii="Verdana" w:hAnsi="Verdana"/>
          <w:sz w:val="20"/>
          <w:szCs w:val="20"/>
          <w:lang w:val="es-CR"/>
        </w:rPr>
        <w:t xml:space="preserve">por un grupo de “judiciales” y se desconoce su paradero </w:t>
      </w:r>
      <w:r w:rsidRPr="00D13792">
        <w:rPr>
          <w:rFonts w:ascii="Verdana" w:hAnsi="Verdana" w:cs="Arial"/>
          <w:sz w:val="20"/>
          <w:szCs w:val="20"/>
          <w:lang w:val="es-CR"/>
        </w:rPr>
        <w:t xml:space="preserve">desde el 24 de agosto de 1981 </w:t>
      </w:r>
      <w:r w:rsidRPr="00D13792">
        <w:rPr>
          <w:rFonts w:ascii="Verdana" w:hAnsi="Verdana"/>
          <w:sz w:val="20"/>
          <w:szCs w:val="20"/>
          <w:lang w:val="es-CR"/>
        </w:rPr>
        <w:t>(</w:t>
      </w:r>
      <w:r w:rsidRPr="00D13792">
        <w:rPr>
          <w:rFonts w:ascii="Verdana" w:hAnsi="Verdana"/>
          <w:i/>
          <w:sz w:val="20"/>
          <w:szCs w:val="20"/>
          <w:lang w:val="es-CR"/>
        </w:rPr>
        <w:t>supra</w:t>
      </w:r>
      <w:r w:rsidRPr="00D13792">
        <w:rPr>
          <w:rFonts w:ascii="Verdana" w:hAnsi="Verdana"/>
          <w:sz w:val="20"/>
          <w:szCs w:val="20"/>
          <w:lang w:val="es-CR"/>
        </w:rPr>
        <w:t xml:space="preserve"> párrs. 85 y 86);</w:t>
      </w:r>
    </w:p>
    <w:p w:rsidR="006A0E1C" w:rsidRPr="00D13792" w:rsidRDefault="006A0E1C" w:rsidP="006A0E1C">
      <w:pPr>
        <w:pStyle w:val="ListParagraph"/>
        <w:widowControl w:val="0"/>
        <w:autoSpaceDE w:val="0"/>
        <w:autoSpaceDN w:val="0"/>
        <w:adjustRightInd w:val="0"/>
        <w:spacing w:after="0" w:line="240" w:lineRule="auto"/>
        <w:contextualSpacing w:val="0"/>
        <w:jc w:val="both"/>
        <w:rPr>
          <w:rFonts w:ascii="Verdana" w:hAnsi="Verdana"/>
          <w:sz w:val="12"/>
          <w:szCs w:val="20"/>
          <w:lang w:val="es-CR" w:eastAsia="es-CR"/>
        </w:rPr>
      </w:pPr>
    </w:p>
    <w:p w:rsidR="006A0E1C" w:rsidRPr="00D13792" w:rsidRDefault="006A0E1C" w:rsidP="006A0E1C">
      <w:pPr>
        <w:pStyle w:val="ListParagraph"/>
        <w:widowControl w:val="0"/>
        <w:numPr>
          <w:ilvl w:val="1"/>
          <w:numId w:val="19"/>
        </w:numPr>
        <w:autoSpaceDE w:val="0"/>
        <w:autoSpaceDN w:val="0"/>
        <w:adjustRightInd w:val="0"/>
        <w:spacing w:after="0" w:line="240" w:lineRule="auto"/>
        <w:ind w:left="720" w:firstLine="0"/>
        <w:contextualSpacing w:val="0"/>
        <w:jc w:val="both"/>
        <w:rPr>
          <w:rFonts w:ascii="Verdana" w:hAnsi="Verdana"/>
          <w:sz w:val="20"/>
          <w:szCs w:val="20"/>
          <w:lang w:val="es-CR"/>
        </w:rPr>
      </w:pPr>
      <w:r w:rsidRPr="00D13792">
        <w:rPr>
          <w:rFonts w:ascii="Verdana" w:eastAsia="Calibri" w:hAnsi="Verdana"/>
          <w:iCs/>
          <w:sz w:val="20"/>
          <w:szCs w:val="20"/>
          <w:u w:val="single"/>
          <w:lang w:val="es-CR" w:eastAsia="en-US"/>
        </w:rPr>
        <w:t>Juan Pérez Sic</w:t>
      </w:r>
      <w:r w:rsidRPr="00D13792">
        <w:rPr>
          <w:rFonts w:ascii="Verdana" w:hAnsi="Verdana" w:cs="Calibri"/>
          <w:sz w:val="20"/>
          <w:szCs w:val="20"/>
          <w:lang w:val="es-CR"/>
        </w:rPr>
        <w:t xml:space="preserve">, después de que salió a atender a </w:t>
      </w:r>
      <w:r w:rsidRPr="00D13792">
        <w:rPr>
          <w:rFonts w:ascii="Verdana" w:hAnsi="Verdana"/>
          <w:bCs/>
          <w:sz w:val="20"/>
          <w:szCs w:val="20"/>
          <w:lang w:val="es-CR"/>
        </w:rPr>
        <w:t xml:space="preserve">un grupo de “judiciales” que llegaron a su vivienda y la registraron, fue visto por última vez en ese lugar por su compañera </w:t>
      </w:r>
      <w:r w:rsidRPr="00D13792">
        <w:rPr>
          <w:rFonts w:ascii="Verdana" w:hAnsi="Verdana" w:cs="Calibri"/>
          <w:sz w:val="20"/>
          <w:szCs w:val="20"/>
          <w:lang w:val="es-CR"/>
        </w:rPr>
        <w:t xml:space="preserve">Manuela Toj Pérez el 15 de noviembre de 1981, y al día de hoy se desconoce su paradero </w:t>
      </w:r>
      <w:r w:rsidRPr="00D13792">
        <w:rPr>
          <w:rFonts w:ascii="Verdana" w:hAnsi="Verdana"/>
          <w:sz w:val="20"/>
          <w:szCs w:val="20"/>
          <w:lang w:val="es-CR"/>
        </w:rPr>
        <w:t>(</w:t>
      </w:r>
      <w:r w:rsidRPr="00D13792">
        <w:rPr>
          <w:rFonts w:ascii="Verdana" w:hAnsi="Verdana"/>
          <w:i/>
          <w:sz w:val="20"/>
          <w:szCs w:val="20"/>
          <w:lang w:val="es-CR"/>
        </w:rPr>
        <w:t>supra</w:t>
      </w:r>
      <w:r w:rsidRPr="00D13792">
        <w:rPr>
          <w:rFonts w:ascii="Verdana" w:hAnsi="Verdana"/>
          <w:sz w:val="20"/>
          <w:szCs w:val="20"/>
          <w:lang w:val="es-CR"/>
        </w:rPr>
        <w:t xml:space="preserve"> párr. 109);</w:t>
      </w:r>
    </w:p>
    <w:p w:rsidR="006A0E1C" w:rsidRPr="00D13792" w:rsidRDefault="006A0E1C" w:rsidP="006A0E1C">
      <w:pPr>
        <w:pStyle w:val="ListParagraph"/>
        <w:widowControl w:val="0"/>
        <w:autoSpaceDE w:val="0"/>
        <w:autoSpaceDN w:val="0"/>
        <w:adjustRightInd w:val="0"/>
        <w:spacing w:after="0" w:line="240" w:lineRule="auto"/>
        <w:ind w:left="0"/>
        <w:contextualSpacing w:val="0"/>
        <w:jc w:val="both"/>
        <w:rPr>
          <w:rFonts w:ascii="Verdana" w:hAnsi="Verdana"/>
          <w:sz w:val="12"/>
          <w:szCs w:val="20"/>
          <w:lang w:val="es-CR"/>
        </w:rPr>
      </w:pPr>
    </w:p>
    <w:p w:rsidR="006A0E1C" w:rsidRPr="00D13792" w:rsidRDefault="006A0E1C" w:rsidP="006A0E1C">
      <w:pPr>
        <w:pStyle w:val="ListParagraph"/>
        <w:widowControl w:val="0"/>
        <w:numPr>
          <w:ilvl w:val="1"/>
          <w:numId w:val="19"/>
        </w:numPr>
        <w:autoSpaceDE w:val="0"/>
        <w:autoSpaceDN w:val="0"/>
        <w:adjustRightInd w:val="0"/>
        <w:spacing w:after="0" w:line="240" w:lineRule="auto"/>
        <w:ind w:left="720" w:firstLine="0"/>
        <w:contextualSpacing w:val="0"/>
        <w:jc w:val="both"/>
        <w:rPr>
          <w:rFonts w:ascii="Verdana" w:hAnsi="Verdana"/>
          <w:sz w:val="20"/>
          <w:szCs w:val="20"/>
          <w:lang w:val="es-CR"/>
        </w:rPr>
      </w:pPr>
      <w:r w:rsidRPr="00D13792">
        <w:rPr>
          <w:rFonts w:ascii="Verdana" w:eastAsia="Calibri" w:hAnsi="Verdana"/>
          <w:sz w:val="20"/>
          <w:szCs w:val="20"/>
          <w:u w:val="single"/>
          <w:lang w:val="es-CR" w:eastAsia="en-US"/>
        </w:rPr>
        <w:t>Lorenzo Depaz Siprian</w:t>
      </w:r>
      <w:r w:rsidRPr="00D13792">
        <w:rPr>
          <w:rFonts w:ascii="Verdana" w:eastAsia="Calibri" w:hAnsi="Verdana"/>
          <w:sz w:val="20"/>
          <w:szCs w:val="20"/>
          <w:lang w:val="es-CR" w:eastAsia="en-US"/>
        </w:rPr>
        <w:t xml:space="preserve"> (o Lorenzo Depaz Ciprian o </w:t>
      </w:r>
      <w:r w:rsidRPr="00D13792">
        <w:rPr>
          <w:rFonts w:ascii="Verdana" w:hAnsi="Verdana"/>
          <w:sz w:val="20"/>
          <w:szCs w:val="20"/>
          <w:lang w:val="es-CR"/>
        </w:rPr>
        <w:t>Florencio Depaz Cipriano)</w:t>
      </w:r>
      <w:r w:rsidRPr="00D13792">
        <w:rPr>
          <w:rFonts w:ascii="Verdana" w:hAnsi="Verdana" w:cs="Arial"/>
          <w:sz w:val="20"/>
          <w:szCs w:val="20"/>
          <w:lang w:val="es-CR"/>
        </w:rPr>
        <w:t xml:space="preserve"> </w:t>
      </w:r>
      <w:r w:rsidRPr="00D13792">
        <w:rPr>
          <w:rFonts w:ascii="Verdana" w:eastAsia="Calibri" w:hAnsi="Verdana"/>
          <w:sz w:val="20"/>
          <w:szCs w:val="20"/>
          <w:lang w:val="es-CR" w:eastAsia="en-US"/>
        </w:rPr>
        <w:t xml:space="preserve">fue detenido en el camino de </w:t>
      </w:r>
      <w:r w:rsidRPr="00D13792">
        <w:rPr>
          <w:rFonts w:ascii="Verdana" w:hAnsi="Verdana"/>
          <w:sz w:val="20"/>
          <w:szCs w:val="20"/>
          <w:lang w:val="es-CR"/>
        </w:rPr>
        <w:t>Rabinal</w:t>
      </w:r>
      <w:r w:rsidRPr="00D13792">
        <w:rPr>
          <w:rFonts w:ascii="Verdana" w:eastAsia="Calibri" w:hAnsi="Verdana"/>
          <w:sz w:val="20"/>
          <w:szCs w:val="20"/>
          <w:lang w:val="es-CR" w:eastAsia="en-US"/>
        </w:rPr>
        <w:t xml:space="preserve"> </w:t>
      </w:r>
      <w:r w:rsidRPr="00D13792">
        <w:rPr>
          <w:rFonts w:ascii="Verdana" w:hAnsi="Verdana"/>
          <w:sz w:val="20"/>
          <w:szCs w:val="20"/>
          <w:lang w:val="es-CR"/>
        </w:rPr>
        <w:t xml:space="preserve">por miembros del Ejército Nacional y de las PAC, conducido a la cárcel localizada en el cabildo municipal, visto por última vez en ese lugar por su suegro, el señor Ciriaco Galiego López, y </w:t>
      </w:r>
      <w:r w:rsidRPr="00D13792">
        <w:rPr>
          <w:rFonts w:ascii="Verdana" w:hAnsi="Verdana" w:cs="Arial"/>
          <w:sz w:val="20"/>
          <w:szCs w:val="20"/>
          <w:lang w:val="es-CR"/>
        </w:rPr>
        <w:t>desde el 8 de enero de 1982</w:t>
      </w:r>
      <w:r w:rsidRPr="00D13792">
        <w:rPr>
          <w:rFonts w:ascii="Verdana" w:hAnsi="Verdana"/>
          <w:sz w:val="20"/>
          <w:szCs w:val="20"/>
          <w:lang w:val="es-CR"/>
        </w:rPr>
        <w:t xml:space="preserve"> se desconoce su paradero (</w:t>
      </w:r>
      <w:r w:rsidRPr="00D13792">
        <w:rPr>
          <w:rFonts w:ascii="Verdana" w:hAnsi="Verdana"/>
          <w:i/>
          <w:sz w:val="20"/>
          <w:szCs w:val="20"/>
          <w:lang w:val="es-CR"/>
        </w:rPr>
        <w:t>supra</w:t>
      </w:r>
      <w:r w:rsidRPr="00D13792">
        <w:rPr>
          <w:rFonts w:ascii="Verdana" w:hAnsi="Verdana"/>
          <w:sz w:val="20"/>
          <w:szCs w:val="20"/>
          <w:lang w:val="es-CR"/>
        </w:rPr>
        <w:t xml:space="preserve"> párr. 88);</w:t>
      </w:r>
    </w:p>
    <w:p w:rsidR="006A0E1C" w:rsidRPr="00D13792" w:rsidRDefault="006A0E1C" w:rsidP="006A0E1C">
      <w:pPr>
        <w:pStyle w:val="ListParagraph"/>
        <w:widowControl w:val="0"/>
        <w:autoSpaceDE w:val="0"/>
        <w:autoSpaceDN w:val="0"/>
        <w:adjustRightInd w:val="0"/>
        <w:spacing w:after="0" w:line="240" w:lineRule="auto"/>
        <w:ind w:left="0"/>
        <w:contextualSpacing w:val="0"/>
        <w:jc w:val="both"/>
        <w:rPr>
          <w:rFonts w:ascii="Verdana" w:hAnsi="Verdana"/>
          <w:sz w:val="12"/>
          <w:szCs w:val="20"/>
          <w:lang w:val="es-CR"/>
        </w:rPr>
      </w:pPr>
    </w:p>
    <w:p w:rsidR="006A0E1C" w:rsidRPr="00D13792" w:rsidRDefault="006A0E1C" w:rsidP="006A0E1C">
      <w:pPr>
        <w:pStyle w:val="ListParagraph"/>
        <w:widowControl w:val="0"/>
        <w:numPr>
          <w:ilvl w:val="1"/>
          <w:numId w:val="19"/>
        </w:numPr>
        <w:autoSpaceDE w:val="0"/>
        <w:autoSpaceDN w:val="0"/>
        <w:adjustRightInd w:val="0"/>
        <w:spacing w:after="0" w:line="240" w:lineRule="auto"/>
        <w:ind w:left="720" w:firstLine="0"/>
        <w:contextualSpacing w:val="0"/>
        <w:jc w:val="both"/>
        <w:rPr>
          <w:rFonts w:ascii="Verdana" w:hAnsi="Verdana"/>
          <w:sz w:val="20"/>
          <w:szCs w:val="20"/>
          <w:lang w:val="es-CR"/>
        </w:rPr>
      </w:pPr>
      <w:r w:rsidRPr="00D13792">
        <w:rPr>
          <w:rFonts w:ascii="Verdana" w:eastAsia="Calibri" w:hAnsi="Verdana"/>
          <w:sz w:val="20"/>
          <w:szCs w:val="20"/>
          <w:u w:val="single"/>
          <w:lang w:val="es-CR" w:eastAsia="en-US"/>
        </w:rPr>
        <w:t>Leonardo Cahuec Gonzales</w:t>
      </w:r>
      <w:r w:rsidRPr="00D13792">
        <w:rPr>
          <w:rFonts w:ascii="Verdana" w:hAnsi="Verdana"/>
          <w:sz w:val="20"/>
          <w:szCs w:val="20"/>
          <w:lang w:val="es-CR"/>
        </w:rPr>
        <w:t xml:space="preserve"> </w:t>
      </w:r>
      <w:r w:rsidRPr="00D13792">
        <w:rPr>
          <w:rFonts w:ascii="Verdana" w:eastAsia="Calibri" w:hAnsi="Verdana"/>
          <w:sz w:val="20"/>
          <w:szCs w:val="20"/>
          <w:lang w:val="es-CR" w:eastAsia="en-US"/>
        </w:rPr>
        <w:t xml:space="preserve">fue detenido en el camino de </w:t>
      </w:r>
      <w:r w:rsidRPr="00D13792">
        <w:rPr>
          <w:rFonts w:ascii="Verdana" w:hAnsi="Verdana"/>
          <w:sz w:val="20"/>
          <w:szCs w:val="20"/>
          <w:lang w:val="es-CR"/>
        </w:rPr>
        <w:t>Rabinal</w:t>
      </w:r>
      <w:r w:rsidRPr="00D13792">
        <w:rPr>
          <w:rFonts w:ascii="Verdana" w:eastAsia="Calibri" w:hAnsi="Verdana"/>
          <w:sz w:val="20"/>
          <w:szCs w:val="20"/>
          <w:lang w:val="es-CR" w:eastAsia="en-US"/>
        </w:rPr>
        <w:t xml:space="preserve"> </w:t>
      </w:r>
      <w:r w:rsidRPr="00D13792">
        <w:rPr>
          <w:rFonts w:ascii="Verdana" w:hAnsi="Verdana"/>
          <w:sz w:val="20"/>
          <w:szCs w:val="20"/>
          <w:lang w:val="es-CR"/>
        </w:rPr>
        <w:t xml:space="preserve">por “judiciales”, conducido a la cárcel </w:t>
      </w:r>
      <w:r w:rsidRPr="00D13792">
        <w:rPr>
          <w:rFonts w:ascii="Verdana" w:hAnsi="Verdana" w:cs="Arial"/>
          <w:sz w:val="20"/>
          <w:szCs w:val="20"/>
          <w:lang w:val="es-CR"/>
        </w:rPr>
        <w:t>del centro del municipio</w:t>
      </w:r>
      <w:r w:rsidRPr="00D13792">
        <w:rPr>
          <w:rFonts w:ascii="Verdana" w:hAnsi="Verdana"/>
          <w:sz w:val="20"/>
          <w:szCs w:val="20"/>
          <w:lang w:val="es-CR"/>
        </w:rPr>
        <w:t xml:space="preserve"> </w:t>
      </w:r>
      <w:r w:rsidRPr="00D13792">
        <w:rPr>
          <w:rFonts w:ascii="Verdana" w:hAnsi="Verdana" w:cs="Arial"/>
          <w:sz w:val="20"/>
          <w:szCs w:val="20"/>
          <w:lang w:val="es-CR"/>
        </w:rPr>
        <w:t xml:space="preserve">de Rabinal, visto por última vez en ese lugar por su esposa </w:t>
      </w:r>
      <w:r w:rsidRPr="00D13792">
        <w:rPr>
          <w:rFonts w:ascii="Verdana" w:hAnsi="Verdana"/>
          <w:sz w:val="20"/>
          <w:szCs w:val="20"/>
          <w:lang w:val="es-CR"/>
        </w:rPr>
        <w:t xml:space="preserve">Albertina Sic Cuxúm, y </w:t>
      </w:r>
      <w:r w:rsidRPr="00D13792">
        <w:rPr>
          <w:rFonts w:ascii="Verdana" w:eastAsia="Calibri" w:hAnsi="Verdana"/>
          <w:sz w:val="20"/>
          <w:szCs w:val="20"/>
          <w:lang w:val="es-CR" w:eastAsia="en-US"/>
        </w:rPr>
        <w:t xml:space="preserve">desde </w:t>
      </w:r>
      <w:r w:rsidRPr="00D13792">
        <w:rPr>
          <w:rFonts w:ascii="Verdana" w:hAnsi="Verdana"/>
          <w:sz w:val="20"/>
          <w:szCs w:val="20"/>
          <w:lang w:val="es-CR"/>
        </w:rPr>
        <w:t>el 18 de enero de 1982 se desconoce su paradero (</w:t>
      </w:r>
      <w:r w:rsidRPr="00D13792">
        <w:rPr>
          <w:rFonts w:ascii="Verdana" w:hAnsi="Verdana"/>
          <w:i/>
          <w:sz w:val="20"/>
          <w:szCs w:val="20"/>
          <w:lang w:val="es-CR"/>
        </w:rPr>
        <w:t>supra</w:t>
      </w:r>
      <w:r w:rsidRPr="00D13792">
        <w:rPr>
          <w:rFonts w:ascii="Verdana" w:hAnsi="Verdana"/>
          <w:sz w:val="20"/>
          <w:szCs w:val="20"/>
          <w:lang w:val="es-CR"/>
        </w:rPr>
        <w:t xml:space="preserve"> párr. 101);</w:t>
      </w:r>
    </w:p>
    <w:p w:rsidR="006A0E1C" w:rsidRPr="00D13792" w:rsidRDefault="006A0E1C" w:rsidP="006A0E1C">
      <w:pPr>
        <w:pStyle w:val="ListParagraph"/>
        <w:widowControl w:val="0"/>
        <w:autoSpaceDE w:val="0"/>
        <w:autoSpaceDN w:val="0"/>
        <w:adjustRightInd w:val="0"/>
        <w:spacing w:after="0" w:line="240" w:lineRule="auto"/>
        <w:ind w:left="0"/>
        <w:contextualSpacing w:val="0"/>
        <w:jc w:val="both"/>
        <w:rPr>
          <w:rFonts w:ascii="Verdana" w:hAnsi="Verdana"/>
          <w:sz w:val="12"/>
          <w:szCs w:val="20"/>
          <w:lang w:val="es-CR"/>
        </w:rPr>
      </w:pPr>
    </w:p>
    <w:p w:rsidR="006A0E1C" w:rsidRPr="00D13792" w:rsidRDefault="006A0E1C" w:rsidP="006A0E1C">
      <w:pPr>
        <w:pStyle w:val="ListParagraph"/>
        <w:widowControl w:val="0"/>
        <w:numPr>
          <w:ilvl w:val="1"/>
          <w:numId w:val="19"/>
        </w:numPr>
        <w:autoSpaceDE w:val="0"/>
        <w:autoSpaceDN w:val="0"/>
        <w:adjustRightInd w:val="0"/>
        <w:spacing w:after="0" w:line="240" w:lineRule="auto"/>
        <w:ind w:left="720" w:firstLine="0"/>
        <w:contextualSpacing w:val="0"/>
        <w:jc w:val="both"/>
        <w:rPr>
          <w:rFonts w:ascii="Verdana" w:hAnsi="Verdana"/>
          <w:sz w:val="20"/>
          <w:szCs w:val="20"/>
          <w:lang w:val="es-CR"/>
        </w:rPr>
      </w:pPr>
      <w:r w:rsidRPr="00D13792">
        <w:rPr>
          <w:rFonts w:ascii="Verdana" w:eastAsia="Calibri" w:hAnsi="Verdana"/>
          <w:sz w:val="20"/>
          <w:szCs w:val="20"/>
          <w:u w:val="single"/>
          <w:lang w:val="es-CR" w:eastAsia="en-US"/>
        </w:rPr>
        <w:t>Juan Mendoza Alvarado</w:t>
      </w:r>
      <w:r w:rsidRPr="00D13792">
        <w:rPr>
          <w:rFonts w:ascii="Verdana" w:eastAsia="Calibri" w:hAnsi="Verdana"/>
          <w:sz w:val="20"/>
          <w:szCs w:val="20"/>
          <w:lang w:val="es-CR" w:eastAsia="en-US"/>
        </w:rPr>
        <w:t xml:space="preserve"> y su padre </w:t>
      </w:r>
      <w:r w:rsidRPr="00D13792">
        <w:rPr>
          <w:rFonts w:ascii="Verdana" w:eastAsia="Calibri" w:hAnsi="Verdana"/>
          <w:sz w:val="20"/>
          <w:szCs w:val="20"/>
          <w:u w:val="single"/>
          <w:lang w:val="es-CR" w:eastAsia="en-US"/>
        </w:rPr>
        <w:t>José Cruz Mendoza Sucup</w:t>
      </w:r>
      <w:r w:rsidRPr="00D13792">
        <w:rPr>
          <w:rFonts w:ascii="Verdana" w:eastAsia="Calibri" w:hAnsi="Verdana"/>
          <w:sz w:val="20"/>
          <w:szCs w:val="20"/>
          <w:lang w:val="es-CR" w:eastAsia="en-US"/>
        </w:rPr>
        <w:t xml:space="preserve"> </w:t>
      </w:r>
      <w:r w:rsidRPr="00D13792">
        <w:rPr>
          <w:rFonts w:ascii="Verdana" w:hAnsi="Verdana"/>
          <w:bCs/>
          <w:sz w:val="20"/>
          <w:szCs w:val="20"/>
          <w:lang w:val="es-CR"/>
        </w:rPr>
        <w:t xml:space="preserve">fueron extraídos de su </w:t>
      </w:r>
      <w:r w:rsidRPr="00D13792">
        <w:rPr>
          <w:rFonts w:ascii="Verdana" w:hAnsi="Verdana"/>
          <w:bCs/>
          <w:sz w:val="20"/>
          <w:szCs w:val="20"/>
          <w:lang w:val="es-CR"/>
        </w:rPr>
        <w:lastRenderedPageBreak/>
        <w:t xml:space="preserve">vivienda por </w:t>
      </w:r>
      <w:r w:rsidRPr="00D13792">
        <w:rPr>
          <w:rFonts w:ascii="Verdana" w:hAnsi="Verdana"/>
          <w:sz w:val="20"/>
          <w:szCs w:val="20"/>
          <w:lang w:val="es-CR"/>
        </w:rPr>
        <w:t>miembros del Ejército Nacional y de las PAC, quienes los golpearon, se los llevaron</w:t>
      </w:r>
      <w:r w:rsidRPr="00D13792">
        <w:rPr>
          <w:rFonts w:ascii="Verdana" w:hAnsi="Verdana"/>
          <w:bCs/>
          <w:sz w:val="20"/>
          <w:szCs w:val="20"/>
          <w:lang w:val="es-CR"/>
        </w:rPr>
        <w:t xml:space="preserve"> y </w:t>
      </w:r>
      <w:r w:rsidRPr="00D13792">
        <w:rPr>
          <w:rFonts w:ascii="Verdana" w:eastAsia="Calibri" w:hAnsi="Verdana"/>
          <w:sz w:val="20"/>
          <w:szCs w:val="20"/>
          <w:lang w:val="es-CR" w:eastAsia="en-US"/>
        </w:rPr>
        <w:t xml:space="preserve">desde el </w:t>
      </w:r>
      <w:r w:rsidRPr="00D13792">
        <w:rPr>
          <w:rFonts w:ascii="Verdana" w:hAnsi="Verdana"/>
          <w:bCs/>
          <w:sz w:val="20"/>
          <w:szCs w:val="20"/>
          <w:lang w:val="es-CR"/>
        </w:rPr>
        <w:t xml:space="preserve">31 de enero de 1982 </w:t>
      </w:r>
      <w:r w:rsidRPr="00D13792">
        <w:rPr>
          <w:rFonts w:ascii="Verdana" w:hAnsi="Verdana"/>
          <w:sz w:val="20"/>
          <w:szCs w:val="20"/>
          <w:lang w:val="es-CR"/>
        </w:rPr>
        <w:t>se desconoce el paradero de ambos (</w:t>
      </w:r>
      <w:r w:rsidRPr="00D13792">
        <w:rPr>
          <w:rFonts w:ascii="Verdana" w:hAnsi="Verdana"/>
          <w:i/>
          <w:sz w:val="20"/>
          <w:szCs w:val="20"/>
          <w:lang w:val="es-CR"/>
        </w:rPr>
        <w:t>supra</w:t>
      </w:r>
      <w:r w:rsidRPr="00D13792">
        <w:rPr>
          <w:rFonts w:ascii="Verdana" w:hAnsi="Verdana"/>
          <w:sz w:val="20"/>
          <w:szCs w:val="20"/>
          <w:lang w:val="es-CR"/>
        </w:rPr>
        <w:t xml:space="preserve"> párr. 103);</w:t>
      </w:r>
    </w:p>
    <w:p w:rsidR="006A0E1C" w:rsidRPr="00D13792" w:rsidRDefault="006A0E1C" w:rsidP="006A0E1C">
      <w:pPr>
        <w:pStyle w:val="ListParagraph"/>
        <w:widowControl w:val="0"/>
        <w:autoSpaceDE w:val="0"/>
        <w:autoSpaceDN w:val="0"/>
        <w:adjustRightInd w:val="0"/>
        <w:spacing w:after="0" w:line="240" w:lineRule="auto"/>
        <w:ind w:left="0"/>
        <w:contextualSpacing w:val="0"/>
        <w:jc w:val="both"/>
        <w:rPr>
          <w:rFonts w:ascii="Verdana" w:hAnsi="Verdana"/>
          <w:sz w:val="12"/>
          <w:szCs w:val="20"/>
          <w:lang w:val="es-CR"/>
        </w:rPr>
      </w:pPr>
    </w:p>
    <w:p w:rsidR="006A0E1C" w:rsidRPr="00D13792" w:rsidRDefault="006A0E1C" w:rsidP="006A0E1C">
      <w:pPr>
        <w:pStyle w:val="ListParagraph"/>
        <w:widowControl w:val="0"/>
        <w:numPr>
          <w:ilvl w:val="1"/>
          <w:numId w:val="19"/>
        </w:numPr>
        <w:autoSpaceDE w:val="0"/>
        <w:autoSpaceDN w:val="0"/>
        <w:adjustRightInd w:val="0"/>
        <w:spacing w:after="0" w:line="240" w:lineRule="auto"/>
        <w:ind w:left="720" w:firstLine="0"/>
        <w:contextualSpacing w:val="0"/>
        <w:jc w:val="both"/>
        <w:rPr>
          <w:rFonts w:ascii="Verdana" w:hAnsi="Verdana"/>
          <w:sz w:val="20"/>
          <w:szCs w:val="20"/>
          <w:lang w:val="es-CR"/>
        </w:rPr>
      </w:pPr>
      <w:r w:rsidRPr="00D13792">
        <w:rPr>
          <w:rFonts w:ascii="Verdana" w:eastAsia="Calibri" w:hAnsi="Verdana"/>
          <w:sz w:val="20"/>
          <w:szCs w:val="20"/>
          <w:u w:val="single"/>
          <w:lang w:val="es-CR" w:eastAsia="en-US"/>
        </w:rPr>
        <w:t>María Concepción Chen Sic</w:t>
      </w:r>
      <w:r w:rsidRPr="00D13792">
        <w:rPr>
          <w:rFonts w:ascii="Verdana" w:eastAsia="Calibri" w:hAnsi="Verdana"/>
          <w:sz w:val="20"/>
          <w:szCs w:val="20"/>
          <w:lang w:val="es-CR" w:eastAsia="en-US"/>
        </w:rPr>
        <w:t xml:space="preserve"> </w:t>
      </w:r>
      <w:r w:rsidRPr="00D13792">
        <w:rPr>
          <w:rFonts w:ascii="Verdana" w:hAnsi="Verdana"/>
          <w:bCs/>
          <w:sz w:val="20"/>
          <w:szCs w:val="20"/>
          <w:lang w:val="es-CR"/>
        </w:rPr>
        <w:t>fue extraída de su vivienda y detenida por</w:t>
      </w:r>
      <w:r w:rsidRPr="00D13792">
        <w:rPr>
          <w:rFonts w:ascii="Verdana" w:hAnsi="Verdana"/>
          <w:sz w:val="20"/>
          <w:szCs w:val="20"/>
          <w:lang w:val="es-CR"/>
        </w:rPr>
        <w:t xml:space="preserve"> miembros del Ejército Nacional y de las PAC, así como </w:t>
      </w:r>
      <w:r w:rsidRPr="00D13792">
        <w:rPr>
          <w:rFonts w:ascii="Verdana" w:eastAsia="Calibri" w:hAnsi="Verdana"/>
          <w:sz w:val="20"/>
          <w:szCs w:val="20"/>
          <w:u w:val="single"/>
          <w:lang w:val="es-CR" w:eastAsia="en-US"/>
        </w:rPr>
        <w:t>Casimiro Siana</w:t>
      </w:r>
      <w:r w:rsidRPr="00D13792">
        <w:rPr>
          <w:rFonts w:ascii="Verdana" w:hAnsi="Verdana"/>
          <w:bCs/>
          <w:sz w:val="20"/>
          <w:szCs w:val="20"/>
          <w:lang w:val="es-CR"/>
        </w:rPr>
        <w:t xml:space="preserve"> fue detenido </w:t>
      </w:r>
      <w:r w:rsidRPr="00D13792">
        <w:rPr>
          <w:rFonts w:ascii="Verdana" w:hAnsi="Verdana"/>
          <w:sz w:val="20"/>
          <w:szCs w:val="20"/>
          <w:lang w:val="es-CR"/>
        </w:rPr>
        <w:t>cerca de su vivienda</w:t>
      </w:r>
      <w:r w:rsidRPr="00D13792">
        <w:rPr>
          <w:rFonts w:ascii="Verdana" w:hAnsi="Verdana"/>
          <w:bCs/>
          <w:sz w:val="20"/>
          <w:szCs w:val="20"/>
          <w:lang w:val="es-CR"/>
        </w:rPr>
        <w:t xml:space="preserve"> por</w:t>
      </w:r>
      <w:r w:rsidRPr="00D13792">
        <w:rPr>
          <w:rFonts w:ascii="Verdana" w:hAnsi="Verdana"/>
          <w:sz w:val="20"/>
          <w:szCs w:val="20"/>
          <w:lang w:val="es-CR"/>
        </w:rPr>
        <w:t xml:space="preserve"> miembros del Ejército Nacional y de las PAC. Ambos fueron vistos por última vez con vida en compañía de agentes de las fuerzas de seguridad del Estado, quienes los separaron del grupo de mujeres que también llevaban detenidas y se los llevaron por otra dirección, y</w:t>
      </w:r>
      <w:r w:rsidRPr="00D13792">
        <w:rPr>
          <w:rFonts w:ascii="Verdana" w:eastAsia="Calibri" w:hAnsi="Verdana"/>
          <w:sz w:val="20"/>
          <w:szCs w:val="20"/>
          <w:lang w:val="es-CR" w:eastAsia="en-US"/>
        </w:rPr>
        <w:t xml:space="preserve"> desde el </w:t>
      </w:r>
      <w:r w:rsidRPr="00D13792">
        <w:rPr>
          <w:rFonts w:ascii="Verdana" w:hAnsi="Verdana"/>
          <w:bCs/>
          <w:sz w:val="20"/>
          <w:szCs w:val="20"/>
          <w:lang w:val="es-CR"/>
        </w:rPr>
        <w:t>12 de febrero de 1982</w:t>
      </w:r>
      <w:r w:rsidRPr="00D13792">
        <w:rPr>
          <w:rFonts w:ascii="Verdana" w:hAnsi="Verdana"/>
          <w:sz w:val="20"/>
          <w:szCs w:val="20"/>
          <w:lang w:val="es-CR"/>
        </w:rPr>
        <w:t xml:space="preserve"> se desconoce su paradero (</w:t>
      </w:r>
      <w:r w:rsidRPr="00D13792">
        <w:rPr>
          <w:rFonts w:ascii="Verdana" w:hAnsi="Verdana"/>
          <w:i/>
          <w:sz w:val="20"/>
          <w:szCs w:val="20"/>
          <w:lang w:val="es-CR"/>
        </w:rPr>
        <w:t>supra</w:t>
      </w:r>
      <w:r w:rsidRPr="00D13792">
        <w:rPr>
          <w:rFonts w:ascii="Verdana" w:hAnsi="Verdana"/>
          <w:sz w:val="20"/>
          <w:szCs w:val="20"/>
          <w:lang w:val="es-CR"/>
        </w:rPr>
        <w:t xml:space="preserve"> párr. 104);</w:t>
      </w:r>
    </w:p>
    <w:p w:rsidR="006A0E1C" w:rsidRPr="00D13792" w:rsidRDefault="006A0E1C" w:rsidP="006A0E1C">
      <w:pPr>
        <w:pStyle w:val="ListParagraph"/>
        <w:widowControl w:val="0"/>
        <w:autoSpaceDE w:val="0"/>
        <w:autoSpaceDN w:val="0"/>
        <w:adjustRightInd w:val="0"/>
        <w:spacing w:after="0" w:line="240" w:lineRule="auto"/>
        <w:ind w:left="0"/>
        <w:contextualSpacing w:val="0"/>
        <w:jc w:val="both"/>
        <w:rPr>
          <w:rFonts w:ascii="Verdana" w:hAnsi="Verdana"/>
          <w:sz w:val="12"/>
          <w:szCs w:val="20"/>
          <w:lang w:val="es-CR"/>
        </w:rPr>
      </w:pPr>
    </w:p>
    <w:p w:rsidR="006A0E1C" w:rsidRPr="00D13792" w:rsidRDefault="006A0E1C" w:rsidP="006A0E1C">
      <w:pPr>
        <w:pStyle w:val="ListParagraph"/>
        <w:widowControl w:val="0"/>
        <w:numPr>
          <w:ilvl w:val="1"/>
          <w:numId w:val="19"/>
        </w:numPr>
        <w:autoSpaceDE w:val="0"/>
        <w:autoSpaceDN w:val="0"/>
        <w:adjustRightInd w:val="0"/>
        <w:spacing w:after="0" w:line="240" w:lineRule="auto"/>
        <w:ind w:left="720" w:firstLine="0"/>
        <w:contextualSpacing w:val="0"/>
        <w:jc w:val="both"/>
        <w:rPr>
          <w:rFonts w:ascii="Verdana" w:hAnsi="Verdana"/>
          <w:sz w:val="20"/>
          <w:szCs w:val="20"/>
          <w:lang w:val="es-CR"/>
        </w:rPr>
      </w:pPr>
      <w:r w:rsidRPr="00D13792">
        <w:rPr>
          <w:rFonts w:ascii="Verdana" w:eastAsia="Calibri" w:hAnsi="Verdana"/>
          <w:iCs/>
          <w:sz w:val="20"/>
          <w:szCs w:val="20"/>
          <w:u w:val="single"/>
          <w:lang w:val="es-CR" w:eastAsia="en-US"/>
        </w:rPr>
        <w:t>Cruz Pérez Ampérez</w:t>
      </w:r>
      <w:r w:rsidRPr="00D13792">
        <w:rPr>
          <w:rFonts w:ascii="Verdana" w:eastAsia="Calibri" w:hAnsi="Verdana"/>
          <w:iCs/>
          <w:sz w:val="20"/>
          <w:szCs w:val="20"/>
          <w:lang w:val="es-CR" w:eastAsia="en-US"/>
        </w:rPr>
        <w:t xml:space="preserve">, </w:t>
      </w:r>
      <w:r w:rsidRPr="00D13792">
        <w:rPr>
          <w:rFonts w:ascii="Verdana" w:eastAsia="Calibri" w:hAnsi="Verdana"/>
          <w:iCs/>
          <w:sz w:val="20"/>
          <w:szCs w:val="20"/>
          <w:u w:val="single"/>
          <w:lang w:val="es-CR" w:eastAsia="en-US"/>
        </w:rPr>
        <w:t>Gorgonio Gonzalez Gonzalez</w:t>
      </w:r>
      <w:r w:rsidRPr="00D13792">
        <w:rPr>
          <w:rFonts w:ascii="Verdana" w:eastAsia="Calibri" w:hAnsi="Verdana"/>
          <w:iCs/>
          <w:sz w:val="20"/>
          <w:szCs w:val="20"/>
          <w:lang w:val="es-CR" w:eastAsia="en-US"/>
        </w:rPr>
        <w:t xml:space="preserve">, </w:t>
      </w:r>
      <w:r w:rsidRPr="00D13792">
        <w:rPr>
          <w:rFonts w:ascii="Verdana" w:eastAsia="Calibri" w:hAnsi="Verdana"/>
          <w:iCs/>
          <w:sz w:val="20"/>
          <w:szCs w:val="20"/>
          <w:u w:val="single"/>
          <w:lang w:val="es-CR" w:eastAsia="en-US"/>
        </w:rPr>
        <w:t>Jorge Galeano Román</w:t>
      </w:r>
      <w:r w:rsidRPr="00D13792">
        <w:rPr>
          <w:rFonts w:ascii="Verdana" w:eastAsia="Calibri" w:hAnsi="Verdana"/>
          <w:iCs/>
          <w:sz w:val="20"/>
          <w:szCs w:val="20"/>
          <w:lang w:val="es-CR" w:eastAsia="en-US"/>
        </w:rPr>
        <w:t xml:space="preserve">, </w:t>
      </w:r>
      <w:r w:rsidRPr="00D13792">
        <w:rPr>
          <w:rFonts w:ascii="Verdana" w:hAnsi="Verdana"/>
          <w:sz w:val="20"/>
          <w:szCs w:val="20"/>
          <w:u w:val="single"/>
          <w:lang w:val="es-CR"/>
        </w:rPr>
        <w:t>Eustaquio lxtecoc Gonzalez (</w:t>
      </w:r>
      <w:r w:rsidRPr="00D13792">
        <w:rPr>
          <w:rFonts w:ascii="Verdana" w:hAnsi="Verdana" w:cs="Calibri"/>
          <w:sz w:val="20"/>
          <w:szCs w:val="20"/>
          <w:u w:val="single"/>
          <w:lang w:val="es-CR"/>
        </w:rPr>
        <w:t>o Eustaquio Yxtecoc Gonzalez)</w:t>
      </w:r>
      <w:r w:rsidRPr="00D13792">
        <w:rPr>
          <w:rFonts w:ascii="Verdana" w:hAnsi="Verdana" w:cs="Calibri"/>
          <w:sz w:val="20"/>
          <w:szCs w:val="20"/>
          <w:lang w:val="es-CR"/>
        </w:rPr>
        <w:t>,</w:t>
      </w:r>
      <w:r w:rsidRPr="00D13792">
        <w:rPr>
          <w:rFonts w:ascii="Verdana" w:eastAsia="Calibri" w:hAnsi="Verdana"/>
          <w:iCs/>
          <w:sz w:val="20"/>
          <w:szCs w:val="20"/>
          <w:lang w:val="es-CR" w:eastAsia="en-US"/>
        </w:rPr>
        <w:t xml:space="preserve"> </w:t>
      </w:r>
      <w:r w:rsidRPr="00D13792">
        <w:rPr>
          <w:rFonts w:ascii="Verdana" w:eastAsia="Calibri" w:hAnsi="Verdana"/>
          <w:iCs/>
          <w:sz w:val="20"/>
          <w:szCs w:val="20"/>
          <w:u w:val="single"/>
          <w:lang w:val="es-CR" w:eastAsia="en-US"/>
        </w:rPr>
        <w:t>Rafael Depaz Tecú</w:t>
      </w:r>
      <w:r w:rsidRPr="00D13792">
        <w:rPr>
          <w:rFonts w:ascii="Verdana" w:eastAsia="Calibri" w:hAnsi="Verdana"/>
          <w:iCs/>
          <w:sz w:val="20"/>
          <w:szCs w:val="20"/>
          <w:lang w:val="es-CR" w:eastAsia="en-US"/>
        </w:rPr>
        <w:t xml:space="preserve">, </w:t>
      </w:r>
      <w:r w:rsidRPr="00D13792">
        <w:rPr>
          <w:rFonts w:ascii="Verdana" w:eastAsia="Calibri" w:hAnsi="Verdana"/>
          <w:iCs/>
          <w:sz w:val="20"/>
          <w:szCs w:val="20"/>
          <w:u w:val="single"/>
          <w:lang w:val="es-CR" w:eastAsia="en-US"/>
        </w:rPr>
        <w:t>Enrique Mendoza Sis</w:t>
      </w:r>
      <w:r w:rsidRPr="00D13792">
        <w:rPr>
          <w:rFonts w:ascii="Verdana" w:eastAsia="Calibri" w:hAnsi="Verdana"/>
          <w:iCs/>
          <w:sz w:val="20"/>
          <w:szCs w:val="20"/>
          <w:lang w:val="es-CR" w:eastAsia="en-US"/>
        </w:rPr>
        <w:t xml:space="preserve">, </w:t>
      </w:r>
      <w:r w:rsidRPr="00D13792">
        <w:rPr>
          <w:rFonts w:ascii="Verdana" w:hAnsi="Verdana"/>
          <w:sz w:val="20"/>
          <w:szCs w:val="20"/>
          <w:u w:val="single"/>
          <w:lang w:val="es-CR"/>
        </w:rPr>
        <w:t>Gabino Román Yvoy (o Iboy o Ivoy)</w:t>
      </w:r>
      <w:r w:rsidRPr="00D13792">
        <w:rPr>
          <w:rFonts w:ascii="Verdana" w:hAnsi="Verdana"/>
          <w:sz w:val="20"/>
          <w:szCs w:val="20"/>
          <w:lang w:val="es-CR"/>
        </w:rPr>
        <w:t xml:space="preserve"> y </w:t>
      </w:r>
      <w:r w:rsidRPr="00D13792">
        <w:rPr>
          <w:rFonts w:ascii="Verdana" w:eastAsia="Calibri" w:hAnsi="Verdana"/>
          <w:iCs/>
          <w:sz w:val="20"/>
          <w:szCs w:val="20"/>
          <w:u w:val="single"/>
          <w:lang w:val="es-CR" w:eastAsia="en-US"/>
        </w:rPr>
        <w:t xml:space="preserve">Dionicio o </w:t>
      </w:r>
      <w:r w:rsidRPr="00D13792">
        <w:rPr>
          <w:rFonts w:ascii="Verdana" w:hAnsi="Verdana"/>
          <w:sz w:val="20"/>
          <w:szCs w:val="20"/>
          <w:u w:val="single"/>
          <w:lang w:val="es-CR"/>
        </w:rPr>
        <w:t>Dionisio</w:t>
      </w:r>
      <w:r w:rsidRPr="00D13792">
        <w:rPr>
          <w:rFonts w:ascii="Verdana" w:eastAsia="Calibri" w:hAnsi="Verdana"/>
          <w:iCs/>
          <w:sz w:val="20"/>
          <w:szCs w:val="20"/>
          <w:u w:val="single"/>
          <w:lang w:val="es-CR" w:eastAsia="en-US"/>
        </w:rPr>
        <w:t xml:space="preserve"> Vachan o Bachán</w:t>
      </w:r>
      <w:r w:rsidRPr="00D13792">
        <w:rPr>
          <w:rFonts w:ascii="Verdana" w:eastAsia="Calibri" w:hAnsi="Verdana"/>
          <w:iCs/>
          <w:sz w:val="20"/>
          <w:szCs w:val="20"/>
          <w:lang w:val="es-CR" w:eastAsia="en-US"/>
        </w:rPr>
        <w:t>,</w:t>
      </w:r>
      <w:r w:rsidRPr="00D13792">
        <w:rPr>
          <w:rFonts w:ascii="Verdana" w:hAnsi="Verdana"/>
          <w:sz w:val="20"/>
          <w:szCs w:val="20"/>
          <w:lang w:val="es-CR"/>
        </w:rPr>
        <w:t xml:space="preserve"> el </w:t>
      </w:r>
      <w:r w:rsidRPr="00D13792">
        <w:rPr>
          <w:rFonts w:ascii="Verdana" w:hAnsi="Verdana"/>
          <w:bCs/>
          <w:sz w:val="20"/>
          <w:szCs w:val="20"/>
          <w:lang w:val="es-CR"/>
        </w:rPr>
        <w:t>26 de noviembre de 1982 fueron extraídos de sus viviendas, detenidos por</w:t>
      </w:r>
      <w:r w:rsidRPr="00D13792">
        <w:rPr>
          <w:rFonts w:ascii="Verdana" w:hAnsi="Verdana"/>
          <w:sz w:val="20"/>
          <w:szCs w:val="20"/>
          <w:lang w:val="es-CR"/>
        </w:rPr>
        <w:t xml:space="preserve"> miembros del Ejército Nacional y de las PAC y obligados a caminar con las manos atadas hasta el cementerio de San Francisco en la aldea Xeabaj, lugar en el que fueron </w:t>
      </w:r>
      <w:r w:rsidRPr="00D13792">
        <w:rPr>
          <w:rFonts w:ascii="Verdana" w:hAnsi="Verdana" w:cs="Arial"/>
          <w:sz w:val="20"/>
          <w:szCs w:val="20"/>
          <w:lang w:val="es-CR"/>
        </w:rPr>
        <w:t xml:space="preserve">vistos por última vez con vida por el señor </w:t>
      </w:r>
      <w:r w:rsidRPr="00D13792">
        <w:rPr>
          <w:rFonts w:ascii="Verdana" w:hAnsi="Verdana"/>
          <w:sz w:val="20"/>
          <w:szCs w:val="20"/>
          <w:lang w:val="es-CR"/>
        </w:rPr>
        <w:t>Napoleón García De Paz. A la fecha se desconoce su paradero y a pesar de los trabajos forenses realizados, no se ha logrado localizar sus restos (</w:t>
      </w:r>
      <w:r w:rsidRPr="00D13792">
        <w:rPr>
          <w:rFonts w:ascii="Verdana" w:hAnsi="Verdana"/>
          <w:i/>
          <w:sz w:val="20"/>
          <w:szCs w:val="20"/>
          <w:lang w:val="es-CR"/>
        </w:rPr>
        <w:t>supra</w:t>
      </w:r>
      <w:r w:rsidRPr="00D13792">
        <w:rPr>
          <w:rFonts w:ascii="Verdana" w:hAnsi="Verdana"/>
          <w:sz w:val="20"/>
          <w:szCs w:val="20"/>
          <w:lang w:val="es-CR"/>
        </w:rPr>
        <w:t xml:space="preserve"> párr. 110 y 111);</w:t>
      </w:r>
    </w:p>
    <w:p w:rsidR="006A0E1C" w:rsidRPr="00D13792" w:rsidRDefault="006A0E1C" w:rsidP="006A0E1C">
      <w:pPr>
        <w:pStyle w:val="ListParagraph"/>
        <w:widowControl w:val="0"/>
        <w:autoSpaceDE w:val="0"/>
        <w:autoSpaceDN w:val="0"/>
        <w:adjustRightInd w:val="0"/>
        <w:spacing w:after="0" w:line="240" w:lineRule="auto"/>
        <w:contextualSpacing w:val="0"/>
        <w:jc w:val="center"/>
        <w:rPr>
          <w:rFonts w:ascii="Verdana" w:hAnsi="Verdana"/>
          <w:sz w:val="12"/>
          <w:szCs w:val="20"/>
          <w:lang w:val="es-CR"/>
        </w:rPr>
      </w:pPr>
    </w:p>
    <w:p w:rsidR="006A0E1C" w:rsidRPr="00D13792" w:rsidRDefault="006A0E1C" w:rsidP="006A0E1C">
      <w:pPr>
        <w:pStyle w:val="ListParagraph"/>
        <w:widowControl w:val="0"/>
        <w:numPr>
          <w:ilvl w:val="1"/>
          <w:numId w:val="19"/>
        </w:numPr>
        <w:autoSpaceDE w:val="0"/>
        <w:autoSpaceDN w:val="0"/>
        <w:adjustRightInd w:val="0"/>
        <w:spacing w:after="0" w:line="240" w:lineRule="auto"/>
        <w:ind w:left="720" w:firstLine="0"/>
        <w:contextualSpacing w:val="0"/>
        <w:jc w:val="both"/>
        <w:rPr>
          <w:rFonts w:ascii="Verdana" w:hAnsi="Verdana"/>
          <w:sz w:val="20"/>
          <w:szCs w:val="20"/>
          <w:lang w:val="es-CR"/>
        </w:rPr>
      </w:pPr>
      <w:r w:rsidRPr="00D13792">
        <w:rPr>
          <w:rFonts w:ascii="Verdana" w:eastAsia="Calibri" w:hAnsi="Verdana"/>
          <w:sz w:val="20"/>
          <w:szCs w:val="20"/>
          <w:u w:val="single"/>
          <w:lang w:val="es-CR" w:eastAsia="en-US"/>
        </w:rPr>
        <w:t>Marcelo Sic Chen,</w:t>
      </w:r>
      <w:r w:rsidRPr="00D13792">
        <w:rPr>
          <w:rFonts w:ascii="Verdana" w:eastAsia="Calibri" w:hAnsi="Verdana"/>
          <w:sz w:val="20"/>
          <w:szCs w:val="20"/>
          <w:lang w:val="es-CR" w:eastAsia="en-US"/>
        </w:rPr>
        <w:t xml:space="preserve"> respecto de quien, estando bajo </w:t>
      </w:r>
      <w:r w:rsidRPr="00D13792">
        <w:rPr>
          <w:rFonts w:ascii="Verdana" w:hAnsi="Verdana"/>
          <w:iCs/>
          <w:sz w:val="20"/>
          <w:szCs w:val="20"/>
          <w:lang w:val="es-CR"/>
        </w:rPr>
        <w:t>control militar</w:t>
      </w:r>
      <w:r w:rsidRPr="00D13792">
        <w:rPr>
          <w:rFonts w:ascii="Verdana" w:eastAsia="Calibri" w:hAnsi="Verdana"/>
          <w:sz w:val="20"/>
          <w:szCs w:val="20"/>
          <w:lang w:val="es-CR" w:eastAsia="en-US"/>
        </w:rPr>
        <w:t xml:space="preserve"> en </w:t>
      </w:r>
      <w:r w:rsidRPr="00D13792">
        <w:rPr>
          <w:rFonts w:ascii="Verdana" w:hAnsi="Verdana"/>
          <w:sz w:val="20"/>
          <w:szCs w:val="20"/>
          <w:lang w:val="es-CR"/>
        </w:rPr>
        <w:t>la colonia Chichupac, se desconoce su paradero desde diciembre de 1984 (</w:t>
      </w:r>
      <w:r w:rsidRPr="00D13792">
        <w:rPr>
          <w:rFonts w:ascii="Verdana" w:hAnsi="Verdana"/>
          <w:i/>
          <w:sz w:val="20"/>
          <w:szCs w:val="20"/>
          <w:lang w:val="es-CR"/>
        </w:rPr>
        <w:t>supra</w:t>
      </w:r>
      <w:r w:rsidRPr="00D13792">
        <w:rPr>
          <w:rFonts w:ascii="Verdana" w:hAnsi="Verdana"/>
          <w:sz w:val="20"/>
          <w:szCs w:val="20"/>
          <w:lang w:val="es-CR"/>
        </w:rPr>
        <w:t xml:space="preserve"> párr. 118).</w:t>
      </w:r>
    </w:p>
    <w:p w:rsidR="006A0E1C" w:rsidRPr="00D13792" w:rsidRDefault="006A0E1C" w:rsidP="006A0E1C">
      <w:pPr>
        <w:pStyle w:val="ListParagraph"/>
        <w:widowControl w:val="0"/>
        <w:autoSpaceDE w:val="0"/>
        <w:autoSpaceDN w:val="0"/>
        <w:adjustRightInd w:val="0"/>
        <w:spacing w:after="0" w:line="240" w:lineRule="auto"/>
        <w:contextualSpacing w:val="0"/>
        <w:jc w:val="both"/>
        <w:rPr>
          <w:rFonts w:ascii="Verdana" w:hAnsi="Verdana"/>
          <w:sz w:val="12"/>
          <w:szCs w:val="20"/>
          <w:lang w:val="es-CR"/>
        </w:rPr>
      </w:pPr>
    </w:p>
    <w:p w:rsidR="006A0E1C" w:rsidRPr="00D13792" w:rsidRDefault="006A0E1C" w:rsidP="006A0E1C">
      <w:pPr>
        <w:pStyle w:val="ListParagraph"/>
        <w:widowControl w:val="0"/>
        <w:numPr>
          <w:ilvl w:val="1"/>
          <w:numId w:val="19"/>
        </w:numPr>
        <w:autoSpaceDE w:val="0"/>
        <w:autoSpaceDN w:val="0"/>
        <w:adjustRightInd w:val="0"/>
        <w:spacing w:after="0" w:line="240" w:lineRule="auto"/>
        <w:ind w:left="720" w:firstLine="0"/>
        <w:contextualSpacing w:val="0"/>
        <w:jc w:val="both"/>
        <w:rPr>
          <w:rFonts w:ascii="Verdana" w:hAnsi="Verdana"/>
          <w:sz w:val="20"/>
          <w:szCs w:val="20"/>
          <w:lang w:val="es-CR"/>
        </w:rPr>
      </w:pPr>
      <w:r w:rsidRPr="00D13792">
        <w:rPr>
          <w:rFonts w:ascii="Verdana" w:hAnsi="Verdana"/>
          <w:sz w:val="20"/>
          <w:szCs w:val="20"/>
          <w:u w:val="single"/>
          <w:lang w:val="es-CR"/>
        </w:rPr>
        <w:t>Adrián García Manuel</w:t>
      </w:r>
      <w:r w:rsidRPr="00D13792">
        <w:rPr>
          <w:rFonts w:ascii="Verdana" w:hAnsi="Verdana"/>
          <w:sz w:val="20"/>
          <w:szCs w:val="20"/>
          <w:lang w:val="es-CR"/>
        </w:rPr>
        <w:t xml:space="preserve">, su hijo </w:t>
      </w:r>
      <w:r w:rsidRPr="00D13792">
        <w:rPr>
          <w:rFonts w:ascii="Verdana" w:hAnsi="Verdana"/>
          <w:sz w:val="20"/>
          <w:szCs w:val="20"/>
          <w:u w:val="single"/>
          <w:lang w:val="es-CR"/>
        </w:rPr>
        <w:t>Hugo García Depaz</w:t>
      </w:r>
      <w:r w:rsidRPr="00D13792">
        <w:rPr>
          <w:rFonts w:ascii="Verdana" w:hAnsi="Verdana"/>
          <w:sz w:val="20"/>
          <w:szCs w:val="20"/>
          <w:lang w:val="es-CR"/>
        </w:rPr>
        <w:t xml:space="preserve"> y su sobrino </w:t>
      </w:r>
      <w:r w:rsidRPr="00D13792">
        <w:rPr>
          <w:rFonts w:ascii="Verdana" w:hAnsi="Verdana"/>
          <w:sz w:val="20"/>
          <w:szCs w:val="20"/>
          <w:u w:val="single"/>
          <w:lang w:val="es-CR"/>
        </w:rPr>
        <w:t xml:space="preserve">Abraham Alvarado Tecú (o </w:t>
      </w:r>
      <w:r w:rsidRPr="00D13792">
        <w:rPr>
          <w:rFonts w:ascii="Verdana" w:hAnsi="Verdana" w:cs="Calibri"/>
          <w:sz w:val="20"/>
          <w:szCs w:val="20"/>
          <w:u w:val="single"/>
          <w:lang w:val="es-CR"/>
        </w:rPr>
        <w:t>Agapito Alvarado Depáz)</w:t>
      </w:r>
      <w:r w:rsidRPr="00D13792">
        <w:rPr>
          <w:rFonts w:ascii="Verdana" w:hAnsi="Verdana"/>
          <w:sz w:val="20"/>
          <w:szCs w:val="20"/>
          <w:lang w:val="es-CR"/>
        </w:rPr>
        <w:t xml:space="preserve"> fueron detenidos por miembros del Ejército Nacional, trasladados a la escuela de la aldea Chirrum y posteriormente al estancamiento militar en la aldea Guachipelín. A sus familiares se les notificó que serían liberados, sin embargo, se desconoce su paradero </w:t>
      </w:r>
      <w:r w:rsidRPr="00D13792">
        <w:rPr>
          <w:rFonts w:ascii="Verdana" w:hAnsi="Verdana" w:cs="Arial"/>
          <w:sz w:val="20"/>
          <w:szCs w:val="20"/>
          <w:lang w:val="es-CR"/>
        </w:rPr>
        <w:t xml:space="preserve">desde el </w:t>
      </w:r>
      <w:r w:rsidRPr="00D13792">
        <w:rPr>
          <w:rFonts w:ascii="Verdana" w:hAnsi="Verdana"/>
          <w:sz w:val="20"/>
          <w:szCs w:val="20"/>
          <w:lang w:val="es-CR"/>
        </w:rPr>
        <w:t>18 de enero de 1982 (</w:t>
      </w:r>
      <w:r w:rsidRPr="00D13792">
        <w:rPr>
          <w:rFonts w:ascii="Verdana" w:hAnsi="Verdana"/>
          <w:i/>
          <w:sz w:val="20"/>
          <w:szCs w:val="20"/>
          <w:lang w:val="es-CR"/>
        </w:rPr>
        <w:t>supra</w:t>
      </w:r>
      <w:r w:rsidRPr="00D13792">
        <w:rPr>
          <w:rFonts w:ascii="Verdana" w:hAnsi="Verdana"/>
          <w:sz w:val="20"/>
          <w:szCs w:val="20"/>
          <w:lang w:val="es-CR"/>
        </w:rPr>
        <w:t xml:space="preserve"> párrs. 99 y 100), y</w:t>
      </w:r>
    </w:p>
    <w:p w:rsidR="006A0E1C" w:rsidRPr="00D13792" w:rsidRDefault="006A0E1C" w:rsidP="006A0E1C">
      <w:pPr>
        <w:pStyle w:val="ListParagraph"/>
        <w:widowControl w:val="0"/>
        <w:autoSpaceDE w:val="0"/>
        <w:autoSpaceDN w:val="0"/>
        <w:adjustRightInd w:val="0"/>
        <w:spacing w:after="0" w:line="240" w:lineRule="auto"/>
        <w:ind w:left="0"/>
        <w:contextualSpacing w:val="0"/>
        <w:jc w:val="both"/>
        <w:rPr>
          <w:rFonts w:ascii="Verdana" w:hAnsi="Verdana"/>
          <w:sz w:val="12"/>
          <w:szCs w:val="20"/>
          <w:lang w:val="es-CR"/>
        </w:rPr>
      </w:pPr>
    </w:p>
    <w:p w:rsidR="006A0E1C" w:rsidRPr="00D13792" w:rsidRDefault="006A0E1C" w:rsidP="006A0E1C">
      <w:pPr>
        <w:pStyle w:val="ListParagraph"/>
        <w:widowControl w:val="0"/>
        <w:numPr>
          <w:ilvl w:val="1"/>
          <w:numId w:val="19"/>
        </w:numPr>
        <w:autoSpaceDE w:val="0"/>
        <w:autoSpaceDN w:val="0"/>
        <w:adjustRightInd w:val="0"/>
        <w:spacing w:after="0" w:line="240" w:lineRule="auto"/>
        <w:ind w:left="720" w:firstLine="0"/>
        <w:contextualSpacing w:val="0"/>
        <w:jc w:val="both"/>
        <w:rPr>
          <w:rFonts w:ascii="Verdana" w:hAnsi="Verdana"/>
          <w:sz w:val="20"/>
          <w:szCs w:val="20"/>
          <w:lang w:val="es-CR"/>
        </w:rPr>
      </w:pPr>
      <w:r w:rsidRPr="00D13792">
        <w:rPr>
          <w:rFonts w:ascii="Verdana" w:hAnsi="Verdana"/>
          <w:sz w:val="20"/>
          <w:szCs w:val="20"/>
          <w:u w:val="single"/>
          <w:lang w:val="es-CR"/>
        </w:rPr>
        <w:t>Manuel de Jesús</w:t>
      </w:r>
      <w:r w:rsidRPr="00D13792">
        <w:rPr>
          <w:rFonts w:ascii="Verdana" w:eastAsia="Arial" w:hAnsi="Verdana" w:cs="Arial"/>
          <w:sz w:val="20"/>
          <w:szCs w:val="20"/>
          <w:u w:val="single"/>
          <w:lang w:val="es-CR"/>
        </w:rPr>
        <w:t xml:space="preserve"> </w:t>
      </w:r>
      <w:r w:rsidRPr="00D13792">
        <w:rPr>
          <w:rFonts w:ascii="Verdana" w:hAnsi="Verdana"/>
          <w:sz w:val="20"/>
          <w:szCs w:val="20"/>
          <w:u w:val="single"/>
          <w:lang w:val="es-CR"/>
        </w:rPr>
        <w:t>Alarcón Morente</w:t>
      </w:r>
      <w:r w:rsidRPr="00D13792">
        <w:rPr>
          <w:rFonts w:ascii="Verdana" w:hAnsi="Verdana"/>
          <w:sz w:val="20"/>
          <w:szCs w:val="20"/>
          <w:lang w:val="es-CR"/>
        </w:rPr>
        <w:t xml:space="preserve"> salió a cortar caña </w:t>
      </w:r>
      <w:r w:rsidRPr="00D13792">
        <w:rPr>
          <w:rFonts w:ascii="Verdana" w:eastAsia="Arial" w:hAnsi="Verdana" w:cs="Arial"/>
          <w:sz w:val="20"/>
          <w:szCs w:val="20"/>
          <w:lang w:val="es-CR"/>
        </w:rPr>
        <w:t>y no regresó</w:t>
      </w:r>
      <w:r w:rsidRPr="00D13792">
        <w:rPr>
          <w:rFonts w:ascii="Verdana" w:hAnsi="Verdana"/>
          <w:sz w:val="20"/>
          <w:szCs w:val="20"/>
          <w:lang w:val="es-CR"/>
        </w:rPr>
        <w:t xml:space="preserve">, y su hermano </w:t>
      </w:r>
      <w:r w:rsidRPr="00D13792">
        <w:rPr>
          <w:rFonts w:ascii="Verdana" w:eastAsia="Arial" w:hAnsi="Verdana" w:cs="Arial"/>
          <w:sz w:val="20"/>
          <w:szCs w:val="20"/>
          <w:u w:val="single"/>
          <w:lang w:val="es-CR"/>
        </w:rPr>
        <w:t xml:space="preserve">Edmundo </w:t>
      </w:r>
      <w:r w:rsidRPr="00D13792">
        <w:rPr>
          <w:rFonts w:ascii="Verdana" w:hAnsi="Verdana" w:cs="Calibri"/>
          <w:sz w:val="20"/>
          <w:szCs w:val="20"/>
          <w:u w:val="single"/>
          <w:lang w:val="es-CR"/>
        </w:rPr>
        <w:t>o Raymundo</w:t>
      </w:r>
      <w:r w:rsidRPr="00D13792">
        <w:rPr>
          <w:rFonts w:ascii="Verdana" w:eastAsia="Arial" w:hAnsi="Verdana" w:cs="Arial"/>
          <w:sz w:val="20"/>
          <w:szCs w:val="20"/>
          <w:u w:val="single"/>
          <w:lang w:val="es-CR"/>
        </w:rPr>
        <w:t xml:space="preserve"> </w:t>
      </w:r>
      <w:r w:rsidRPr="00D13792">
        <w:rPr>
          <w:rFonts w:ascii="Verdana" w:hAnsi="Verdana"/>
          <w:sz w:val="20"/>
          <w:szCs w:val="20"/>
          <w:u w:val="single"/>
          <w:lang w:val="es-CR"/>
        </w:rPr>
        <w:t>Alarcón Morente</w:t>
      </w:r>
      <w:r w:rsidRPr="00D13792">
        <w:rPr>
          <w:rFonts w:ascii="Verdana" w:hAnsi="Verdana"/>
          <w:sz w:val="20"/>
          <w:szCs w:val="20"/>
          <w:lang w:val="es-CR"/>
        </w:rPr>
        <w:t xml:space="preserve"> fue visto por última vez acompañado de soldados que lo llevaban amarrado. Se desconoce su paradero </w:t>
      </w:r>
      <w:r w:rsidRPr="00D13792">
        <w:rPr>
          <w:rFonts w:ascii="Verdana" w:hAnsi="Verdana" w:cs="Arial"/>
          <w:sz w:val="20"/>
          <w:szCs w:val="20"/>
          <w:lang w:val="es-CR"/>
        </w:rPr>
        <w:t xml:space="preserve">desde el </w:t>
      </w:r>
      <w:r w:rsidRPr="00D13792">
        <w:rPr>
          <w:rFonts w:ascii="Verdana" w:hAnsi="Verdana"/>
          <w:sz w:val="20"/>
          <w:szCs w:val="20"/>
          <w:lang w:val="es-CR"/>
        </w:rPr>
        <w:t>18 de enero de 1982, día en el que un grupo de soldados habían llegado a la vivienda de la familia Alarcón Morente y preguntaron por los dos hermanos (</w:t>
      </w:r>
      <w:r w:rsidRPr="00D13792">
        <w:rPr>
          <w:rFonts w:ascii="Verdana" w:hAnsi="Verdana"/>
          <w:i/>
          <w:sz w:val="20"/>
          <w:szCs w:val="20"/>
          <w:lang w:val="es-CR"/>
        </w:rPr>
        <w:t>supra</w:t>
      </w:r>
      <w:r w:rsidRPr="00D13792">
        <w:rPr>
          <w:rFonts w:ascii="Verdana" w:hAnsi="Verdana"/>
          <w:sz w:val="20"/>
          <w:szCs w:val="20"/>
          <w:lang w:val="es-CR"/>
        </w:rPr>
        <w:t xml:space="preserve"> párrs. 99 y 100).</w:t>
      </w:r>
    </w:p>
    <w:p w:rsidR="006A0E1C" w:rsidRPr="00D13792" w:rsidRDefault="006A0E1C" w:rsidP="006A0E1C">
      <w:pPr>
        <w:pStyle w:val="ListParagraph"/>
        <w:autoSpaceDE w:val="0"/>
        <w:autoSpaceDN w:val="0"/>
        <w:spacing w:after="0" w:line="240" w:lineRule="auto"/>
        <w:ind w:left="360"/>
        <w:rPr>
          <w:rFonts w:ascii="Verdana" w:hAnsi="Verdana"/>
          <w:sz w:val="20"/>
          <w:szCs w:val="20"/>
          <w:u w:val="single"/>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Mediante el </w:t>
      </w:r>
      <w:r w:rsidRPr="00D13792">
        <w:rPr>
          <w:rFonts w:cs="Calibri,Bold"/>
          <w:bCs/>
          <w:sz w:val="20"/>
          <w:szCs w:val="20"/>
        </w:rPr>
        <w:t xml:space="preserve">informe final del peritaje antropológico forense realizado por la FAFG el </w:t>
      </w:r>
      <w:r w:rsidRPr="00D13792">
        <w:rPr>
          <w:sz w:val="20"/>
          <w:szCs w:val="20"/>
        </w:rPr>
        <w:t xml:space="preserve">31 de enero de 2008 </w:t>
      </w:r>
      <w:r w:rsidRPr="00D13792">
        <w:rPr>
          <w:rFonts w:cs="Calibri,Bold"/>
          <w:bCs/>
          <w:sz w:val="20"/>
          <w:szCs w:val="20"/>
        </w:rPr>
        <w:t>se</w:t>
      </w:r>
      <w:r w:rsidRPr="00D13792">
        <w:rPr>
          <w:sz w:val="20"/>
          <w:szCs w:val="20"/>
        </w:rPr>
        <w:t xml:space="preserve"> </w:t>
      </w:r>
      <w:r w:rsidRPr="00D13792">
        <w:rPr>
          <w:rFonts w:cs="Arial"/>
          <w:sz w:val="20"/>
          <w:szCs w:val="20"/>
        </w:rPr>
        <w:t xml:space="preserve">concluyó que cuatro osamentas exhumadas en el año 2006 de un fosa ubicada en </w:t>
      </w:r>
      <w:r w:rsidRPr="00D13792">
        <w:rPr>
          <w:sz w:val="20"/>
          <w:szCs w:val="20"/>
        </w:rPr>
        <w:t xml:space="preserve">un </w:t>
      </w:r>
      <w:r w:rsidRPr="00D13792">
        <w:rPr>
          <w:rFonts w:eastAsia="Calibri"/>
          <w:sz w:val="20"/>
          <w:szCs w:val="20"/>
        </w:rPr>
        <w:t>terreno</w:t>
      </w:r>
      <w:r w:rsidRPr="00D13792">
        <w:rPr>
          <w:sz w:val="20"/>
          <w:szCs w:val="20"/>
        </w:rPr>
        <w:t xml:space="preserve"> de la aldea Guachipilín del municipio de Rabinal correspondían a Hugo García Depaz, Abraham Alvarado Tecú (o </w:t>
      </w:r>
      <w:r w:rsidRPr="00D13792">
        <w:rPr>
          <w:rFonts w:cs="Calibri"/>
          <w:sz w:val="20"/>
          <w:szCs w:val="20"/>
        </w:rPr>
        <w:t xml:space="preserve">Agapito Alvarado Depáz), </w:t>
      </w:r>
      <w:r w:rsidRPr="00D13792">
        <w:rPr>
          <w:sz w:val="20"/>
          <w:szCs w:val="20"/>
        </w:rPr>
        <w:t>Manuel de Jesús</w:t>
      </w:r>
      <w:r w:rsidRPr="00D13792">
        <w:rPr>
          <w:rFonts w:eastAsia="Arial" w:cs="Arial"/>
          <w:sz w:val="20"/>
          <w:szCs w:val="20"/>
        </w:rPr>
        <w:t xml:space="preserve"> </w:t>
      </w:r>
      <w:r w:rsidRPr="00D13792">
        <w:rPr>
          <w:sz w:val="20"/>
          <w:szCs w:val="20"/>
        </w:rPr>
        <w:t xml:space="preserve">Alarcón Morente y </w:t>
      </w:r>
      <w:r w:rsidRPr="00D13792">
        <w:rPr>
          <w:rFonts w:eastAsia="Arial" w:cs="Arial"/>
          <w:sz w:val="20"/>
          <w:szCs w:val="20"/>
        </w:rPr>
        <w:t xml:space="preserve">Edmundo </w:t>
      </w:r>
      <w:r w:rsidRPr="00D13792">
        <w:rPr>
          <w:rFonts w:cs="Calibri"/>
          <w:sz w:val="20"/>
          <w:szCs w:val="20"/>
        </w:rPr>
        <w:t>o Raymundo</w:t>
      </w:r>
      <w:r w:rsidRPr="00D13792">
        <w:rPr>
          <w:rFonts w:eastAsia="Arial" w:cs="Arial"/>
          <w:sz w:val="20"/>
          <w:szCs w:val="20"/>
        </w:rPr>
        <w:t xml:space="preserve"> </w:t>
      </w:r>
      <w:r w:rsidRPr="00D13792">
        <w:rPr>
          <w:sz w:val="20"/>
          <w:szCs w:val="20"/>
        </w:rPr>
        <w:t>Alarcón Morente</w:t>
      </w:r>
      <w:r w:rsidRPr="00D13792">
        <w:rPr>
          <w:rFonts w:cs="Arial"/>
          <w:sz w:val="20"/>
          <w:szCs w:val="20"/>
        </w:rPr>
        <w:t xml:space="preserve">. </w:t>
      </w:r>
      <w:r w:rsidRPr="00D13792">
        <w:rPr>
          <w:rFonts w:cs="Calibri,Bold"/>
          <w:bCs/>
          <w:sz w:val="20"/>
          <w:szCs w:val="20"/>
        </w:rPr>
        <w:t xml:space="preserve">Dicho informe fue presentado </w:t>
      </w:r>
      <w:r w:rsidRPr="00D13792">
        <w:rPr>
          <w:sz w:val="20"/>
          <w:szCs w:val="20"/>
        </w:rPr>
        <w:t xml:space="preserve">ante el Auxiliar Fiscal del Ministerio Público de Rabinal y </w:t>
      </w:r>
      <w:r w:rsidRPr="00D13792">
        <w:rPr>
          <w:rFonts w:cs="Arial"/>
          <w:sz w:val="20"/>
          <w:szCs w:val="20"/>
        </w:rPr>
        <w:t xml:space="preserve">los restos fueron entregados a sus familiares </w:t>
      </w:r>
      <w:r w:rsidRPr="00D13792">
        <w:rPr>
          <w:sz w:val="20"/>
          <w:szCs w:val="20"/>
        </w:rPr>
        <w:t>(</w:t>
      </w:r>
      <w:r w:rsidRPr="00D13792">
        <w:rPr>
          <w:i/>
          <w:sz w:val="20"/>
          <w:szCs w:val="20"/>
        </w:rPr>
        <w:t>supra</w:t>
      </w:r>
      <w:r w:rsidRPr="00D13792">
        <w:rPr>
          <w:sz w:val="20"/>
          <w:szCs w:val="20"/>
        </w:rPr>
        <w:t xml:space="preserve"> párr. 100). Es a partir de la emisión de dicho informe que se conoció, de manera definitiva, el paradero de las cuatro personas mencionadas. </w:t>
      </w:r>
    </w:p>
    <w:p w:rsidR="006A0E1C" w:rsidRPr="00D13792" w:rsidRDefault="006A0E1C" w:rsidP="006A0E1C">
      <w:pPr>
        <w:pStyle w:val="Prrafodelista2"/>
        <w:tabs>
          <w:tab w:val="left" w:pos="720"/>
        </w:tabs>
        <w:ind w:left="0" w:right="-90"/>
        <w:jc w:val="both"/>
        <w:rPr>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En definitiva, la Corte tiene por acreditado que las </w:t>
      </w:r>
      <w:r w:rsidRPr="00D13792">
        <w:rPr>
          <w:sz w:val="20"/>
        </w:rPr>
        <w:t>22</w:t>
      </w:r>
      <w:r w:rsidRPr="00D13792">
        <w:rPr>
          <w:sz w:val="20"/>
          <w:szCs w:val="20"/>
        </w:rPr>
        <w:t xml:space="preserve"> presuntas víctimas fueron privadas de libertad </w:t>
      </w:r>
      <w:r w:rsidRPr="00D13792">
        <w:rPr>
          <w:rFonts w:eastAsia="Calibri"/>
          <w:sz w:val="20"/>
          <w:szCs w:val="20"/>
        </w:rPr>
        <w:t>por</w:t>
      </w:r>
      <w:r w:rsidRPr="00D13792">
        <w:rPr>
          <w:sz w:val="20"/>
          <w:szCs w:val="20"/>
        </w:rPr>
        <w:t xml:space="preserve"> miembros de las fuerzas de seguridad del Estado, esto es, militares, patrulleros y “judiciales”</w:t>
      </w:r>
      <w:r w:rsidRPr="00D13792">
        <w:rPr>
          <w:rStyle w:val="FootnoteReference"/>
          <w:sz w:val="20"/>
          <w:szCs w:val="20"/>
        </w:rPr>
        <w:footnoteReference w:id="167"/>
      </w:r>
      <w:r w:rsidRPr="00D13792">
        <w:rPr>
          <w:sz w:val="20"/>
          <w:szCs w:val="20"/>
        </w:rPr>
        <w:t xml:space="preserve">. </w:t>
      </w:r>
    </w:p>
    <w:p w:rsidR="006A0E1C" w:rsidRPr="00D13792" w:rsidRDefault="006A0E1C" w:rsidP="006A0E1C">
      <w:pPr>
        <w:pStyle w:val="ListParagraph"/>
        <w:spacing w:after="0" w:line="240" w:lineRule="auto"/>
        <w:rPr>
          <w:rFonts w:ascii="Verdana" w:hAnsi="Verdana"/>
          <w:sz w:val="20"/>
          <w:szCs w:val="20"/>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Casi diez </w:t>
      </w:r>
      <w:r w:rsidRPr="00D13792">
        <w:rPr>
          <w:rFonts w:eastAsia="Calibri"/>
          <w:sz w:val="20"/>
          <w:szCs w:val="20"/>
        </w:rPr>
        <w:t>años</w:t>
      </w:r>
      <w:r w:rsidRPr="00D13792">
        <w:rPr>
          <w:sz w:val="20"/>
          <w:szCs w:val="20"/>
        </w:rPr>
        <w:t xml:space="preserve"> después de los hechos y en el marco de las investigaciones desarrolladas en relación con el presente caso, las autoridades negaron que la zona en la que ocurrieron los hechos se encontrara bajo control militar en el año 1982, que es la época en que ocurrió el mayor número de las privaciones de libertad de las 22 presuntas víctimas. Así, mediante un escrito de 9 de mayo de 1993, </w:t>
      </w:r>
      <w:r w:rsidRPr="00D13792">
        <w:rPr>
          <w:rFonts w:cs="Arial"/>
          <w:sz w:val="20"/>
          <w:szCs w:val="20"/>
        </w:rPr>
        <w:t>el Comandante de Reservas Militares</w:t>
      </w:r>
      <w:r w:rsidRPr="00D13792" w:rsidDel="00B55160">
        <w:rPr>
          <w:sz w:val="20"/>
          <w:szCs w:val="20"/>
        </w:rPr>
        <w:t xml:space="preserve"> </w:t>
      </w:r>
      <w:r w:rsidRPr="00D13792">
        <w:rPr>
          <w:sz w:val="20"/>
          <w:szCs w:val="20"/>
        </w:rPr>
        <w:t xml:space="preserve">informó al </w:t>
      </w:r>
      <w:r w:rsidRPr="00D13792">
        <w:rPr>
          <w:rFonts w:cs="Arial"/>
          <w:sz w:val="20"/>
          <w:szCs w:val="20"/>
        </w:rPr>
        <w:t>Juez de Primera Instancia Penal de Baja Verapaz</w:t>
      </w:r>
      <w:r w:rsidRPr="00D13792">
        <w:rPr>
          <w:sz w:val="20"/>
          <w:szCs w:val="20"/>
        </w:rPr>
        <w:t xml:space="preserve"> que “durante el año 1982 no existían comisionados militares en [la] aldea [Chichupac,] ya que esa área era tomada como zona de operaciones de la delincuencia terrorista, por lo tanto nadie desempeñaba el cargo de comisionado militar, así también no pudo nombrarse ninguna comisión el 8 de enero de 1982”</w:t>
      </w:r>
      <w:r w:rsidRPr="00D13792">
        <w:rPr>
          <w:rStyle w:val="FootnoteReference"/>
          <w:sz w:val="20"/>
        </w:rPr>
        <w:footnoteReference w:id="168"/>
      </w:r>
      <w:r w:rsidRPr="00D13792">
        <w:rPr>
          <w:sz w:val="20"/>
          <w:szCs w:val="20"/>
        </w:rPr>
        <w:t>. En este sentido, se negó la presencia y participación de militares en operaciones en la zona. Lo anterior revela que las autoridades del Ejército ocultaron información sobre lo ocurrido a las víctimas, lo cual, de ser el caso, es acorde con la negativa de información que forma parte de una desaparición forzada.</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También, consta que los hechos ocurridos fueron puestos en conocimiento de autoridades estatales mediante diversas vías y momentos. Primero, a través de diversas denuncias presentadas por familiares y vecinos ante la Procuraduría de Derechos Humanos de Guatemala y el Ministerio Público</w:t>
      </w:r>
      <w:r w:rsidRPr="00D13792">
        <w:rPr>
          <w:sz w:val="20"/>
          <w:szCs w:val="20"/>
          <w:vertAlign w:val="superscript"/>
        </w:rPr>
        <w:footnoteReference w:id="169"/>
      </w:r>
      <w:r w:rsidRPr="00D13792">
        <w:rPr>
          <w:sz w:val="20"/>
          <w:szCs w:val="20"/>
        </w:rPr>
        <w:t>. Segundo, en el Informe de la CEH publicado en el año 1999</w:t>
      </w:r>
      <w:r w:rsidRPr="00D13792">
        <w:rPr>
          <w:sz w:val="20"/>
          <w:szCs w:val="20"/>
          <w:vertAlign w:val="superscript"/>
        </w:rPr>
        <w:footnoteReference w:id="170"/>
      </w:r>
      <w:r w:rsidRPr="00D13792">
        <w:rPr>
          <w:sz w:val="20"/>
          <w:szCs w:val="20"/>
        </w:rPr>
        <w:t>. Tercero, mediante los informes que la FAFG presentó ante el Ministerio Público en el marco de las investigaciones y peritajes antropológicos forenses llevados a cabo</w:t>
      </w:r>
      <w:r w:rsidRPr="00D13792">
        <w:rPr>
          <w:sz w:val="20"/>
          <w:szCs w:val="20"/>
          <w:vertAlign w:val="superscript"/>
        </w:rPr>
        <w:footnoteReference w:id="171"/>
      </w:r>
      <w:r w:rsidRPr="00D13792">
        <w:rPr>
          <w:sz w:val="20"/>
          <w:szCs w:val="20"/>
        </w:rPr>
        <w:t>. Cuarto, el caso fue presentado ante la Comisión Interamericana el 13 de diciembre de 2007, y esta realizó su Informe de Fondo el 2 de abril de 2014</w:t>
      </w:r>
      <w:r w:rsidRPr="00D13792">
        <w:rPr>
          <w:sz w:val="20"/>
          <w:szCs w:val="20"/>
          <w:vertAlign w:val="superscript"/>
        </w:rPr>
        <w:footnoteReference w:id="172"/>
      </w:r>
      <w:r w:rsidRPr="00D13792">
        <w:rPr>
          <w:sz w:val="20"/>
          <w:szCs w:val="20"/>
        </w:rPr>
        <w:t xml:space="preserve">, por lo que durante casi siete años las autoridades </w:t>
      </w:r>
      <w:r w:rsidRPr="00D13792">
        <w:rPr>
          <w:sz w:val="20"/>
          <w:szCs w:val="20"/>
        </w:rPr>
        <w:lastRenderedPageBreak/>
        <w:t>estatales fueron alertadas consecutivamente por dicho organismo sobre la ocurrencia de los hechos. No obstante, las diligencias practicadas para localizar el paradero de las víctimas fueron casi nulas (</w:t>
      </w:r>
      <w:r w:rsidRPr="00D13792">
        <w:rPr>
          <w:i/>
          <w:sz w:val="20"/>
          <w:szCs w:val="20"/>
        </w:rPr>
        <w:t>infra</w:t>
      </w:r>
      <w:r w:rsidRPr="00D13792">
        <w:rPr>
          <w:sz w:val="20"/>
          <w:szCs w:val="20"/>
        </w:rPr>
        <w:t xml:space="preserve"> párr. 220, 221, 227, 235, 237 y 238), lo cual constituye un indicio adicional de lo ocurrido a estas.</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Ciertamente la desaparición de las 22 presuntas víctimas no constituyó un hecho aislado, sino que se inserta en una práctica de desaparición forzada de personas llevada a cabo principalmente por agentes de las fuerzas de seguridad del Estado durante la época del conflicto armado interno (</w:t>
      </w:r>
      <w:r w:rsidRPr="00D13792">
        <w:rPr>
          <w:i/>
          <w:sz w:val="20"/>
          <w:szCs w:val="20"/>
        </w:rPr>
        <w:t>supra</w:t>
      </w:r>
      <w:r w:rsidRPr="00D13792">
        <w:rPr>
          <w:sz w:val="20"/>
          <w:szCs w:val="20"/>
        </w:rPr>
        <w:t xml:space="preserve"> párr. 79). </w:t>
      </w:r>
    </w:p>
    <w:p w:rsidR="006A0E1C" w:rsidRPr="00D13792" w:rsidRDefault="006A0E1C" w:rsidP="006A0E1C">
      <w:pPr>
        <w:spacing w:line="240" w:lineRule="auto"/>
        <w:rPr>
          <w:sz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En razón de todo lo anterior, la Corte concluye que las </w:t>
      </w:r>
      <w:r w:rsidRPr="00D13792">
        <w:rPr>
          <w:sz w:val="20"/>
        </w:rPr>
        <w:t>22</w:t>
      </w:r>
      <w:r w:rsidRPr="00D13792">
        <w:rPr>
          <w:sz w:val="20"/>
          <w:szCs w:val="20"/>
        </w:rPr>
        <w:t xml:space="preserve"> presuntas víctimas fueron privadas de </w:t>
      </w:r>
      <w:r w:rsidRPr="00D13792">
        <w:rPr>
          <w:rFonts w:eastAsia="Calibri"/>
          <w:sz w:val="20"/>
          <w:szCs w:val="20"/>
        </w:rPr>
        <w:t>libertad</w:t>
      </w:r>
      <w:r w:rsidRPr="00D13792">
        <w:rPr>
          <w:sz w:val="20"/>
          <w:szCs w:val="20"/>
        </w:rPr>
        <w:t xml:space="preserve"> por miembros de las fuerzas de seguridad del Estado en el marco del conflicto interno, y lo último que se supo de ellas es que se encontraban bajo custodia estatal; posteriormente, se desconoció su paradero. Las actuaciones posteriores de las autoridades y agentes estatales permiten a este Tribunal determinar que existió una negativa de reconocer las mencionadas privaciones de libertad, así como a proporcionar información sobre </w:t>
      </w:r>
      <w:r w:rsidRPr="00D13792">
        <w:rPr>
          <w:spacing w:val="-2"/>
          <w:sz w:val="20"/>
          <w:szCs w:val="20"/>
        </w:rPr>
        <w:t>la suerte o el paradero de dichas persona</w:t>
      </w:r>
      <w:r w:rsidRPr="00D13792">
        <w:rPr>
          <w:sz w:val="20"/>
          <w:szCs w:val="20"/>
        </w:rPr>
        <w:t>s, con el propósito de generar incertidumbre acerca de su vida o muerte. El contexto de los hechos del caso avalan esta conclusión.</w:t>
      </w:r>
    </w:p>
    <w:p w:rsidR="006A0E1C" w:rsidRPr="00D13792" w:rsidRDefault="006A0E1C" w:rsidP="006A0E1C">
      <w:pPr>
        <w:pStyle w:val="ListParagraph"/>
        <w:spacing w:after="0" w:line="240" w:lineRule="auto"/>
        <w:rPr>
          <w:rFonts w:ascii="Verdana" w:hAnsi="Verdana"/>
          <w:sz w:val="20"/>
          <w:szCs w:val="20"/>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En consecuencia, la Corte considera que el Estado es responsable por la desaparición forzada de: 1. </w:t>
      </w:r>
      <w:r w:rsidRPr="00D149F7">
        <w:rPr>
          <w:sz w:val="20"/>
          <w:szCs w:val="20"/>
          <w:lang w:val="pt-BR"/>
        </w:rPr>
        <w:t xml:space="preserve">Hugo García Depaz, 2. Abraham Alvarado Tecú (o </w:t>
      </w:r>
      <w:r w:rsidRPr="00D149F7">
        <w:rPr>
          <w:rFonts w:cs="Calibri"/>
          <w:sz w:val="20"/>
          <w:szCs w:val="20"/>
          <w:lang w:val="pt-BR"/>
        </w:rPr>
        <w:t xml:space="preserve">Agapito Alvarado Depáz), 3. </w:t>
      </w:r>
      <w:r w:rsidRPr="00D13792">
        <w:rPr>
          <w:sz w:val="20"/>
          <w:szCs w:val="20"/>
        </w:rPr>
        <w:t>Manuel de Jesús</w:t>
      </w:r>
      <w:r w:rsidRPr="00D13792">
        <w:rPr>
          <w:rFonts w:eastAsia="Arial" w:cs="Arial"/>
          <w:sz w:val="20"/>
          <w:szCs w:val="20"/>
        </w:rPr>
        <w:t xml:space="preserve"> </w:t>
      </w:r>
      <w:r w:rsidRPr="00D13792">
        <w:rPr>
          <w:sz w:val="20"/>
          <w:szCs w:val="20"/>
        </w:rPr>
        <w:t xml:space="preserve">Alarcón Morente, y 4. </w:t>
      </w:r>
      <w:r w:rsidRPr="00D13792">
        <w:rPr>
          <w:rFonts w:eastAsia="Arial" w:cs="Arial"/>
          <w:sz w:val="20"/>
          <w:szCs w:val="20"/>
        </w:rPr>
        <w:t xml:space="preserve">Edmundo </w:t>
      </w:r>
      <w:r w:rsidRPr="00D13792">
        <w:rPr>
          <w:rFonts w:cs="Calibri"/>
          <w:sz w:val="20"/>
          <w:szCs w:val="20"/>
        </w:rPr>
        <w:t>o Raymundo</w:t>
      </w:r>
      <w:r w:rsidRPr="00D13792">
        <w:rPr>
          <w:rFonts w:eastAsia="Arial" w:cs="Arial"/>
          <w:sz w:val="20"/>
          <w:szCs w:val="20"/>
        </w:rPr>
        <w:t xml:space="preserve"> </w:t>
      </w:r>
      <w:r w:rsidRPr="00D13792">
        <w:rPr>
          <w:sz w:val="20"/>
          <w:szCs w:val="20"/>
        </w:rPr>
        <w:t xml:space="preserve">Alarcón Morente. Su desaparición se prolongó hasta el año 2008 en que fueron identificados mediante un </w:t>
      </w:r>
      <w:r w:rsidRPr="00D13792">
        <w:rPr>
          <w:rFonts w:cs="Calibri,Bold"/>
          <w:bCs/>
          <w:sz w:val="20"/>
          <w:szCs w:val="20"/>
        </w:rPr>
        <w:t xml:space="preserve">informe antropológico </w:t>
      </w:r>
      <w:r w:rsidRPr="00D13792">
        <w:rPr>
          <w:rFonts w:eastAsia="Calibri"/>
          <w:sz w:val="20"/>
          <w:szCs w:val="20"/>
        </w:rPr>
        <w:t>forense</w:t>
      </w:r>
      <w:r w:rsidRPr="00D13792">
        <w:rPr>
          <w:sz w:val="20"/>
          <w:szCs w:val="20"/>
        </w:rPr>
        <w:t xml:space="preserve"> y a partir de la emisión de dicho informe se conoció, de manera definitiva, el paradero de las cuatro personas (</w:t>
      </w:r>
      <w:r w:rsidRPr="00D13792">
        <w:rPr>
          <w:i/>
          <w:sz w:val="20"/>
          <w:szCs w:val="20"/>
        </w:rPr>
        <w:t>supra</w:t>
      </w:r>
      <w:r w:rsidRPr="00D13792">
        <w:rPr>
          <w:sz w:val="20"/>
          <w:szCs w:val="20"/>
        </w:rPr>
        <w:t xml:space="preserve"> párrs. 99 y 100). En este sentido, es posible concluir que su desaparición se prolongó por aproximadamente 26 años.</w:t>
      </w:r>
    </w:p>
    <w:p w:rsidR="006A0E1C" w:rsidRPr="00D13792" w:rsidRDefault="006A0E1C" w:rsidP="006A0E1C">
      <w:pPr>
        <w:pStyle w:val="ListParagraph"/>
        <w:spacing w:after="0" w:line="240" w:lineRule="auto"/>
        <w:rPr>
          <w:rFonts w:ascii="Verdana" w:hAnsi="Verdana"/>
          <w:sz w:val="20"/>
          <w:szCs w:val="20"/>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Además, el Estado es responsable por la desaparición forzada de: 5. </w:t>
      </w:r>
      <w:r w:rsidRPr="00D13792">
        <w:rPr>
          <w:rFonts w:cs="Arial"/>
          <w:sz w:val="20"/>
          <w:szCs w:val="20"/>
        </w:rPr>
        <w:t xml:space="preserve">Pedro Siana; 6. </w:t>
      </w:r>
      <w:r w:rsidRPr="00D13792">
        <w:rPr>
          <w:rFonts w:eastAsia="Calibri"/>
          <w:iCs/>
          <w:sz w:val="20"/>
          <w:szCs w:val="20"/>
        </w:rPr>
        <w:t>Juan Pérez Sic</w:t>
      </w:r>
      <w:r w:rsidRPr="00D13792">
        <w:rPr>
          <w:rFonts w:cs="Calibri"/>
          <w:sz w:val="20"/>
          <w:szCs w:val="20"/>
        </w:rPr>
        <w:t xml:space="preserve">; 7. </w:t>
      </w:r>
      <w:r w:rsidRPr="00D13792">
        <w:rPr>
          <w:rFonts w:eastAsia="Calibri"/>
          <w:sz w:val="20"/>
          <w:szCs w:val="20"/>
        </w:rPr>
        <w:t xml:space="preserve">Lorenzo Depaz Siprian (o Lorenzo Depaz Ciprian o </w:t>
      </w:r>
      <w:r w:rsidRPr="00D13792">
        <w:rPr>
          <w:sz w:val="20"/>
          <w:szCs w:val="20"/>
        </w:rPr>
        <w:t>Florencio Depaz Cipriano);</w:t>
      </w:r>
      <w:r w:rsidRPr="00D13792">
        <w:rPr>
          <w:rFonts w:cs="Arial"/>
          <w:sz w:val="20"/>
          <w:szCs w:val="20"/>
        </w:rPr>
        <w:t xml:space="preserve"> 8. </w:t>
      </w:r>
      <w:r w:rsidRPr="00D13792">
        <w:rPr>
          <w:rFonts w:eastAsia="Calibri"/>
          <w:sz w:val="20"/>
          <w:szCs w:val="20"/>
        </w:rPr>
        <w:t xml:space="preserve">Leonardo Cahuec Gonzalés; 9. Juan Mendoza Alvarado; 10. José Cruz Mendoza Sucup; 11. María Concepción Chen Sic; </w:t>
      </w:r>
      <w:r w:rsidRPr="00D13792">
        <w:rPr>
          <w:bCs/>
          <w:sz w:val="20"/>
          <w:szCs w:val="20"/>
        </w:rPr>
        <w:t>12.</w:t>
      </w:r>
      <w:r w:rsidRPr="00D13792">
        <w:rPr>
          <w:sz w:val="20"/>
          <w:szCs w:val="20"/>
        </w:rPr>
        <w:t xml:space="preserve"> </w:t>
      </w:r>
      <w:r w:rsidRPr="00D13792">
        <w:rPr>
          <w:rFonts w:eastAsia="Calibri"/>
          <w:sz w:val="20"/>
          <w:szCs w:val="20"/>
        </w:rPr>
        <w:t>Casimiro Siana</w:t>
      </w:r>
      <w:r w:rsidRPr="00D13792">
        <w:rPr>
          <w:bCs/>
          <w:sz w:val="20"/>
          <w:szCs w:val="20"/>
        </w:rPr>
        <w:t xml:space="preserve">; 13. </w:t>
      </w:r>
      <w:r w:rsidRPr="00D13792">
        <w:rPr>
          <w:rFonts w:eastAsia="Calibri"/>
          <w:iCs/>
          <w:sz w:val="20"/>
          <w:szCs w:val="20"/>
        </w:rPr>
        <w:t xml:space="preserve">Cruz Pérez Ampérez; 14. Gorgonio Gonzalez Gonzalez; 15. Jorge Galeano Román; 16. </w:t>
      </w:r>
      <w:r w:rsidRPr="00D13792">
        <w:rPr>
          <w:sz w:val="20"/>
          <w:szCs w:val="20"/>
        </w:rPr>
        <w:t>Eustaquio lxtecoc Gonzalez (</w:t>
      </w:r>
      <w:r w:rsidRPr="00D13792">
        <w:rPr>
          <w:rFonts w:cs="Calibri"/>
          <w:sz w:val="20"/>
          <w:szCs w:val="20"/>
        </w:rPr>
        <w:t xml:space="preserve">o Eustaquio Yxtecoc Gonzalez); 17. </w:t>
      </w:r>
      <w:r w:rsidRPr="00D13792">
        <w:rPr>
          <w:rFonts w:eastAsia="Calibri"/>
          <w:iCs/>
          <w:sz w:val="20"/>
          <w:szCs w:val="20"/>
        </w:rPr>
        <w:t xml:space="preserve">Rafael Depaz Tecú; 18. Enrique Mendoza Sis; 19. </w:t>
      </w:r>
      <w:r w:rsidRPr="00D13792">
        <w:rPr>
          <w:sz w:val="20"/>
          <w:szCs w:val="20"/>
        </w:rPr>
        <w:t xml:space="preserve">Gabino Román Yvoy (o Iboy o Ivoy); 20. </w:t>
      </w:r>
      <w:r w:rsidRPr="00D13792">
        <w:rPr>
          <w:rFonts w:eastAsia="Calibri"/>
          <w:iCs/>
          <w:sz w:val="20"/>
          <w:szCs w:val="20"/>
        </w:rPr>
        <w:t xml:space="preserve">Dionicio o </w:t>
      </w:r>
      <w:r w:rsidRPr="00D13792">
        <w:rPr>
          <w:sz w:val="20"/>
          <w:szCs w:val="20"/>
        </w:rPr>
        <w:t>Dionisio</w:t>
      </w:r>
      <w:r w:rsidRPr="00D13792">
        <w:rPr>
          <w:rFonts w:eastAsia="Calibri"/>
          <w:iCs/>
          <w:sz w:val="20"/>
          <w:szCs w:val="20"/>
        </w:rPr>
        <w:t xml:space="preserve"> Vachan o Bachán;</w:t>
      </w:r>
      <w:r w:rsidRPr="00D13792">
        <w:rPr>
          <w:sz w:val="20"/>
          <w:szCs w:val="20"/>
        </w:rPr>
        <w:t xml:space="preserve"> 21. </w:t>
      </w:r>
      <w:r w:rsidRPr="00D13792">
        <w:rPr>
          <w:rFonts w:eastAsia="Calibri"/>
          <w:sz w:val="20"/>
          <w:szCs w:val="20"/>
        </w:rPr>
        <w:t xml:space="preserve">Marcelo Sic Chen, y 22. </w:t>
      </w:r>
      <w:r w:rsidRPr="00D13792">
        <w:rPr>
          <w:sz w:val="20"/>
          <w:szCs w:val="20"/>
        </w:rPr>
        <w:t>Adrián García Manuel. Al respecto, se desconoce el paradero de todas estas personas hasta la fecha, luego de más de 32 a 35 años de iniciadas dichas desapariciones, no obstante las diversas denuncias que han sido puestas en conocimiento del Estado en diferentes momentos.</w:t>
      </w:r>
    </w:p>
    <w:p w:rsidR="006A0E1C" w:rsidRPr="00D13792" w:rsidRDefault="006A0E1C" w:rsidP="006A0E1C">
      <w:pPr>
        <w:pStyle w:val="ListParagraph"/>
        <w:spacing w:after="0" w:line="240" w:lineRule="auto"/>
        <w:rPr>
          <w:rFonts w:ascii="Verdana" w:hAnsi="Verdana"/>
          <w:sz w:val="20"/>
          <w:szCs w:val="20"/>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En razón de todo lo anterior, la Corte concluye que en el presente caso fueron víctimas de desaparición forzada un total de 22 personas. En el año 2008 se logró establecer el paradero de 4 de estas víctimas, y al día de hoy aún se desconoce el paradero de 18 de dichas víctimas. En cambio, no es procedente concluir la desaparición forzada de un total de 59 personas que fueron alegadas como víctimas de dicha violación y respecto de las cuales aún queda por concluir los trabajos de exhumación e identificación de restos de 31 personas (</w:t>
      </w:r>
      <w:r w:rsidRPr="00D13792">
        <w:rPr>
          <w:i/>
          <w:sz w:val="20"/>
          <w:szCs w:val="20"/>
        </w:rPr>
        <w:t>supra</w:t>
      </w:r>
      <w:r w:rsidRPr="00D13792">
        <w:rPr>
          <w:sz w:val="20"/>
          <w:szCs w:val="20"/>
        </w:rPr>
        <w:t xml:space="preserve"> párr. 147).</w:t>
      </w:r>
    </w:p>
    <w:p w:rsidR="006A0E1C" w:rsidRPr="00D13792" w:rsidRDefault="006A0E1C" w:rsidP="006A0E1C">
      <w:pPr>
        <w:pStyle w:val="Prrafodelista2"/>
        <w:tabs>
          <w:tab w:val="left" w:pos="720"/>
        </w:tabs>
        <w:ind w:left="0" w:right="-90"/>
        <w:jc w:val="both"/>
        <w:rPr>
          <w:lang w:val="es-CR"/>
        </w:rPr>
      </w:pPr>
    </w:p>
    <w:p w:rsidR="006A0E1C" w:rsidRPr="00D13792" w:rsidRDefault="006A0E1C" w:rsidP="006A0E1C">
      <w:pPr>
        <w:pStyle w:val="Heading3"/>
        <w:ind w:left="0"/>
        <w:rPr>
          <w:i/>
          <w:lang w:val="es-CR"/>
        </w:rPr>
      </w:pPr>
      <w:bookmarkStart w:id="201" w:name="_Toc460938877"/>
      <w:bookmarkStart w:id="202" w:name="_Toc469670044"/>
      <w:r w:rsidRPr="00D13792">
        <w:rPr>
          <w:i/>
          <w:lang w:val="es-CR"/>
        </w:rPr>
        <w:t>B.2. Violaciones de los artículos 7, 5.1, 5.2, 4.1 y 3 de la Convención Americana</w:t>
      </w:r>
      <w:bookmarkEnd w:id="201"/>
      <w:bookmarkEnd w:id="202"/>
    </w:p>
    <w:p w:rsidR="006A0E1C" w:rsidRPr="00D13792" w:rsidRDefault="006A0E1C" w:rsidP="006A0E1C">
      <w:pPr>
        <w:pStyle w:val="Prrafodelista2"/>
        <w:tabs>
          <w:tab w:val="left" w:pos="720"/>
        </w:tabs>
        <w:ind w:left="0" w:right="-90"/>
        <w:jc w:val="both"/>
        <w:rPr>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En el presente caso, las 22 víctimas de desaparición forzada fueron detenidas ilegalmente por agentes estatales, sin que hasta el momento se tenga información del destino y paradero de 18 de éstas. Por su parte, recién en el año 2008 se logró establecer el paradero de cuatro de las víctimas (</w:t>
      </w:r>
      <w:r w:rsidRPr="00D13792">
        <w:rPr>
          <w:i/>
          <w:sz w:val="20"/>
          <w:szCs w:val="20"/>
        </w:rPr>
        <w:t>supra</w:t>
      </w:r>
      <w:r w:rsidRPr="00D13792">
        <w:rPr>
          <w:sz w:val="20"/>
          <w:szCs w:val="20"/>
        </w:rPr>
        <w:t xml:space="preserve"> párr. 100). Esta detención inicial fue un paso previo para su desaparición y fue contraria a todas luces al derecho a la libertad personal, en violación del artículo 7 de la Convención Americana. Su desaparición se enmarcó en una práctica de desaparición forzada de personas, lo cual permite concluir que aquélla colocó a las víctimas en </w:t>
      </w:r>
      <w:r w:rsidRPr="00D13792">
        <w:rPr>
          <w:sz w:val="20"/>
          <w:szCs w:val="20"/>
        </w:rPr>
        <w:lastRenderedPageBreak/>
        <w:t>una situación de especial vulnerabilidad y grave situación de riesgo de sufrir daños irreparables a su integridad personal y a su vida. La Corte ha establecido que resulta evidente que las víctimas de esta práctica ven vulneradas su integridad personal en todas sus dimensiones</w:t>
      </w:r>
      <w:r w:rsidRPr="00D13792">
        <w:rPr>
          <w:rStyle w:val="FootnoteReference"/>
          <w:sz w:val="20"/>
          <w:szCs w:val="20"/>
        </w:rPr>
        <w:footnoteReference w:id="173"/>
      </w:r>
      <w:r w:rsidRPr="00D13792">
        <w:rPr>
          <w:sz w:val="20"/>
          <w:szCs w:val="20"/>
        </w:rPr>
        <w:t>, y que el sometimiento de detenidos a cuerpos represivos oficiales, agentes estatales o particulares que actúen con su aquiescencia o tolerancia, que impunemente practiquen la tortura y el asesinato representa, por sí mismo, una infracción al deber de prevención de violaciones a los derechos a la integridad personal y a la vida, aun en el supuesto de que no puedan demostrarse los hechos de tortura o de privación de la vida de la persona en el caso concreto</w:t>
      </w:r>
      <w:r w:rsidRPr="00D13792">
        <w:rPr>
          <w:rStyle w:val="FootnoteReference"/>
          <w:sz w:val="20"/>
          <w:szCs w:val="20"/>
        </w:rPr>
        <w:footnoteReference w:id="174"/>
      </w:r>
      <w:r w:rsidRPr="00D13792">
        <w:rPr>
          <w:sz w:val="20"/>
          <w:szCs w:val="20"/>
        </w:rPr>
        <w:t>. Además, esta Corte ha sostenido que la desaparición forzada es violatoria del derecho a la integridad personal porque el solo hecho del aislamiento prolongado y de la incomunicación coactiva, representa un tratamiento cruel e inhumano</w:t>
      </w:r>
      <w:r w:rsidRPr="00D13792">
        <w:rPr>
          <w:rStyle w:val="FootnoteReference"/>
          <w:sz w:val="20"/>
          <w:szCs w:val="20"/>
        </w:rPr>
        <w:footnoteReference w:id="175"/>
      </w:r>
      <w:r w:rsidRPr="00D13792">
        <w:rPr>
          <w:sz w:val="20"/>
          <w:szCs w:val="20"/>
        </w:rPr>
        <w:t xml:space="preserve">. El Tribunal también ha establecido que </w:t>
      </w:r>
      <w:r w:rsidRPr="00D13792">
        <w:rPr>
          <w:rFonts w:cs="Helvetica"/>
          <w:sz w:val="20"/>
          <w:szCs w:val="20"/>
        </w:rPr>
        <w:t>el hecho que una persona esté desaparecida durante un largo lapso de tiempo y en un contexto de violencia es un indicio suficiente para concluir que la persona fue privada de su vida</w:t>
      </w:r>
      <w:r w:rsidRPr="00D13792">
        <w:rPr>
          <w:rStyle w:val="FootnoteReference"/>
          <w:rFonts w:cs="Helvetica"/>
          <w:sz w:val="20"/>
          <w:szCs w:val="20"/>
        </w:rPr>
        <w:footnoteReference w:id="176"/>
      </w:r>
      <w:r w:rsidRPr="00D13792">
        <w:rPr>
          <w:rFonts w:cs="Helvetica"/>
          <w:sz w:val="20"/>
          <w:szCs w:val="20"/>
        </w:rPr>
        <w:t>. Todo ello, en contradicción con los artículos 4.1, 5.1 y 5.2 de la Convención Americana.</w:t>
      </w:r>
    </w:p>
    <w:p w:rsidR="006A0E1C" w:rsidRPr="00D13792" w:rsidRDefault="006A0E1C" w:rsidP="006A0E1C">
      <w:pPr>
        <w:pStyle w:val="ListParagraph"/>
        <w:spacing w:after="0" w:line="240" w:lineRule="auto"/>
        <w:rPr>
          <w:rFonts w:ascii="Verdana" w:hAnsi="Verdana"/>
          <w:sz w:val="20"/>
          <w:szCs w:val="20"/>
          <w:lang w:val="es-CR"/>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 xml:space="preserve">Asimismo, la Corte recuerda que desde el caso </w:t>
      </w:r>
      <w:r w:rsidRPr="00D13792">
        <w:rPr>
          <w:i/>
          <w:sz w:val="20"/>
          <w:szCs w:val="20"/>
        </w:rPr>
        <w:t xml:space="preserve">Anzualdo Castro Vs. Perú </w:t>
      </w:r>
      <w:r w:rsidRPr="00D13792">
        <w:rPr>
          <w:sz w:val="20"/>
          <w:szCs w:val="20"/>
        </w:rPr>
        <w:t xml:space="preserve">de </w:t>
      </w:r>
      <w:r w:rsidRPr="00D13792">
        <w:rPr>
          <w:rStyle w:val="Strong"/>
          <w:b w:val="0"/>
          <w:color w:val="000000"/>
          <w:sz w:val="20"/>
          <w:szCs w:val="20"/>
          <w:shd w:val="clear" w:color="auto" w:fill="FFFFFF"/>
        </w:rPr>
        <w:t>22 de septiembre de 2009</w:t>
      </w:r>
      <w:r w:rsidRPr="00D13792">
        <w:rPr>
          <w:sz w:val="20"/>
          <w:szCs w:val="20"/>
        </w:rPr>
        <w:t xml:space="preserve">, consideró que la práctica de desaparición forzada puede conllevar una violación específica del artículo 3 de la Convención Americana, ya que busca no solo una de las más graves formas de sustracción de una persona de todo ámbito del ordenamiento jurídico, sino también negar </w:t>
      </w:r>
      <w:r w:rsidRPr="00D13792">
        <w:rPr>
          <w:rFonts w:cs="Verdana"/>
          <w:sz w:val="20"/>
          <w:szCs w:val="20"/>
        </w:rPr>
        <w:t xml:space="preserve">su existencia misma y dejarla en una suerte de limbo o situación de indeterminación jurídica ante la sociedad, el Estado e inclusive la comunidad internacional. De igual manera, </w:t>
      </w:r>
      <w:r w:rsidRPr="00D13792">
        <w:rPr>
          <w:rFonts w:cs="Helvetica"/>
          <w:iCs/>
          <w:sz w:val="20"/>
          <w:szCs w:val="20"/>
        </w:rPr>
        <w:t xml:space="preserve">“en casos de desaparición forzada de personas se deja a la víctima en una situación de indeterminación jurídica que imposibilita, obstaculiza </w:t>
      </w:r>
      <w:r w:rsidRPr="00D13792">
        <w:rPr>
          <w:rFonts w:cs="Times"/>
          <w:sz w:val="20"/>
          <w:szCs w:val="20"/>
        </w:rPr>
        <w:t xml:space="preserve">o </w:t>
      </w:r>
      <w:r w:rsidRPr="00D13792">
        <w:rPr>
          <w:rFonts w:cs="Helvetica"/>
          <w:iCs/>
          <w:sz w:val="20"/>
          <w:szCs w:val="20"/>
        </w:rPr>
        <w:t xml:space="preserve">anula la posibilidad de la persona de ser titular </w:t>
      </w:r>
      <w:r w:rsidRPr="00D13792">
        <w:rPr>
          <w:rFonts w:cs="Times"/>
          <w:sz w:val="20"/>
          <w:szCs w:val="20"/>
        </w:rPr>
        <w:t xml:space="preserve">o </w:t>
      </w:r>
      <w:r w:rsidRPr="00D13792">
        <w:rPr>
          <w:rFonts w:cs="Helvetica"/>
          <w:iCs/>
          <w:sz w:val="20"/>
          <w:szCs w:val="20"/>
        </w:rPr>
        <w:t>ejercer en forma efectiva sus derechos en general, en una de las más graves formas de incumplimiento de las obligaciones estatales de respetar</w:t>
      </w:r>
      <w:r w:rsidRPr="00D13792">
        <w:rPr>
          <w:rFonts w:cs="Times"/>
          <w:iCs/>
          <w:sz w:val="20"/>
          <w:szCs w:val="20"/>
        </w:rPr>
        <w:t xml:space="preserve"> y </w:t>
      </w:r>
      <w:r w:rsidRPr="00D13792">
        <w:rPr>
          <w:rFonts w:cs="Helvetica"/>
          <w:iCs/>
          <w:sz w:val="20"/>
          <w:szCs w:val="20"/>
        </w:rPr>
        <w:t>garantizar los derechos humanos”</w:t>
      </w:r>
      <w:r w:rsidRPr="00D13792">
        <w:rPr>
          <w:rStyle w:val="FootnoteReference"/>
          <w:rFonts w:cs="Helvetica"/>
          <w:iCs/>
          <w:sz w:val="20"/>
          <w:szCs w:val="20"/>
        </w:rPr>
        <w:footnoteReference w:id="177"/>
      </w:r>
      <w:r w:rsidRPr="00D13792">
        <w:rPr>
          <w:rFonts w:cs="Helvetica"/>
          <w:iCs/>
          <w:sz w:val="20"/>
          <w:szCs w:val="20"/>
        </w:rPr>
        <w:t>.</w:t>
      </w:r>
      <w:r w:rsidRPr="00D13792">
        <w:rPr>
          <w:sz w:val="20"/>
          <w:szCs w:val="20"/>
        </w:rPr>
        <w:t xml:space="preserve"> La Corte ha reiterado esta posición en sus fallos posteriores</w:t>
      </w:r>
      <w:r w:rsidRPr="00D13792">
        <w:rPr>
          <w:rStyle w:val="FootnoteReference"/>
          <w:sz w:val="20"/>
          <w:szCs w:val="20"/>
        </w:rPr>
        <w:footnoteReference w:id="178"/>
      </w:r>
      <w:r w:rsidRPr="00D13792">
        <w:rPr>
          <w:sz w:val="20"/>
          <w:szCs w:val="20"/>
        </w:rPr>
        <w:t>. En el presente caso, el Tribunal considera que las 22 víctimas señaladas fueron puestas en una situación de indeterminación jurídica que impidió su posibilidad de ser titulares o ejercer en forma efectiva sus derechos en general, por lo cual se generó una violación de su derecho al reconocimiento de la personalidad jurídica.</w:t>
      </w:r>
    </w:p>
    <w:p w:rsidR="006A0E1C" w:rsidRPr="00D13792" w:rsidRDefault="006A0E1C" w:rsidP="006A0E1C">
      <w:pPr>
        <w:tabs>
          <w:tab w:val="left" w:pos="567"/>
        </w:tabs>
        <w:spacing w:line="240" w:lineRule="auto"/>
        <w:ind w:right="4"/>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En virtud de todo lo expuesto, el Tribunal concluye que Guatemala incurrió en responsabilidad internacional por la desaparición forzada de las 22 víctimas señaladas (</w:t>
      </w:r>
      <w:r w:rsidRPr="00D13792">
        <w:rPr>
          <w:i/>
          <w:sz w:val="20"/>
          <w:szCs w:val="20"/>
        </w:rPr>
        <w:t>supra</w:t>
      </w:r>
      <w:r w:rsidRPr="00D13792">
        <w:rPr>
          <w:sz w:val="20"/>
          <w:szCs w:val="20"/>
        </w:rPr>
        <w:t xml:space="preserve"> párrs. 155 y 156), y que es responsable de la violación de los artículos 7, 5.1 y 5.2, 4.1 y 3 de la Convención Americana, en relación con el artículo 1.1 del mismo instrumento y en relación con lo dispuesto en el artículo I.a) de la Convención Interamericana sobre Desaparición Forzada de Personas</w:t>
      </w:r>
      <w:r w:rsidRPr="00D13792">
        <w:rPr>
          <w:rStyle w:val="FootnoteReference"/>
          <w:sz w:val="20"/>
          <w:szCs w:val="20"/>
        </w:rPr>
        <w:footnoteReference w:id="179"/>
      </w:r>
      <w:r w:rsidRPr="00D13792">
        <w:rPr>
          <w:sz w:val="20"/>
          <w:szCs w:val="20"/>
        </w:rPr>
        <w:t>, en perjuicio de aquellas personas.</w:t>
      </w:r>
    </w:p>
    <w:p w:rsidR="006A0E1C" w:rsidRPr="00D13792" w:rsidRDefault="006A0E1C" w:rsidP="006A0E1C">
      <w:pPr>
        <w:pStyle w:val="Heading3"/>
        <w:ind w:left="0"/>
        <w:rPr>
          <w:lang w:val="es-CR"/>
        </w:rPr>
      </w:pPr>
    </w:p>
    <w:p w:rsidR="006A0E1C" w:rsidRPr="00D13792" w:rsidRDefault="006A0E1C" w:rsidP="006A0E1C">
      <w:pPr>
        <w:pStyle w:val="Heading3"/>
        <w:ind w:left="0"/>
        <w:rPr>
          <w:i/>
          <w:lang w:val="es-CR"/>
        </w:rPr>
      </w:pPr>
      <w:bookmarkStart w:id="203" w:name="_Toc460938878"/>
      <w:bookmarkStart w:id="204" w:name="_Toc469670045"/>
      <w:r w:rsidRPr="00D13792">
        <w:rPr>
          <w:i/>
          <w:lang w:val="es-CR"/>
        </w:rPr>
        <w:t>B.3. Derecho a la integridad personal y a la protección a la familia en perjuicio de los familiares de las víctimas de desaparición forzada</w:t>
      </w:r>
      <w:bookmarkEnd w:id="203"/>
      <w:bookmarkEnd w:id="204"/>
    </w:p>
    <w:p w:rsidR="006A0E1C" w:rsidRPr="00D13792" w:rsidRDefault="006A0E1C" w:rsidP="006A0E1C">
      <w:pPr>
        <w:spacing w:line="240" w:lineRule="auto"/>
        <w:rPr>
          <w:b/>
          <w:i/>
          <w:sz w:val="20"/>
          <w:szCs w:val="20"/>
        </w:rPr>
      </w:pPr>
    </w:p>
    <w:p w:rsidR="006A0E1C" w:rsidRPr="00D13792" w:rsidRDefault="006A0E1C" w:rsidP="006A0E1C">
      <w:pPr>
        <w:numPr>
          <w:ilvl w:val="0"/>
          <w:numId w:val="6"/>
        </w:numPr>
        <w:tabs>
          <w:tab w:val="left" w:pos="567"/>
        </w:tabs>
        <w:spacing w:line="240" w:lineRule="auto"/>
        <w:ind w:right="4"/>
        <w:rPr>
          <w:b/>
          <w:i/>
          <w:sz w:val="20"/>
          <w:szCs w:val="20"/>
        </w:rPr>
      </w:pPr>
      <w:bookmarkStart w:id="205" w:name="_Ref405772293"/>
      <w:r w:rsidRPr="00D13792">
        <w:rPr>
          <w:sz w:val="20"/>
          <w:szCs w:val="20"/>
        </w:rPr>
        <w:t>La</w:t>
      </w:r>
      <w:r w:rsidRPr="00D13792">
        <w:rPr>
          <w:spacing w:val="-2"/>
          <w:sz w:val="20"/>
          <w:szCs w:val="20"/>
        </w:rPr>
        <w:t xml:space="preserve"> Corte ha afirmado en reiteradas oportunidades que los familiares de las víctimas de violaciones de los derechos humanos pueden ser, a su vez, víctimas. </w:t>
      </w:r>
      <w:bookmarkStart w:id="206" w:name="_Ref396293104"/>
      <w:bookmarkEnd w:id="205"/>
      <w:r w:rsidRPr="00D13792">
        <w:rPr>
          <w:rFonts w:eastAsia="Calibri"/>
          <w:spacing w:val="-2"/>
          <w:sz w:val="20"/>
          <w:szCs w:val="20"/>
        </w:rPr>
        <w:t xml:space="preserve">Asimismo, el Tribunal ha considerado que en casos que involucran la desaparición forzada de personas, es posible entender que la violación del derecho a la integridad psíquica y moral de los familiares de la víctima es una consecuencia directa de ese fenómeno, que les </w:t>
      </w:r>
      <w:r w:rsidRPr="00D13792">
        <w:rPr>
          <w:spacing w:val="-2"/>
          <w:sz w:val="20"/>
          <w:szCs w:val="20"/>
        </w:rPr>
        <w:t>causa</w:t>
      </w:r>
      <w:r w:rsidRPr="00D13792">
        <w:rPr>
          <w:rFonts w:eastAsia="Calibri"/>
          <w:spacing w:val="-2"/>
          <w:sz w:val="20"/>
          <w:szCs w:val="20"/>
        </w:rPr>
        <w:t xml:space="preserve"> un severo sufrimiento por el hecho mismo, que se acrecienta, entre otros factores, por la constante negativa de las autoridades estatales de proporcionar información acerca del paradero de la víctima o de realizar una investigación eficaz para lograr el esclarecimiento de lo sucedido. Estas afectaciones hacen presumir un daño a la integridad psíquica y moral de los familiares en casos de desapariciones forzadas. En casos anteriores, la Corte ha establecido que dicha presunción se establece </w:t>
      </w:r>
      <w:r w:rsidRPr="00D13792">
        <w:rPr>
          <w:rFonts w:eastAsia="Calibri"/>
          <w:i/>
          <w:spacing w:val="-2"/>
          <w:sz w:val="20"/>
          <w:szCs w:val="20"/>
        </w:rPr>
        <w:t xml:space="preserve">iuris tantum </w:t>
      </w:r>
      <w:r w:rsidRPr="00D13792">
        <w:rPr>
          <w:rFonts w:eastAsia="Calibri"/>
          <w:spacing w:val="-2"/>
          <w:sz w:val="20"/>
          <w:szCs w:val="20"/>
        </w:rPr>
        <w:t>respecto de madres y padres, hijas e hijos, cónyuges, compañeros y compañeras permanentes, así como hermanas y hermanos de las víctimas desaparecidas, salvo que se demuestre lo contrario por las circunstancias específicas del caso</w:t>
      </w:r>
      <w:r w:rsidRPr="00D13792">
        <w:rPr>
          <w:rStyle w:val="FootnoteReference"/>
          <w:rFonts w:eastAsia="Calibri"/>
          <w:spacing w:val="-2"/>
          <w:sz w:val="20"/>
          <w:szCs w:val="20"/>
        </w:rPr>
        <w:footnoteReference w:id="180"/>
      </w:r>
      <w:r w:rsidRPr="00D13792">
        <w:rPr>
          <w:rFonts w:eastAsia="Calibri"/>
          <w:spacing w:val="-2"/>
          <w:sz w:val="20"/>
          <w:szCs w:val="20"/>
        </w:rPr>
        <w:t>.</w:t>
      </w:r>
      <w:bookmarkEnd w:id="206"/>
    </w:p>
    <w:p w:rsidR="006A0E1C" w:rsidRPr="00D13792" w:rsidRDefault="006A0E1C" w:rsidP="006A0E1C">
      <w:pPr>
        <w:spacing w:line="240" w:lineRule="auto"/>
        <w:rPr>
          <w:b/>
          <w:i/>
          <w:sz w:val="20"/>
          <w:szCs w:val="20"/>
        </w:rPr>
      </w:pPr>
    </w:p>
    <w:p w:rsidR="006A0E1C" w:rsidRPr="00D13792" w:rsidRDefault="006A0E1C" w:rsidP="006A0E1C">
      <w:pPr>
        <w:numPr>
          <w:ilvl w:val="0"/>
          <w:numId w:val="6"/>
        </w:numPr>
        <w:tabs>
          <w:tab w:val="left" w:pos="567"/>
        </w:tabs>
        <w:spacing w:line="240" w:lineRule="auto"/>
        <w:ind w:right="4"/>
        <w:rPr>
          <w:rFonts w:eastAsia="Calibri"/>
          <w:spacing w:val="-2"/>
          <w:sz w:val="20"/>
          <w:szCs w:val="20"/>
        </w:rPr>
      </w:pPr>
      <w:r w:rsidRPr="00D13792">
        <w:rPr>
          <w:rFonts w:eastAsia="Calibri" w:cs="Arial"/>
          <w:spacing w:val="-2"/>
          <w:sz w:val="20"/>
          <w:szCs w:val="20"/>
        </w:rPr>
        <w:t xml:space="preserve">La Corte </w:t>
      </w:r>
      <w:r w:rsidRPr="00D13792">
        <w:rPr>
          <w:rFonts w:eastAsia="Calibri"/>
          <w:spacing w:val="-2"/>
          <w:sz w:val="20"/>
          <w:szCs w:val="20"/>
        </w:rPr>
        <w:t>declaró la responsabilidad internacional de Guatemala por la desaparición forzada de 22 víctimas del presente caso. El Estado, más allá de los argumentos expuestos (</w:t>
      </w:r>
      <w:r w:rsidRPr="00D13792">
        <w:rPr>
          <w:rFonts w:eastAsia="Calibri"/>
          <w:i/>
          <w:spacing w:val="-2"/>
          <w:sz w:val="20"/>
          <w:szCs w:val="20"/>
        </w:rPr>
        <w:t>supra</w:t>
      </w:r>
      <w:r w:rsidRPr="00D13792">
        <w:rPr>
          <w:rFonts w:eastAsia="Calibri"/>
          <w:spacing w:val="-2"/>
          <w:sz w:val="20"/>
          <w:szCs w:val="20"/>
        </w:rPr>
        <w:t xml:space="preserve"> párrs. 128 a 130),</w:t>
      </w:r>
      <w:r w:rsidRPr="00D13792">
        <w:rPr>
          <w:spacing w:val="-2"/>
          <w:sz w:val="20"/>
          <w:szCs w:val="20"/>
        </w:rPr>
        <w:t xml:space="preserve"> no aportó prueba en contrario que desvirtúe la presunción </w:t>
      </w:r>
      <w:r w:rsidRPr="00D13792">
        <w:rPr>
          <w:i/>
          <w:spacing w:val="-2"/>
          <w:sz w:val="20"/>
          <w:szCs w:val="20"/>
        </w:rPr>
        <w:t>i</w:t>
      </w:r>
      <w:r w:rsidRPr="00D13792">
        <w:rPr>
          <w:rFonts w:eastAsia="Calibri"/>
          <w:i/>
          <w:spacing w:val="-2"/>
          <w:sz w:val="20"/>
          <w:szCs w:val="20"/>
        </w:rPr>
        <w:t>uris tantum</w:t>
      </w:r>
      <w:r w:rsidRPr="00D13792">
        <w:rPr>
          <w:rFonts w:eastAsia="Calibri"/>
          <w:spacing w:val="-2"/>
          <w:sz w:val="20"/>
          <w:szCs w:val="20"/>
        </w:rPr>
        <w:t xml:space="preserve"> respecto </w:t>
      </w:r>
      <w:r w:rsidRPr="00D13792">
        <w:rPr>
          <w:spacing w:val="-2"/>
          <w:sz w:val="20"/>
          <w:szCs w:val="20"/>
        </w:rPr>
        <w:t xml:space="preserve">al </w:t>
      </w:r>
      <w:r w:rsidRPr="00D13792">
        <w:rPr>
          <w:rFonts w:eastAsia="Calibri"/>
          <w:spacing w:val="-2"/>
          <w:sz w:val="20"/>
          <w:szCs w:val="20"/>
        </w:rPr>
        <w:t>severo sufrimiento de los familiares</w:t>
      </w:r>
      <w:r w:rsidRPr="00D13792">
        <w:rPr>
          <w:spacing w:val="-2"/>
          <w:sz w:val="20"/>
          <w:szCs w:val="20"/>
        </w:rPr>
        <w:t xml:space="preserve"> en </w:t>
      </w:r>
      <w:r w:rsidRPr="00D13792">
        <w:rPr>
          <w:rFonts w:eastAsia="Calibri"/>
          <w:spacing w:val="-2"/>
          <w:sz w:val="20"/>
          <w:szCs w:val="20"/>
        </w:rPr>
        <w:t>las circunstancias particulares del presente caso</w:t>
      </w:r>
      <w:r w:rsidRPr="00D13792">
        <w:rPr>
          <w:spacing w:val="-2"/>
          <w:sz w:val="20"/>
          <w:szCs w:val="20"/>
        </w:rPr>
        <w:t xml:space="preserve">, y tampoco </w:t>
      </w:r>
      <w:r w:rsidRPr="00D13792">
        <w:rPr>
          <w:rFonts w:eastAsia="Calibri"/>
          <w:spacing w:val="-2"/>
          <w:sz w:val="20"/>
          <w:szCs w:val="20"/>
        </w:rPr>
        <w:t>desvirtuó la calidad de familiares de las víctimas desaparecidas</w:t>
      </w:r>
      <w:r w:rsidRPr="00D13792">
        <w:rPr>
          <w:rFonts w:eastAsia="Calibri" w:cs="Arial"/>
          <w:spacing w:val="-2"/>
          <w:sz w:val="20"/>
          <w:szCs w:val="20"/>
        </w:rPr>
        <w:t xml:space="preserve">. Por tanto, </w:t>
      </w:r>
      <w:r w:rsidRPr="00D13792">
        <w:rPr>
          <w:rFonts w:eastAsia="Calibri"/>
          <w:spacing w:val="-2"/>
          <w:sz w:val="20"/>
          <w:szCs w:val="20"/>
        </w:rPr>
        <w:t xml:space="preserve">la Corte considera suficientemente fundada la presunción del daño a su integridad psíquica y moral. </w:t>
      </w:r>
    </w:p>
    <w:p w:rsidR="006A0E1C" w:rsidRPr="00D13792" w:rsidRDefault="006A0E1C" w:rsidP="006A0E1C">
      <w:pPr>
        <w:pStyle w:val="ListParagraph"/>
        <w:spacing w:after="0" w:line="240" w:lineRule="auto"/>
        <w:rPr>
          <w:rFonts w:ascii="Verdana" w:hAnsi="Verdana"/>
          <w:sz w:val="20"/>
          <w:lang w:val="es-CR"/>
        </w:rPr>
      </w:pPr>
    </w:p>
    <w:p w:rsidR="006A0E1C" w:rsidRPr="00D13792" w:rsidRDefault="006A0E1C" w:rsidP="006A0E1C">
      <w:pPr>
        <w:numPr>
          <w:ilvl w:val="0"/>
          <w:numId w:val="6"/>
        </w:numPr>
        <w:tabs>
          <w:tab w:val="left" w:pos="567"/>
        </w:tabs>
        <w:spacing w:line="240" w:lineRule="auto"/>
        <w:ind w:right="4"/>
        <w:rPr>
          <w:rFonts w:eastAsia="Calibri"/>
          <w:b/>
          <w:spacing w:val="-2"/>
          <w:sz w:val="20"/>
          <w:szCs w:val="20"/>
          <w:u w:val="single"/>
        </w:rPr>
      </w:pPr>
      <w:r w:rsidRPr="00D13792">
        <w:rPr>
          <w:sz w:val="20"/>
          <w:szCs w:val="20"/>
        </w:rPr>
        <w:t xml:space="preserve">La Corte considera que los familiares de las 22 personas que han sido víctimas de desaparición forzada son víctimas de violación a su integridad personal debido al sufrimiento causado por la incertidumbre de conocer lo sucedido a sus familiares, el duelo no concluido, la negativa de las autoridades estatales de proporcionar información sobre </w:t>
      </w:r>
      <w:r w:rsidRPr="00D13792">
        <w:rPr>
          <w:spacing w:val="-2"/>
          <w:sz w:val="20"/>
          <w:szCs w:val="20"/>
        </w:rPr>
        <w:t>la suerte o el paradero de dichas persona</w:t>
      </w:r>
      <w:r w:rsidRPr="00D13792">
        <w:rPr>
          <w:sz w:val="20"/>
          <w:szCs w:val="20"/>
        </w:rPr>
        <w:t xml:space="preserve">s que permitiera a los familiares determinar con certidumbre su vida o muerte y la desidia investigativa por parte de las autoridades estatales para atender las denuncias e investigar lo sucedido. </w:t>
      </w:r>
    </w:p>
    <w:p w:rsidR="006A0E1C" w:rsidRPr="00D13792" w:rsidRDefault="006A0E1C" w:rsidP="006A0E1C">
      <w:pPr>
        <w:tabs>
          <w:tab w:val="left" w:pos="567"/>
        </w:tabs>
        <w:spacing w:line="240" w:lineRule="auto"/>
        <w:ind w:right="4"/>
        <w:rPr>
          <w:rFonts w:eastAsia="Calibri"/>
          <w:b/>
          <w:spacing w:val="-2"/>
          <w:sz w:val="20"/>
          <w:szCs w:val="20"/>
          <w:u w:val="single"/>
        </w:rPr>
      </w:pPr>
    </w:p>
    <w:p w:rsidR="006A0E1C" w:rsidRPr="00D13792" w:rsidRDefault="006A0E1C" w:rsidP="006A0E1C">
      <w:pPr>
        <w:numPr>
          <w:ilvl w:val="0"/>
          <w:numId w:val="6"/>
        </w:numPr>
        <w:tabs>
          <w:tab w:val="left" w:pos="567"/>
        </w:tabs>
        <w:spacing w:line="240" w:lineRule="auto"/>
        <w:ind w:right="4"/>
        <w:rPr>
          <w:rFonts w:eastAsia="Calibri"/>
          <w:spacing w:val="-2"/>
          <w:sz w:val="20"/>
          <w:szCs w:val="20"/>
        </w:rPr>
      </w:pPr>
      <w:r w:rsidRPr="00D13792">
        <w:rPr>
          <w:spacing w:val="-2"/>
          <w:sz w:val="20"/>
          <w:szCs w:val="20"/>
        </w:rPr>
        <w:t xml:space="preserve">Por todo lo anterior, el </w:t>
      </w:r>
      <w:r w:rsidRPr="00D13792">
        <w:rPr>
          <w:rFonts w:cs="Arial"/>
          <w:spacing w:val="-2"/>
          <w:sz w:val="20"/>
          <w:szCs w:val="20"/>
        </w:rPr>
        <w:t>Tribunal</w:t>
      </w:r>
      <w:r w:rsidRPr="00D13792">
        <w:rPr>
          <w:spacing w:val="-2"/>
          <w:sz w:val="20"/>
          <w:szCs w:val="20"/>
        </w:rPr>
        <w:t xml:space="preserve"> concluye que el Estado violó el derecho a la integridad psíquica y </w:t>
      </w:r>
      <w:r w:rsidRPr="00D13792">
        <w:rPr>
          <w:sz w:val="20"/>
          <w:szCs w:val="20"/>
        </w:rPr>
        <w:t>moral</w:t>
      </w:r>
      <w:r w:rsidRPr="00D13792">
        <w:rPr>
          <w:spacing w:val="-2"/>
          <w:sz w:val="20"/>
          <w:szCs w:val="20"/>
        </w:rPr>
        <w:t xml:space="preserve"> </w:t>
      </w:r>
      <w:r w:rsidRPr="00D13792">
        <w:rPr>
          <w:rFonts w:eastAsia="Calibri"/>
          <w:spacing w:val="-2"/>
          <w:sz w:val="20"/>
          <w:szCs w:val="20"/>
        </w:rPr>
        <w:t>establecido</w:t>
      </w:r>
      <w:r w:rsidRPr="00D13792">
        <w:rPr>
          <w:spacing w:val="-2"/>
          <w:sz w:val="20"/>
          <w:szCs w:val="20"/>
        </w:rPr>
        <w:t xml:space="preserve"> en el artículo 5.1 de la Convención Americana, en relación con el artículo 1.1 del mismo instrumento, en perjuicio de los familiares de las 22 víctimas de desaparición forzada</w:t>
      </w:r>
      <w:r w:rsidRPr="00D13792">
        <w:rPr>
          <w:bCs/>
          <w:spacing w:val="-2"/>
          <w:sz w:val="20"/>
          <w:szCs w:val="20"/>
        </w:rPr>
        <w:t xml:space="preserve">. </w:t>
      </w:r>
      <w:r w:rsidRPr="00D13792">
        <w:rPr>
          <w:rFonts w:eastAsia="Batang" w:cs="Times"/>
          <w:sz w:val="20"/>
          <w:szCs w:val="20"/>
        </w:rPr>
        <w:t xml:space="preserve">Los nombres de tales personas se </w:t>
      </w:r>
      <w:r w:rsidRPr="00D13792">
        <w:rPr>
          <w:sz w:val="20"/>
          <w:szCs w:val="20"/>
        </w:rPr>
        <w:t>encuentran</w:t>
      </w:r>
      <w:r w:rsidRPr="00D13792">
        <w:rPr>
          <w:rFonts w:eastAsia="Batang" w:cs="Times"/>
          <w:sz w:val="20"/>
          <w:szCs w:val="20"/>
        </w:rPr>
        <w:t xml:space="preserve"> en el Anexo I de esta Sentencia.</w:t>
      </w:r>
    </w:p>
    <w:p w:rsidR="006A0E1C" w:rsidRPr="00D13792" w:rsidRDefault="006A0E1C" w:rsidP="006A0E1C">
      <w:pPr>
        <w:pStyle w:val="ListParagraph"/>
        <w:spacing w:after="0" w:line="240" w:lineRule="auto"/>
        <w:rPr>
          <w:rFonts w:cs="Arial"/>
          <w:sz w:val="20"/>
          <w:szCs w:val="20"/>
          <w:lang w:val="es-CR"/>
        </w:rPr>
      </w:pPr>
    </w:p>
    <w:p w:rsidR="006A0E1C" w:rsidRPr="00D13792" w:rsidRDefault="006A0E1C" w:rsidP="006A0E1C">
      <w:pPr>
        <w:numPr>
          <w:ilvl w:val="0"/>
          <w:numId w:val="6"/>
        </w:numPr>
        <w:tabs>
          <w:tab w:val="left" w:pos="567"/>
        </w:tabs>
        <w:spacing w:line="240" w:lineRule="auto"/>
        <w:ind w:right="4"/>
        <w:rPr>
          <w:rFonts w:eastAsia="Calibri"/>
          <w:spacing w:val="-2"/>
          <w:sz w:val="20"/>
          <w:szCs w:val="20"/>
        </w:rPr>
      </w:pPr>
      <w:r w:rsidRPr="00D13792">
        <w:rPr>
          <w:sz w:val="20"/>
          <w:szCs w:val="20"/>
        </w:rPr>
        <w:t>Ahora</w:t>
      </w:r>
      <w:r w:rsidRPr="00D13792">
        <w:rPr>
          <w:rFonts w:eastAsia="Calibri" w:cs="Arial"/>
          <w:spacing w:val="-2"/>
          <w:sz w:val="20"/>
          <w:szCs w:val="20"/>
        </w:rPr>
        <w:t xml:space="preserve"> bien, en cuanto a la alegada violación del derecho de protección a la familia, la Corte nota, p</w:t>
      </w:r>
      <w:r w:rsidRPr="00D13792">
        <w:rPr>
          <w:bCs/>
          <w:spacing w:val="-2"/>
          <w:sz w:val="20"/>
          <w:szCs w:val="20"/>
        </w:rPr>
        <w:t xml:space="preserve">rimero, que en el presente caso </w:t>
      </w:r>
      <w:r w:rsidRPr="00D13792">
        <w:rPr>
          <w:rFonts w:eastAsia="Calibri" w:cs="Arial"/>
          <w:spacing w:val="-2"/>
          <w:sz w:val="20"/>
          <w:szCs w:val="20"/>
        </w:rPr>
        <w:t xml:space="preserve">algunas víctimas de desaparición forzada </w:t>
      </w:r>
      <w:r w:rsidRPr="00D13792">
        <w:rPr>
          <w:sz w:val="20"/>
          <w:szCs w:val="20"/>
        </w:rPr>
        <w:t>mantenían</w:t>
      </w:r>
      <w:r w:rsidRPr="00D13792">
        <w:rPr>
          <w:rFonts w:eastAsia="Calibri" w:cs="Arial"/>
          <w:spacing w:val="-2"/>
          <w:sz w:val="20"/>
          <w:szCs w:val="20"/>
        </w:rPr>
        <w:t xml:space="preserve"> entre ellas vínculos familiares estrechos, esto es, padres, madres, hijos, hermanos y sobrino</w:t>
      </w:r>
      <w:r w:rsidRPr="00D13792">
        <w:rPr>
          <w:sz w:val="20"/>
          <w:szCs w:val="20"/>
        </w:rPr>
        <w:t>, por lo que las familias de estas víctimas tuvieron que enfrentar el dolor de la desaparición forzada de varios de sus miembros, acrecentando con ello el impacto de lo vivido</w:t>
      </w:r>
      <w:r w:rsidRPr="00D13792">
        <w:rPr>
          <w:rStyle w:val="FootnoteReference"/>
          <w:sz w:val="20"/>
          <w:szCs w:val="20"/>
        </w:rPr>
        <w:footnoteReference w:id="181"/>
      </w:r>
      <w:r w:rsidRPr="00D13792">
        <w:rPr>
          <w:sz w:val="20"/>
          <w:szCs w:val="20"/>
        </w:rPr>
        <w:t xml:space="preserve">. Segundo, en una gran mayoría de los casos, los familiares presenciaron la detención de las víctimas en sus propias viviendas o en las inmediaciones, las cuales se llevaron a cabo por los agentes de seguridad del Estado, y esa fue la última vez que los vieron con vida. En consecuencia, el modo en que se realizaron dichas detenciones ocasionó una clara percepción de desprotección </w:t>
      </w:r>
      <w:r w:rsidRPr="00D13792">
        <w:rPr>
          <w:sz w:val="20"/>
          <w:szCs w:val="20"/>
        </w:rPr>
        <w:lastRenderedPageBreak/>
        <w:t>en las familias que persistió en el tiempo</w:t>
      </w:r>
      <w:r w:rsidRPr="00D13792">
        <w:rPr>
          <w:rStyle w:val="FootnoteReference"/>
          <w:sz w:val="20"/>
          <w:szCs w:val="20"/>
        </w:rPr>
        <w:footnoteReference w:id="182"/>
      </w:r>
      <w:r w:rsidRPr="00D13792">
        <w:rPr>
          <w:sz w:val="20"/>
          <w:szCs w:val="20"/>
        </w:rPr>
        <w:t xml:space="preserve">. Tercero, la falta de un entierro de acuerdo con las tradiciones de la cultura maya achí rompió las relaciones de reciprocidad y armonía entre vivos </w:t>
      </w:r>
      <w:r w:rsidRPr="00D13792">
        <w:rPr>
          <w:rFonts w:cs="Arial"/>
          <w:sz w:val="20"/>
          <w:szCs w:val="20"/>
        </w:rPr>
        <w:t xml:space="preserve">y </w:t>
      </w:r>
      <w:r w:rsidRPr="00D13792">
        <w:rPr>
          <w:sz w:val="20"/>
          <w:szCs w:val="20"/>
        </w:rPr>
        <w:t>muertos, afectando la unión de las familias con sus ancestros</w:t>
      </w:r>
      <w:r w:rsidRPr="00D13792">
        <w:rPr>
          <w:rStyle w:val="FootnoteReference"/>
          <w:sz w:val="20"/>
          <w:szCs w:val="20"/>
        </w:rPr>
        <w:footnoteReference w:id="183"/>
      </w:r>
      <w:r w:rsidRPr="00D13792">
        <w:rPr>
          <w:sz w:val="20"/>
          <w:szCs w:val="20"/>
        </w:rPr>
        <w:t xml:space="preserve">. Cuarto, la desaparición forzada y el desplazamiento provocó la separación y/o desintegración de las familias, tal como se analiza en el siguiente Capítulo </w:t>
      </w:r>
      <w:r w:rsidRPr="00D13792">
        <w:rPr>
          <w:i/>
          <w:sz w:val="20"/>
          <w:szCs w:val="20"/>
        </w:rPr>
        <w:t>infra</w:t>
      </w:r>
      <w:r w:rsidRPr="00D13792">
        <w:rPr>
          <w:sz w:val="20"/>
          <w:szCs w:val="20"/>
        </w:rPr>
        <w:t xml:space="preserve">. </w:t>
      </w:r>
    </w:p>
    <w:p w:rsidR="006A0E1C" w:rsidRPr="00D13792" w:rsidRDefault="006A0E1C" w:rsidP="006A0E1C">
      <w:pPr>
        <w:tabs>
          <w:tab w:val="left" w:pos="567"/>
        </w:tabs>
        <w:spacing w:line="240" w:lineRule="auto"/>
        <w:ind w:right="4"/>
        <w:rPr>
          <w:rFonts w:eastAsia="Calibri"/>
          <w:b/>
          <w:spacing w:val="-2"/>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sz w:val="20"/>
          <w:szCs w:val="20"/>
        </w:rPr>
        <w:t>Por tales motivos, el Tribunal considera que en este caso Guatemala también violó el artículo 17.1 de la Convención Americana, en relación con el artículo 1.1 del mismo instrumento, en perjuicio de los familiares de las 22 víctimas de desaparición forzada.</w:t>
      </w:r>
    </w:p>
    <w:p w:rsidR="006A0E1C" w:rsidRPr="00D13792" w:rsidRDefault="006A0E1C" w:rsidP="006A0E1C">
      <w:pPr>
        <w:pStyle w:val="Heading1"/>
        <w:rPr>
          <w:lang w:val="es-CR"/>
        </w:rPr>
      </w:pPr>
    </w:p>
    <w:p w:rsidR="006A0E1C" w:rsidRPr="00D13792" w:rsidRDefault="006A0E1C" w:rsidP="006A0E1C">
      <w:pPr>
        <w:pStyle w:val="Heading1"/>
        <w:rPr>
          <w:lang w:val="es-CR"/>
        </w:rPr>
      </w:pPr>
      <w:bookmarkStart w:id="207" w:name="_Toc469670046"/>
      <w:r w:rsidRPr="00D13792">
        <w:rPr>
          <w:lang w:val="es-CR"/>
        </w:rPr>
        <w:t>IX.II</w:t>
      </w:r>
      <w:bookmarkEnd w:id="207"/>
    </w:p>
    <w:p w:rsidR="006A0E1C" w:rsidRPr="00D13792" w:rsidRDefault="006A0E1C" w:rsidP="006A0E1C">
      <w:pPr>
        <w:pStyle w:val="Heading1"/>
        <w:rPr>
          <w:lang w:val="es-CR"/>
        </w:rPr>
      </w:pPr>
      <w:bookmarkStart w:id="208" w:name="_Toc469670047"/>
      <w:bookmarkStart w:id="209" w:name="_Toc365021448"/>
      <w:bookmarkStart w:id="210" w:name="_Toc369076826"/>
      <w:bookmarkStart w:id="211" w:name="_Toc369989407"/>
      <w:bookmarkStart w:id="212" w:name="_Toc369989494"/>
      <w:bookmarkStart w:id="213" w:name="_Toc369989775"/>
      <w:bookmarkStart w:id="214" w:name="_Toc375154257"/>
      <w:r w:rsidRPr="00D13792">
        <w:rPr>
          <w:lang w:val="es-CR"/>
        </w:rPr>
        <w:t>DERECHO DE CIRCULACIÓN Y RESIDENCIA</w:t>
      </w:r>
      <w:r w:rsidRPr="00D13792">
        <w:rPr>
          <w:rStyle w:val="FootnoteReference"/>
          <w:lang w:val="es-CR"/>
        </w:rPr>
        <w:footnoteReference w:id="184"/>
      </w:r>
      <w:bookmarkEnd w:id="208"/>
    </w:p>
    <w:p w:rsidR="006A0E1C" w:rsidRPr="00D13792" w:rsidRDefault="006A0E1C" w:rsidP="006A0E1C">
      <w:pPr>
        <w:widowControl/>
        <w:adjustRightInd/>
        <w:spacing w:line="240" w:lineRule="auto"/>
        <w:jc w:val="left"/>
        <w:textAlignment w:val="auto"/>
        <w:rPr>
          <w:rFonts w:eastAsia="Times"/>
          <w:b/>
          <w:i/>
          <w:caps/>
          <w:sz w:val="16"/>
          <w:szCs w:val="20"/>
          <w:lang w:eastAsia="en-US"/>
        </w:rPr>
      </w:pPr>
    </w:p>
    <w:p w:rsidR="006A0E1C" w:rsidRPr="00D13792" w:rsidRDefault="006A0E1C" w:rsidP="006A0E1C">
      <w:pPr>
        <w:pStyle w:val="Heading2"/>
        <w:numPr>
          <w:ilvl w:val="0"/>
          <w:numId w:val="39"/>
        </w:numPr>
        <w:tabs>
          <w:tab w:val="clear" w:pos="720"/>
        </w:tabs>
        <w:ind w:left="0" w:firstLine="0"/>
        <w:rPr>
          <w:rFonts w:eastAsia="Times"/>
          <w:caps/>
          <w:lang w:val="es-CR"/>
        </w:rPr>
      </w:pPr>
      <w:bookmarkStart w:id="215" w:name="_Toc469670048"/>
      <w:r w:rsidRPr="00D13792">
        <w:rPr>
          <w:rFonts w:eastAsia="Times"/>
          <w:lang w:val="es-CR"/>
        </w:rPr>
        <w:t>Argumentos de la Comisión y de las partes</w:t>
      </w:r>
      <w:bookmarkEnd w:id="209"/>
      <w:bookmarkEnd w:id="210"/>
      <w:bookmarkEnd w:id="211"/>
      <w:bookmarkEnd w:id="212"/>
      <w:bookmarkEnd w:id="213"/>
      <w:bookmarkEnd w:id="214"/>
      <w:bookmarkEnd w:id="215"/>
    </w:p>
    <w:p w:rsidR="006A0E1C" w:rsidRPr="00D13792" w:rsidRDefault="006A0E1C" w:rsidP="006A0E1C">
      <w:pPr>
        <w:widowControl/>
        <w:adjustRightInd/>
        <w:spacing w:line="240" w:lineRule="auto"/>
        <w:jc w:val="left"/>
        <w:textAlignment w:val="auto"/>
        <w:rPr>
          <w:rFonts w:eastAsia="Times"/>
          <w:b/>
          <w:i/>
          <w:sz w:val="16"/>
          <w:szCs w:val="20"/>
        </w:rPr>
      </w:pPr>
    </w:p>
    <w:p w:rsidR="006A0E1C" w:rsidRPr="00D13792" w:rsidRDefault="006A0E1C" w:rsidP="006A0E1C">
      <w:pPr>
        <w:numPr>
          <w:ilvl w:val="0"/>
          <w:numId w:val="6"/>
        </w:numPr>
        <w:spacing w:line="240" w:lineRule="auto"/>
        <w:ind w:right="4"/>
        <w:rPr>
          <w:rFonts w:eastAsia="Times" w:cs="Arial"/>
          <w:b/>
          <w:sz w:val="20"/>
          <w:szCs w:val="20"/>
        </w:rPr>
      </w:pPr>
      <w:r w:rsidRPr="00D13792">
        <w:rPr>
          <w:rFonts w:eastAsia="Times" w:cs="Arial"/>
          <w:sz w:val="20"/>
          <w:szCs w:val="20"/>
        </w:rPr>
        <w:t xml:space="preserve">La </w:t>
      </w:r>
      <w:r w:rsidRPr="00D13792">
        <w:rPr>
          <w:rFonts w:eastAsia="Times" w:cs="Arial"/>
          <w:b/>
          <w:i/>
          <w:sz w:val="20"/>
          <w:szCs w:val="20"/>
        </w:rPr>
        <w:t>Comisión</w:t>
      </w:r>
      <w:r w:rsidRPr="00D13792">
        <w:rPr>
          <w:rFonts w:eastAsia="Times" w:cs="Arial"/>
          <w:sz w:val="20"/>
          <w:szCs w:val="20"/>
        </w:rPr>
        <w:t xml:space="preserve"> alegó</w:t>
      </w:r>
      <w:r w:rsidRPr="00D13792">
        <w:rPr>
          <w:rFonts w:eastAsia="Times"/>
          <w:sz w:val="20"/>
          <w:szCs w:val="20"/>
        </w:rPr>
        <w:t xml:space="preserve"> </w:t>
      </w:r>
      <w:r w:rsidRPr="00D13792">
        <w:rPr>
          <w:sz w:val="20"/>
          <w:szCs w:val="20"/>
        </w:rPr>
        <w:t>que</w:t>
      </w:r>
      <w:r w:rsidRPr="00D13792">
        <w:rPr>
          <w:rFonts w:eastAsia="Times"/>
          <w:sz w:val="20"/>
          <w:szCs w:val="20"/>
        </w:rPr>
        <w:t xml:space="preserve"> los miembros de Chichupac y comunidades vecinas se vieron forzados a abandonar su </w:t>
      </w:r>
      <w:r w:rsidRPr="00D13792">
        <w:rPr>
          <w:sz w:val="20"/>
          <w:szCs w:val="20"/>
        </w:rPr>
        <w:t>aldea</w:t>
      </w:r>
      <w:r w:rsidRPr="00D13792">
        <w:rPr>
          <w:rFonts w:eastAsia="Times"/>
          <w:sz w:val="20"/>
          <w:szCs w:val="20"/>
        </w:rPr>
        <w:t xml:space="preserve">, dejando destruidas o abandonadas sus pertenencias, sus casas y sus </w:t>
      </w:r>
      <w:r w:rsidRPr="00D13792">
        <w:rPr>
          <w:spacing w:val="-2"/>
          <w:sz w:val="20"/>
          <w:szCs w:val="20"/>
        </w:rPr>
        <w:t>tierras</w:t>
      </w:r>
      <w:r w:rsidRPr="00D13792">
        <w:rPr>
          <w:rFonts w:eastAsia="Times"/>
          <w:sz w:val="20"/>
          <w:szCs w:val="20"/>
        </w:rPr>
        <w:t xml:space="preserve">, y a desplazarse en un principio a comunidades vecinas o a las montañas. Destacó que, en dicho </w:t>
      </w:r>
      <w:r w:rsidRPr="00D13792">
        <w:rPr>
          <w:spacing w:val="-2"/>
          <w:sz w:val="20"/>
          <w:szCs w:val="20"/>
        </w:rPr>
        <w:t>contexto</w:t>
      </w:r>
      <w:r w:rsidRPr="00D13792">
        <w:rPr>
          <w:rFonts w:eastAsia="Times"/>
          <w:sz w:val="20"/>
          <w:szCs w:val="20"/>
        </w:rPr>
        <w:t xml:space="preserve"> de miedo e inseguridad debido a la persecución del Estado, estas personas vivieron por varios meses y años luchando para sobrevivir las amenazas y persecuciones, el hambre y la falta de acceso a servicios de salud y educación. Sostuvo que a partir de fines de 1983, los sobrevivientes de la aldea Chichupac fueron reasentados en la aldea modelo establecida por el Ejército Nacional, en condiciones de vida precarias y sujetos a control militar permanente.</w:t>
      </w:r>
      <w:r w:rsidRPr="00D13792">
        <w:rPr>
          <w:rFonts w:eastAsia="Times" w:cs="Arial"/>
          <w:sz w:val="20"/>
          <w:szCs w:val="20"/>
        </w:rPr>
        <w:t xml:space="preserve"> </w:t>
      </w:r>
      <w:r w:rsidRPr="00D13792">
        <w:rPr>
          <w:rFonts w:eastAsia="Times"/>
          <w:sz w:val="20"/>
          <w:szCs w:val="20"/>
        </w:rPr>
        <w:t>Además, observó que los hechos del caso se enmarcan en una situación generalizada de desplazamiento forzado interno que afectó especialmente a la población indígena y que fue causada por los hechos de terror a los que fue sometida en el marco del conflicto armado. Por lo tanto, concluyó que Guatemala es responsable de la violación del artículo 22.1 de la Convención, en relación con el artículo 1.1 de dicho tratado, en perjuicio de los sobrevivientes de la aldea Chichupac y comunidades vecinas.</w:t>
      </w:r>
      <w:r w:rsidRPr="00D13792">
        <w:rPr>
          <w:rFonts w:eastAsia="Times" w:cs="Arial"/>
          <w:b/>
          <w:sz w:val="20"/>
          <w:szCs w:val="20"/>
        </w:rPr>
        <w:t xml:space="preserve"> </w:t>
      </w:r>
    </w:p>
    <w:p w:rsidR="006A0E1C" w:rsidRPr="00D13792" w:rsidRDefault="006A0E1C" w:rsidP="006A0E1C">
      <w:pPr>
        <w:widowControl/>
        <w:autoSpaceDE w:val="0"/>
        <w:autoSpaceDN w:val="0"/>
        <w:spacing w:line="240" w:lineRule="auto"/>
        <w:textAlignment w:val="auto"/>
        <w:rPr>
          <w:rFonts w:eastAsia="Times" w:cs="Arial"/>
          <w:b/>
          <w:sz w:val="20"/>
          <w:szCs w:val="20"/>
          <w:lang w:eastAsia="en-US"/>
        </w:rPr>
      </w:pPr>
    </w:p>
    <w:p w:rsidR="006A0E1C" w:rsidRPr="00D13792" w:rsidRDefault="006A0E1C" w:rsidP="006A0E1C">
      <w:pPr>
        <w:numPr>
          <w:ilvl w:val="0"/>
          <w:numId w:val="6"/>
        </w:numPr>
        <w:spacing w:line="240" w:lineRule="auto"/>
        <w:ind w:right="4"/>
        <w:rPr>
          <w:rFonts w:eastAsia="Times"/>
          <w:b/>
          <w:sz w:val="20"/>
          <w:szCs w:val="20"/>
        </w:rPr>
      </w:pPr>
      <w:r w:rsidRPr="00D13792">
        <w:rPr>
          <w:rFonts w:eastAsia="Times"/>
          <w:sz w:val="20"/>
          <w:szCs w:val="20"/>
        </w:rPr>
        <w:t xml:space="preserve">En sus observaciones finales, la Comisión señaló que el desplazamiento forzado ha permanecido por años y son </w:t>
      </w:r>
      <w:r w:rsidRPr="00D13792">
        <w:rPr>
          <w:sz w:val="20"/>
          <w:szCs w:val="20"/>
        </w:rPr>
        <w:t>hechos</w:t>
      </w:r>
      <w:r w:rsidRPr="00D13792">
        <w:rPr>
          <w:rFonts w:eastAsia="Times"/>
          <w:sz w:val="20"/>
          <w:szCs w:val="20"/>
        </w:rPr>
        <w:t xml:space="preserve"> que tienen una naturaleza de carácter continuo o de tracto sucesivo. Argumentó que además del desplazamiento forzado, en el presente caso ocurrieron otras violaciones </w:t>
      </w:r>
      <w:r w:rsidRPr="00D13792">
        <w:rPr>
          <w:sz w:val="20"/>
          <w:szCs w:val="20"/>
        </w:rPr>
        <w:t>conexas</w:t>
      </w:r>
      <w:r w:rsidRPr="00D13792">
        <w:rPr>
          <w:rFonts w:eastAsia="Times"/>
          <w:sz w:val="20"/>
          <w:szCs w:val="20"/>
        </w:rPr>
        <w:t xml:space="preserve"> que han continuado y cuyos efectos se han extendido en el tiempo debido a la omisión prolongada del Estado de ofrecer una respuesta adecuada en </w:t>
      </w:r>
      <w:r w:rsidRPr="00D13792">
        <w:rPr>
          <w:sz w:val="20"/>
          <w:szCs w:val="20"/>
        </w:rPr>
        <w:t>materia</w:t>
      </w:r>
      <w:r w:rsidRPr="00D13792">
        <w:rPr>
          <w:rFonts w:eastAsia="Times"/>
          <w:sz w:val="20"/>
          <w:szCs w:val="20"/>
        </w:rPr>
        <w:t xml:space="preserve"> de reparación. Al respecto, señaló que la continuidad de la destrucción de la estructura social, la desvinculación con los líderes comunitarios y la pérdida de las prácticas culturales y tradicionales, así como del idioma maya achí, siguen destruyendo y aniquilando la cultura maya, en perjuicio de los sobrevivientes y las comunidades vecinas.</w:t>
      </w:r>
      <w:r w:rsidRPr="00D13792">
        <w:rPr>
          <w:rFonts w:eastAsia="Times"/>
          <w:b/>
          <w:sz w:val="20"/>
          <w:szCs w:val="20"/>
        </w:rPr>
        <w:t xml:space="preserve"> </w:t>
      </w:r>
      <w:r w:rsidRPr="00D13792">
        <w:rPr>
          <w:rFonts w:eastAsia="Times"/>
          <w:sz w:val="20"/>
          <w:szCs w:val="20"/>
        </w:rPr>
        <w:t xml:space="preserve">Sobre esto último, alegó la vulneración de </w:t>
      </w:r>
      <w:r w:rsidRPr="00D13792">
        <w:rPr>
          <w:rFonts w:eastAsia="Calibri" w:cs="Cambria"/>
          <w:sz w:val="20"/>
          <w:szCs w:val="20"/>
        </w:rPr>
        <w:t>la libertad de consciencia y religión y la libertad de asociación, establecidos en los artículos 12 y 16 de la Convención.</w:t>
      </w:r>
    </w:p>
    <w:p w:rsidR="006A0E1C" w:rsidRPr="00D13792" w:rsidRDefault="006A0E1C" w:rsidP="006A0E1C">
      <w:pPr>
        <w:widowControl/>
        <w:adjustRightInd/>
        <w:spacing w:line="240" w:lineRule="auto"/>
        <w:textAlignment w:val="auto"/>
        <w:rPr>
          <w:rFonts w:cs="Arial"/>
          <w:b/>
          <w:sz w:val="20"/>
          <w:szCs w:val="20"/>
          <w:lang w:eastAsia="en-US"/>
        </w:rPr>
      </w:pPr>
    </w:p>
    <w:p w:rsidR="006A0E1C" w:rsidRPr="00D13792" w:rsidRDefault="006A0E1C" w:rsidP="006A0E1C">
      <w:pPr>
        <w:numPr>
          <w:ilvl w:val="0"/>
          <w:numId w:val="6"/>
        </w:numPr>
        <w:spacing w:line="240" w:lineRule="auto"/>
        <w:ind w:right="4"/>
        <w:rPr>
          <w:rFonts w:eastAsia="Times"/>
          <w:b/>
          <w:sz w:val="20"/>
          <w:szCs w:val="20"/>
        </w:rPr>
      </w:pPr>
      <w:r w:rsidRPr="00D13792">
        <w:rPr>
          <w:rFonts w:eastAsia="Times" w:cs="Arial"/>
          <w:sz w:val="20"/>
          <w:szCs w:val="20"/>
        </w:rPr>
        <w:lastRenderedPageBreak/>
        <w:t>Los</w:t>
      </w:r>
      <w:r w:rsidRPr="00D13792">
        <w:rPr>
          <w:rFonts w:eastAsia="Times"/>
          <w:sz w:val="20"/>
          <w:szCs w:val="20"/>
        </w:rPr>
        <w:t xml:space="preserve"> </w:t>
      </w:r>
      <w:r w:rsidRPr="00D13792">
        <w:rPr>
          <w:rFonts w:eastAsia="Times"/>
          <w:b/>
          <w:i/>
          <w:sz w:val="20"/>
          <w:szCs w:val="20"/>
        </w:rPr>
        <w:t>representantes</w:t>
      </w:r>
      <w:r w:rsidRPr="00D13792">
        <w:rPr>
          <w:rFonts w:eastAsia="Times"/>
          <w:sz w:val="20"/>
          <w:szCs w:val="20"/>
        </w:rPr>
        <w:t xml:space="preserve"> coincidieron con la Comisión en que el Estado violó los derechos a la circulación y la residencia de las presuntas víctimas, quienes sufrieron el desplazamiento forzado, masivo y colectivo, y expulsión, debido a las fuerzas represivas estatales, y tuvieron que huir de sus comunidades y territorios ancestrales, refugiándose en otros lugares. </w:t>
      </w:r>
      <w:r w:rsidRPr="00D13792">
        <w:rPr>
          <w:rFonts w:eastAsia="Times" w:cs="Arial"/>
          <w:sz w:val="20"/>
          <w:szCs w:val="20"/>
        </w:rPr>
        <w:t xml:space="preserve">Señalaron que el Estado aseguró la imposibilidad </w:t>
      </w:r>
      <w:r w:rsidRPr="00D13792">
        <w:rPr>
          <w:rFonts w:eastAsia="Calibri" w:cs="Calibri"/>
          <w:sz w:val="20"/>
          <w:szCs w:val="20"/>
        </w:rPr>
        <w:t>de retorno de dichas personas a través de la destrucción de viviendas, bienes, cosechas y animales de las víctimas. Así, enfrentaron la pérdida de sus</w:t>
      </w:r>
      <w:r w:rsidRPr="00D13792">
        <w:rPr>
          <w:rFonts w:eastAsia="Times"/>
          <w:sz w:val="20"/>
          <w:szCs w:val="20"/>
        </w:rPr>
        <w:t xml:space="preserve"> tierras ancestrales, </w:t>
      </w:r>
      <w:r w:rsidRPr="00D13792">
        <w:rPr>
          <w:rFonts w:eastAsia="Calibri" w:cs="Calibri"/>
          <w:sz w:val="20"/>
          <w:szCs w:val="20"/>
        </w:rPr>
        <w:t xml:space="preserve">la falta de garantía de no repetición de estos hechos y el miedo. </w:t>
      </w:r>
      <w:r w:rsidRPr="00D13792">
        <w:rPr>
          <w:rFonts w:eastAsia="Times" w:cs="Arial"/>
          <w:sz w:val="20"/>
          <w:szCs w:val="20"/>
        </w:rPr>
        <w:t xml:space="preserve">Finalmente, aseguraron que el Estado no ha propiciado las condiciones para el retorno de todos los miembros de la comunidad, razón por la cual, </w:t>
      </w:r>
      <w:r w:rsidRPr="00D13792">
        <w:rPr>
          <w:rFonts w:eastAsia="Times"/>
          <w:sz w:val="20"/>
          <w:szCs w:val="20"/>
        </w:rPr>
        <w:t xml:space="preserve">la afectación configurada a través del desplazamiento </w:t>
      </w:r>
      <w:r w:rsidRPr="00D13792">
        <w:rPr>
          <w:sz w:val="20"/>
          <w:szCs w:val="20"/>
        </w:rPr>
        <w:t>forzado</w:t>
      </w:r>
      <w:r w:rsidRPr="00D13792">
        <w:rPr>
          <w:rFonts w:eastAsia="Times"/>
          <w:sz w:val="20"/>
          <w:szCs w:val="20"/>
        </w:rPr>
        <w:t xml:space="preserve"> persiste a través del tiempo y continúa hasta la presente fecha. En consecuencia, consideraron que Guatemala vulneró el artículo 22 de la Convención, así como el 1.1 de ese mismo instrumento, en perjuicio de las personas que identificaron como víctimas y sobrevivientes de la aldea Chichupac y comunidades vecinas del municipio de Rabinal que </w:t>
      </w:r>
      <w:r w:rsidRPr="00D13792">
        <w:rPr>
          <w:rFonts w:eastAsia="Calibri" w:cs="Verdana"/>
          <w:sz w:val="20"/>
          <w:szCs w:val="20"/>
        </w:rPr>
        <w:t>regresaron después del 9 de marzo de 1987 y/o que hasta la presente fecha se encuentran en situación de desplazamiento</w:t>
      </w:r>
      <w:r w:rsidRPr="00D13792">
        <w:rPr>
          <w:rFonts w:eastAsia="Times"/>
          <w:sz w:val="20"/>
          <w:szCs w:val="20"/>
        </w:rPr>
        <w:t>.</w:t>
      </w:r>
      <w:r w:rsidRPr="00D13792">
        <w:rPr>
          <w:rFonts w:eastAsia="Times"/>
          <w:b/>
          <w:sz w:val="20"/>
          <w:szCs w:val="20"/>
        </w:rPr>
        <w:t xml:space="preserve"> </w:t>
      </w:r>
    </w:p>
    <w:p w:rsidR="006A0E1C" w:rsidRPr="00D13792" w:rsidRDefault="006A0E1C" w:rsidP="006A0E1C">
      <w:pPr>
        <w:widowControl/>
        <w:adjustRightInd/>
        <w:spacing w:line="240" w:lineRule="auto"/>
        <w:contextualSpacing/>
        <w:textAlignment w:val="auto"/>
        <w:rPr>
          <w:rFonts w:eastAsia="Times"/>
          <w:b/>
          <w:sz w:val="20"/>
          <w:szCs w:val="20"/>
          <w:lang w:eastAsia="en-US"/>
        </w:rPr>
      </w:pPr>
    </w:p>
    <w:p w:rsidR="006A0E1C" w:rsidRPr="00D13792" w:rsidRDefault="006A0E1C" w:rsidP="006A0E1C">
      <w:pPr>
        <w:numPr>
          <w:ilvl w:val="0"/>
          <w:numId w:val="6"/>
        </w:numPr>
        <w:spacing w:line="240" w:lineRule="auto"/>
        <w:ind w:right="4"/>
        <w:rPr>
          <w:rFonts w:eastAsia="Times"/>
          <w:b/>
          <w:sz w:val="20"/>
          <w:szCs w:val="20"/>
        </w:rPr>
      </w:pPr>
      <w:r w:rsidRPr="00D13792">
        <w:rPr>
          <w:rFonts w:eastAsia="Times"/>
          <w:sz w:val="20"/>
          <w:szCs w:val="20"/>
        </w:rPr>
        <w:t xml:space="preserve">En sus alegatos finales, los representantes sostuvieron que el desarraigo de sus tierras y de su cultura aún persiste para muchísimas familias. Señalaron también que las víctimas sobrevivientes, aparte del daño moral intenso causado por la política de tierra arrasada y por los actos de genocidio, sufrieron </w:t>
      </w:r>
      <w:r w:rsidRPr="00D13792">
        <w:rPr>
          <w:rFonts w:eastAsia="Calibri" w:cs="Verdana"/>
          <w:sz w:val="20"/>
          <w:szCs w:val="20"/>
        </w:rPr>
        <w:t>un daño cultural, social y colectivo irreparable por la destrucción del tejido social de dichas comunidades.</w:t>
      </w:r>
      <w:r w:rsidRPr="00D13792">
        <w:rPr>
          <w:rFonts w:eastAsia="Calibri" w:cs="Verdana"/>
          <w:b/>
          <w:sz w:val="20"/>
          <w:szCs w:val="20"/>
        </w:rPr>
        <w:t xml:space="preserve"> </w:t>
      </w:r>
      <w:r w:rsidRPr="00D13792">
        <w:rPr>
          <w:rFonts w:eastAsia="Calibri" w:cs="Verdana"/>
          <w:sz w:val="20"/>
          <w:szCs w:val="20"/>
        </w:rPr>
        <w:t xml:space="preserve">Argumentaron que el desplazamiento forzado ha significado un cambio brutal en el proyecto de vida de las familias. Muchos pasaron violentamente a vivir a un contexto urbano o semiurbano, después de vivir toda su vida en áreas rurales del país, y de ser agricultores a trabajar como peones, ayudantes, en maquilas o en otros trabajos. Muchos de ellos viven en áreas marginales de la ciudad de Guatemala, en el casco urbano de Rabinal, en otros departamentos del país o incluso fuera de Guatemala. </w:t>
      </w:r>
    </w:p>
    <w:p w:rsidR="006A0E1C" w:rsidRPr="00D13792" w:rsidRDefault="006A0E1C" w:rsidP="006A0E1C">
      <w:pPr>
        <w:widowControl/>
        <w:adjustRightInd/>
        <w:spacing w:line="240" w:lineRule="auto"/>
        <w:contextualSpacing/>
        <w:textAlignment w:val="auto"/>
        <w:rPr>
          <w:rFonts w:eastAsia="Times"/>
          <w:b/>
          <w:sz w:val="20"/>
          <w:szCs w:val="20"/>
          <w:lang w:eastAsia="en-US"/>
        </w:rPr>
      </w:pPr>
    </w:p>
    <w:p w:rsidR="006A0E1C" w:rsidRPr="00D13792" w:rsidRDefault="006A0E1C" w:rsidP="006A0E1C">
      <w:pPr>
        <w:numPr>
          <w:ilvl w:val="0"/>
          <w:numId w:val="6"/>
        </w:numPr>
        <w:spacing w:line="240" w:lineRule="auto"/>
        <w:ind w:right="4"/>
        <w:rPr>
          <w:rFonts w:eastAsia="Times"/>
          <w:b/>
          <w:i/>
          <w:sz w:val="20"/>
          <w:szCs w:val="20"/>
          <w:lang w:eastAsia="es-ES"/>
        </w:rPr>
      </w:pPr>
      <w:r w:rsidRPr="00D13792">
        <w:rPr>
          <w:rFonts w:eastAsia="Times" w:cs="Arial"/>
          <w:sz w:val="20"/>
          <w:szCs w:val="20"/>
        </w:rPr>
        <w:t>El</w:t>
      </w:r>
      <w:r w:rsidRPr="00D13792">
        <w:rPr>
          <w:rFonts w:eastAsia="Calibri"/>
          <w:sz w:val="20"/>
          <w:szCs w:val="20"/>
        </w:rPr>
        <w:t xml:space="preserve"> </w:t>
      </w:r>
      <w:r w:rsidRPr="00D13792">
        <w:rPr>
          <w:rFonts w:eastAsia="Calibri"/>
          <w:b/>
          <w:i/>
          <w:sz w:val="20"/>
          <w:szCs w:val="20"/>
        </w:rPr>
        <w:t>Estado</w:t>
      </w:r>
      <w:r w:rsidRPr="00D13792">
        <w:rPr>
          <w:rFonts w:eastAsia="Calibri"/>
          <w:sz w:val="20"/>
          <w:szCs w:val="20"/>
        </w:rPr>
        <w:t xml:space="preserve"> indicó que dentro de su normativa interna, reconoce y garantiza el derecho de residencia y </w:t>
      </w:r>
      <w:r w:rsidRPr="00D13792">
        <w:rPr>
          <w:sz w:val="20"/>
          <w:szCs w:val="20"/>
        </w:rPr>
        <w:t>permanencia</w:t>
      </w:r>
      <w:r w:rsidRPr="00D13792">
        <w:rPr>
          <w:rFonts w:eastAsia="Calibri"/>
          <w:sz w:val="20"/>
          <w:szCs w:val="20"/>
        </w:rPr>
        <w:t xml:space="preserve"> en su territorio nacional, así como el derecho de libre circulación. A su vez, se opuso a que la Corte conozca estos hechos, ya que los mismos habrían ocurrido antes de la fecha en que la Corte tuviera competencia.</w:t>
      </w:r>
      <w:bookmarkStart w:id="216" w:name="_Toc448482264"/>
    </w:p>
    <w:p w:rsidR="006A0E1C" w:rsidRPr="00D13792" w:rsidRDefault="006A0E1C" w:rsidP="006A0E1C">
      <w:pPr>
        <w:pStyle w:val="Heading2"/>
        <w:rPr>
          <w:rFonts w:eastAsia="Times"/>
          <w:lang w:val="es-CR"/>
        </w:rPr>
      </w:pPr>
    </w:p>
    <w:p w:rsidR="006A0E1C" w:rsidRPr="00D13792" w:rsidRDefault="006A0E1C" w:rsidP="006A0E1C">
      <w:pPr>
        <w:pStyle w:val="Heading2"/>
        <w:numPr>
          <w:ilvl w:val="0"/>
          <w:numId w:val="39"/>
        </w:numPr>
        <w:tabs>
          <w:tab w:val="clear" w:pos="720"/>
        </w:tabs>
        <w:ind w:left="0" w:firstLine="0"/>
        <w:rPr>
          <w:rFonts w:eastAsia="Calibri"/>
          <w:lang w:val="es-CR" w:eastAsia="en-US"/>
        </w:rPr>
      </w:pPr>
      <w:bookmarkStart w:id="217" w:name="_Toc469670049"/>
      <w:r w:rsidRPr="00D13792">
        <w:rPr>
          <w:rFonts w:eastAsia="Times"/>
          <w:lang w:val="es-CR"/>
        </w:rPr>
        <w:t>Consideraciones</w:t>
      </w:r>
      <w:r w:rsidRPr="00D13792">
        <w:rPr>
          <w:rFonts w:eastAsia="Calibri"/>
          <w:lang w:val="es-CR" w:eastAsia="en-US"/>
        </w:rPr>
        <w:t xml:space="preserve"> de la Corte</w:t>
      </w:r>
      <w:bookmarkEnd w:id="216"/>
      <w:bookmarkEnd w:id="217"/>
    </w:p>
    <w:p w:rsidR="006A0E1C" w:rsidRPr="00D13792" w:rsidRDefault="006A0E1C" w:rsidP="006A0E1C">
      <w:pPr>
        <w:autoSpaceDE w:val="0"/>
        <w:autoSpaceDN w:val="0"/>
        <w:spacing w:line="240" w:lineRule="auto"/>
        <w:textAlignment w:val="auto"/>
        <w:rPr>
          <w:rFonts w:eastAsia="Times"/>
          <w:b/>
          <w:i/>
          <w:sz w:val="20"/>
          <w:szCs w:val="20"/>
          <w:lang w:eastAsia="en-US"/>
        </w:rPr>
      </w:pPr>
    </w:p>
    <w:p w:rsidR="006A0E1C" w:rsidRPr="00D13792" w:rsidRDefault="006A0E1C" w:rsidP="006A0E1C">
      <w:pPr>
        <w:numPr>
          <w:ilvl w:val="0"/>
          <w:numId w:val="6"/>
        </w:numPr>
        <w:spacing w:line="240" w:lineRule="auto"/>
        <w:ind w:right="4"/>
        <w:rPr>
          <w:rFonts w:eastAsia="Times"/>
          <w:sz w:val="20"/>
          <w:szCs w:val="20"/>
        </w:rPr>
      </w:pPr>
      <w:r w:rsidRPr="00D13792">
        <w:rPr>
          <w:rFonts w:eastAsia="Times"/>
          <w:sz w:val="20"/>
          <w:szCs w:val="20"/>
        </w:rPr>
        <w:t xml:space="preserve">El </w:t>
      </w:r>
      <w:r w:rsidRPr="00D13792">
        <w:rPr>
          <w:sz w:val="20"/>
          <w:szCs w:val="20"/>
        </w:rPr>
        <w:t>artículo</w:t>
      </w:r>
      <w:r w:rsidRPr="00D13792">
        <w:rPr>
          <w:rFonts w:eastAsia="Times"/>
          <w:sz w:val="20"/>
          <w:szCs w:val="20"/>
        </w:rPr>
        <w:t xml:space="preserve"> 22.1 de la Convención reconoce el derecho de circulación y de residencia</w:t>
      </w:r>
      <w:r w:rsidRPr="00D13792">
        <w:rPr>
          <w:rFonts w:eastAsia="Times"/>
          <w:sz w:val="20"/>
          <w:szCs w:val="20"/>
          <w:vertAlign w:val="superscript"/>
        </w:rPr>
        <w:footnoteReference w:id="185"/>
      </w:r>
      <w:r w:rsidRPr="00D13792">
        <w:rPr>
          <w:rFonts w:eastAsia="Times"/>
          <w:sz w:val="20"/>
          <w:szCs w:val="20"/>
        </w:rPr>
        <w:t>. La Corte ha establecido en otros casos que este artículo también protege el derecho a no ser desplazado forzadamente dentro de un Estado Parte</w:t>
      </w:r>
      <w:r w:rsidRPr="00D13792">
        <w:rPr>
          <w:rFonts w:eastAsia="Times"/>
          <w:sz w:val="20"/>
          <w:szCs w:val="20"/>
          <w:vertAlign w:val="superscript"/>
        </w:rPr>
        <w:footnoteReference w:id="186"/>
      </w:r>
      <w:r w:rsidRPr="00D13792">
        <w:rPr>
          <w:rFonts w:eastAsia="Times"/>
          <w:sz w:val="20"/>
          <w:szCs w:val="20"/>
        </w:rPr>
        <w:t>, y que los Principios Rectores de los Desplazamientos Internos de las Naciones Unidas</w:t>
      </w:r>
      <w:r w:rsidRPr="00D13792">
        <w:rPr>
          <w:rFonts w:eastAsia="Times"/>
          <w:sz w:val="20"/>
          <w:szCs w:val="20"/>
          <w:vertAlign w:val="superscript"/>
        </w:rPr>
        <w:footnoteReference w:id="187"/>
      </w:r>
      <w:r w:rsidRPr="00D13792">
        <w:rPr>
          <w:rFonts w:eastAsia="Times"/>
          <w:sz w:val="20"/>
          <w:szCs w:val="20"/>
        </w:rPr>
        <w:t xml:space="preserve"> resultan particularmente relevantes para </w:t>
      </w:r>
      <w:r w:rsidRPr="00D13792">
        <w:rPr>
          <w:rFonts w:eastAsia="Times"/>
          <w:sz w:val="20"/>
          <w:szCs w:val="20"/>
        </w:rPr>
        <w:lastRenderedPageBreak/>
        <w:t>determinar su contenido y alcance</w:t>
      </w:r>
      <w:r w:rsidRPr="00D13792">
        <w:rPr>
          <w:rFonts w:eastAsia="Times"/>
          <w:sz w:val="20"/>
          <w:szCs w:val="20"/>
          <w:vertAlign w:val="superscript"/>
        </w:rPr>
        <w:footnoteReference w:id="188"/>
      </w:r>
      <w:r w:rsidRPr="00D13792">
        <w:rPr>
          <w:rFonts w:eastAsia="Times"/>
          <w:sz w:val="20"/>
          <w:szCs w:val="20"/>
        </w:rPr>
        <w:t>. Aquellos definen que “se entiende por desplazados internos las personas o grupos de personas que se han visto forzadas u obligadas a escapar o huir de su hogar o de su lugar de residencia habitual, en particular como resultado o para evitar los efectos de un conflicto armado, de situaciones de violencia generalizada, de violaciones de los derechos humanos […], y que no han cruzado una frontera estatal internacionalmente reconocida”</w:t>
      </w:r>
      <w:r w:rsidRPr="00D13792">
        <w:rPr>
          <w:rFonts w:eastAsia="Times"/>
          <w:sz w:val="20"/>
          <w:szCs w:val="20"/>
          <w:vertAlign w:val="superscript"/>
        </w:rPr>
        <w:footnoteReference w:id="189"/>
      </w:r>
      <w:r w:rsidRPr="00D13792">
        <w:rPr>
          <w:rFonts w:eastAsia="Times"/>
          <w:sz w:val="20"/>
          <w:szCs w:val="20"/>
        </w:rPr>
        <w:t>.</w:t>
      </w:r>
    </w:p>
    <w:p w:rsidR="006A0E1C" w:rsidRPr="00D13792" w:rsidRDefault="006A0E1C" w:rsidP="006A0E1C">
      <w:pPr>
        <w:autoSpaceDE w:val="0"/>
        <w:autoSpaceDN w:val="0"/>
        <w:spacing w:line="240" w:lineRule="auto"/>
        <w:textAlignment w:val="auto"/>
        <w:rPr>
          <w:rFonts w:eastAsia="Times"/>
          <w:sz w:val="20"/>
          <w:szCs w:val="20"/>
          <w:lang w:eastAsia="en-US"/>
        </w:rPr>
      </w:pPr>
    </w:p>
    <w:p w:rsidR="006A0E1C" w:rsidRPr="00D13792" w:rsidRDefault="006A0E1C" w:rsidP="006A0E1C">
      <w:pPr>
        <w:numPr>
          <w:ilvl w:val="0"/>
          <w:numId w:val="6"/>
        </w:numPr>
        <w:spacing w:line="240" w:lineRule="auto"/>
        <w:ind w:right="4"/>
        <w:rPr>
          <w:rFonts w:eastAsia="Times"/>
          <w:sz w:val="20"/>
          <w:szCs w:val="20"/>
        </w:rPr>
      </w:pPr>
      <w:r w:rsidRPr="00D13792">
        <w:rPr>
          <w:rFonts w:eastAsia="Times"/>
          <w:sz w:val="20"/>
          <w:szCs w:val="20"/>
        </w:rPr>
        <w:t xml:space="preserve">Este Tribunal ha establecido que en razón de la complejidad del fenómeno del desplazamiento interno y de la amplia gama de derechos humanos que afecta o se ponen en riesgo, y en atención a las circunstancias de especial vulnerabilidad e indefensión en que generalmente se encuentran los desplazados, su situación puede ser entendida como una condición </w:t>
      </w:r>
      <w:r w:rsidRPr="00D13792">
        <w:rPr>
          <w:rFonts w:eastAsia="Times"/>
          <w:i/>
          <w:sz w:val="20"/>
          <w:szCs w:val="20"/>
        </w:rPr>
        <w:t>de</w:t>
      </w:r>
      <w:r w:rsidRPr="00D13792">
        <w:rPr>
          <w:rFonts w:eastAsia="Times"/>
          <w:sz w:val="20"/>
          <w:szCs w:val="20"/>
        </w:rPr>
        <w:t xml:space="preserve"> </w:t>
      </w:r>
      <w:r w:rsidRPr="00D13792">
        <w:rPr>
          <w:rFonts w:eastAsia="Times"/>
          <w:i/>
          <w:sz w:val="20"/>
          <w:szCs w:val="20"/>
        </w:rPr>
        <w:t>facto</w:t>
      </w:r>
      <w:r w:rsidRPr="00D13792">
        <w:rPr>
          <w:rFonts w:eastAsia="Times"/>
          <w:sz w:val="20"/>
          <w:szCs w:val="20"/>
        </w:rPr>
        <w:t xml:space="preserve"> de desprotección. Esta situación, conforme a la Convención Americana, obliga a los Estados a adoptar medidas de carácter positivo para revertir los efectos de su referida condición de debilidad, vulnerabilidad e indefensión, incluso respecto de las</w:t>
      </w:r>
      <w:r w:rsidRPr="00D13792">
        <w:rPr>
          <w:rFonts w:eastAsia="Times"/>
          <w:i/>
          <w:sz w:val="20"/>
          <w:szCs w:val="20"/>
        </w:rPr>
        <w:t xml:space="preserve"> </w:t>
      </w:r>
      <w:r w:rsidRPr="00D13792">
        <w:rPr>
          <w:rFonts w:eastAsia="Times"/>
          <w:sz w:val="20"/>
          <w:szCs w:val="20"/>
        </w:rPr>
        <w:t>actuaciones y prácticas de terceros particulares</w:t>
      </w:r>
      <w:r w:rsidRPr="00D13792">
        <w:rPr>
          <w:rFonts w:eastAsia="Times"/>
          <w:sz w:val="20"/>
          <w:szCs w:val="20"/>
          <w:vertAlign w:val="superscript"/>
        </w:rPr>
        <w:footnoteReference w:id="190"/>
      </w:r>
      <w:r w:rsidRPr="00D13792">
        <w:rPr>
          <w:rFonts w:eastAsia="Times"/>
          <w:sz w:val="20"/>
          <w:szCs w:val="20"/>
        </w:rPr>
        <w:t xml:space="preserve">.  </w:t>
      </w:r>
    </w:p>
    <w:p w:rsidR="006A0E1C" w:rsidRPr="00D13792" w:rsidRDefault="006A0E1C" w:rsidP="006A0E1C">
      <w:pPr>
        <w:autoSpaceDE w:val="0"/>
        <w:autoSpaceDN w:val="0"/>
        <w:spacing w:line="240" w:lineRule="auto"/>
        <w:textAlignment w:val="auto"/>
        <w:rPr>
          <w:rFonts w:eastAsia="Times"/>
          <w:sz w:val="20"/>
          <w:szCs w:val="20"/>
          <w:lang w:eastAsia="en-US"/>
        </w:rPr>
      </w:pPr>
    </w:p>
    <w:p w:rsidR="006A0E1C" w:rsidRPr="00D13792" w:rsidRDefault="006A0E1C" w:rsidP="006A0E1C">
      <w:pPr>
        <w:numPr>
          <w:ilvl w:val="0"/>
          <w:numId w:val="6"/>
        </w:numPr>
        <w:spacing w:line="240" w:lineRule="auto"/>
        <w:ind w:right="4"/>
        <w:rPr>
          <w:rFonts w:eastAsia="Times"/>
          <w:sz w:val="20"/>
          <w:szCs w:val="20"/>
        </w:rPr>
      </w:pPr>
      <w:r w:rsidRPr="00D13792">
        <w:rPr>
          <w:rFonts w:eastAsia="Times"/>
          <w:sz w:val="20"/>
          <w:szCs w:val="20"/>
        </w:rPr>
        <w:t xml:space="preserve">En este sentido, este Tribunal ha señalado que el derecho de circulación y de residencia puede ser vulnerado por restricciones </w:t>
      </w:r>
      <w:r w:rsidRPr="00D13792">
        <w:rPr>
          <w:rFonts w:eastAsia="Times"/>
          <w:i/>
          <w:sz w:val="20"/>
          <w:szCs w:val="20"/>
        </w:rPr>
        <w:t>de facto</w:t>
      </w:r>
      <w:r w:rsidRPr="00D13792">
        <w:rPr>
          <w:rFonts w:eastAsia="Times"/>
          <w:sz w:val="20"/>
          <w:szCs w:val="20"/>
        </w:rPr>
        <w:t xml:space="preserve"> si el Estado no ha establecido las condiciones ni provisto los medios que permiten ejercerlo, por ejemplo cuando una persona es víctima de amenazas u hostigamientos y el Estado no provee las garantías necesarias para que pueda transitar y residir libremente en el territorio de que se trate, incluso cuando las amenazas y hostigamientos provienen de actores no estatales. </w:t>
      </w:r>
      <w:r w:rsidRPr="00D13792">
        <w:rPr>
          <w:rFonts w:cs="Verdana"/>
          <w:sz w:val="20"/>
          <w:szCs w:val="20"/>
        </w:rPr>
        <w:t>Asimismo, la Corte ha indicado que la falta de una investigación efectiva de hechos violentos puede propiciar o perpetuar un exilio o desplazamiento forzado</w:t>
      </w:r>
      <w:r w:rsidRPr="00D13792">
        <w:rPr>
          <w:rFonts w:cs="Verdana"/>
          <w:sz w:val="20"/>
          <w:szCs w:val="20"/>
          <w:vertAlign w:val="superscript"/>
        </w:rPr>
        <w:footnoteReference w:id="191"/>
      </w:r>
      <w:r w:rsidRPr="00D13792">
        <w:rPr>
          <w:rFonts w:cs="Verdana"/>
          <w:sz w:val="20"/>
          <w:szCs w:val="20"/>
        </w:rPr>
        <w:t>.</w:t>
      </w:r>
    </w:p>
    <w:p w:rsidR="006A0E1C" w:rsidRPr="00D13792" w:rsidRDefault="006A0E1C" w:rsidP="006A0E1C">
      <w:pPr>
        <w:widowControl/>
        <w:tabs>
          <w:tab w:val="left" w:pos="720"/>
        </w:tabs>
        <w:autoSpaceDE w:val="0"/>
        <w:autoSpaceDN w:val="0"/>
        <w:adjustRightInd/>
        <w:spacing w:line="240" w:lineRule="auto"/>
        <w:textAlignment w:val="auto"/>
        <w:rPr>
          <w:rFonts w:cs="Verdana"/>
          <w:sz w:val="20"/>
          <w:szCs w:val="20"/>
          <w:lang w:eastAsia="en-US"/>
        </w:rPr>
      </w:pPr>
    </w:p>
    <w:p w:rsidR="006A0E1C" w:rsidRPr="00D13792" w:rsidRDefault="006A0E1C" w:rsidP="006A0E1C">
      <w:pPr>
        <w:numPr>
          <w:ilvl w:val="0"/>
          <w:numId w:val="6"/>
        </w:numPr>
        <w:spacing w:line="240" w:lineRule="auto"/>
        <w:ind w:right="4"/>
        <w:rPr>
          <w:rFonts w:cs="Verdana"/>
          <w:sz w:val="20"/>
          <w:szCs w:val="20"/>
        </w:rPr>
      </w:pPr>
      <w:r w:rsidRPr="00D13792">
        <w:rPr>
          <w:rFonts w:cs="Verdana"/>
          <w:sz w:val="20"/>
          <w:szCs w:val="20"/>
        </w:rPr>
        <w:t xml:space="preserve">La Corte recuerda asimismo que la obligación de garantizar el derecho de circulación y residencia también </w:t>
      </w:r>
      <w:r w:rsidRPr="00D13792">
        <w:rPr>
          <w:rFonts w:eastAsia="Times"/>
          <w:sz w:val="20"/>
          <w:szCs w:val="20"/>
        </w:rPr>
        <w:t>debe</w:t>
      </w:r>
      <w:r w:rsidRPr="00D13792">
        <w:rPr>
          <w:rFonts w:cs="Verdana"/>
          <w:sz w:val="20"/>
          <w:szCs w:val="20"/>
        </w:rPr>
        <w:t xml:space="preserve"> tomar en consideración las acciones emprendidas por el Estado para asegurar que las poblaciones desplazadas puedan regresar a sus lugares de origen sin riesgo de que se vean vulnerados sus derechos. En ese sentido, este Tribunal reafirma que la obligación de los Estados de proteger los derechos de las personas desplazadas conlleva no solo el deber de adoptar medidas de prevención sino también proveer las condiciones necesarias para un retorno digno y seguro a su lugar de residencia habitual o su reasentamiento voluntario en otra parte del país. Para ello, se debe garantizar su participación plena en la planificación y gestión de su regreso o reintegración</w:t>
      </w:r>
      <w:r w:rsidRPr="00D13792">
        <w:rPr>
          <w:rFonts w:cs="Verdana"/>
          <w:sz w:val="20"/>
          <w:szCs w:val="20"/>
          <w:vertAlign w:val="superscript"/>
        </w:rPr>
        <w:footnoteReference w:id="192"/>
      </w:r>
      <w:r w:rsidRPr="00D13792">
        <w:rPr>
          <w:rFonts w:cs="Verdana"/>
          <w:sz w:val="20"/>
          <w:szCs w:val="20"/>
        </w:rPr>
        <w:t>.</w:t>
      </w:r>
    </w:p>
    <w:p w:rsidR="006A0E1C" w:rsidRPr="00D13792" w:rsidRDefault="006A0E1C" w:rsidP="006A0E1C">
      <w:pPr>
        <w:widowControl/>
        <w:adjustRightInd/>
        <w:spacing w:line="240" w:lineRule="auto"/>
        <w:textAlignment w:val="auto"/>
        <w:rPr>
          <w:rFonts w:cs="Verdana"/>
          <w:sz w:val="20"/>
          <w:szCs w:val="20"/>
          <w:lang w:eastAsia="en-US"/>
        </w:rPr>
      </w:pPr>
    </w:p>
    <w:p w:rsidR="006A0E1C" w:rsidRPr="00D13792" w:rsidRDefault="006A0E1C" w:rsidP="006A0E1C">
      <w:pPr>
        <w:numPr>
          <w:ilvl w:val="0"/>
          <w:numId w:val="6"/>
        </w:numPr>
        <w:spacing w:line="240" w:lineRule="auto"/>
        <w:ind w:right="4"/>
        <w:rPr>
          <w:rFonts w:eastAsia="Batang" w:cs="Times"/>
          <w:sz w:val="20"/>
          <w:szCs w:val="20"/>
        </w:rPr>
      </w:pPr>
      <w:r w:rsidRPr="00D13792">
        <w:rPr>
          <w:rFonts w:eastAsia="Batang" w:cs="Times"/>
          <w:sz w:val="20"/>
          <w:szCs w:val="20"/>
        </w:rPr>
        <w:t xml:space="preserve">Por otra parte, conforme a su jurisprudencia constante en materia indígena, mediante la cual ha reconocido </w:t>
      </w:r>
      <w:r w:rsidRPr="00D13792">
        <w:rPr>
          <w:rFonts w:eastAsia="Times"/>
          <w:sz w:val="20"/>
          <w:szCs w:val="20"/>
        </w:rPr>
        <w:t>que</w:t>
      </w:r>
      <w:r w:rsidRPr="00D13792">
        <w:rPr>
          <w:rFonts w:eastAsia="Batang" w:cs="Times"/>
          <w:sz w:val="20"/>
          <w:szCs w:val="20"/>
        </w:rPr>
        <w:t xml:space="preserve"> </w:t>
      </w:r>
      <w:r w:rsidRPr="00D13792">
        <w:rPr>
          <w:rFonts w:eastAsia="Batang" w:cs="TimesNewRomanPSMT"/>
          <w:sz w:val="20"/>
          <w:szCs w:val="20"/>
        </w:rPr>
        <w:t xml:space="preserve">la relación de los indígenas con el </w:t>
      </w:r>
      <w:r w:rsidRPr="00D13792">
        <w:rPr>
          <w:rFonts w:eastAsia="Batang" w:cs="Times-Roman"/>
          <w:sz w:val="20"/>
          <w:szCs w:val="20"/>
        </w:rPr>
        <w:t>territorio</w:t>
      </w:r>
      <w:r w:rsidRPr="00D13792">
        <w:rPr>
          <w:rFonts w:eastAsia="Batang" w:cs="TimesNewRomanPSMT"/>
          <w:sz w:val="20"/>
          <w:szCs w:val="20"/>
        </w:rPr>
        <w:t xml:space="preserve"> es esencial para mantener sus estructuras culturales y su supervivencia étnica y material</w:t>
      </w:r>
      <w:r w:rsidRPr="00D13792">
        <w:rPr>
          <w:rFonts w:eastAsia="Batang" w:cs="TimesNewRomanPSMT"/>
          <w:sz w:val="20"/>
          <w:szCs w:val="20"/>
          <w:vertAlign w:val="superscript"/>
        </w:rPr>
        <w:footnoteReference w:id="193"/>
      </w:r>
      <w:r w:rsidRPr="00D13792">
        <w:rPr>
          <w:rFonts w:eastAsia="Batang" w:cs="TimesNewRomanPSMT"/>
          <w:sz w:val="20"/>
          <w:szCs w:val="20"/>
        </w:rPr>
        <w:t>,</w:t>
      </w:r>
      <w:r w:rsidRPr="00D13792">
        <w:rPr>
          <w:rFonts w:eastAsia="Batang" w:cs="Times"/>
          <w:sz w:val="20"/>
          <w:szCs w:val="20"/>
        </w:rPr>
        <w:t xml:space="preserve"> el Tribunal ha considerado </w:t>
      </w:r>
      <w:r w:rsidRPr="00D13792">
        <w:rPr>
          <w:rFonts w:eastAsia="Batang" w:cs="Times"/>
          <w:sz w:val="20"/>
          <w:szCs w:val="20"/>
        </w:rPr>
        <w:lastRenderedPageBreak/>
        <w:t xml:space="preserve">que el desplazamiento forzado de los pueblos indígenas fuera de su comunidad o bien de sus </w:t>
      </w:r>
      <w:r w:rsidRPr="00D13792">
        <w:rPr>
          <w:rFonts w:cs="Verdana"/>
          <w:sz w:val="20"/>
          <w:szCs w:val="20"/>
        </w:rPr>
        <w:t>integrantes</w:t>
      </w:r>
      <w:r w:rsidRPr="00D13792">
        <w:rPr>
          <w:rFonts w:eastAsia="Batang" w:cs="Times"/>
          <w:sz w:val="20"/>
          <w:szCs w:val="20"/>
        </w:rPr>
        <w:t xml:space="preserve">, los puede colocar en una situación de especial vulnerabilidad, que por sus </w:t>
      </w:r>
      <w:r w:rsidRPr="00D13792">
        <w:rPr>
          <w:rFonts w:cs="Verdana"/>
          <w:sz w:val="20"/>
          <w:szCs w:val="20"/>
        </w:rPr>
        <w:t>secuelas</w:t>
      </w:r>
      <w:r w:rsidRPr="00D13792">
        <w:rPr>
          <w:rFonts w:eastAsia="Batang" w:cs="Times"/>
          <w:sz w:val="20"/>
          <w:szCs w:val="20"/>
        </w:rPr>
        <w:t xml:space="preserve"> destructivas sobre el tejido étnico y cultural, genera un claro riesgo de extinción, cultural o físico, de los pueblos indígenas, por lo cual es indispensable que los Estados adopten medidas específicas de protección, considerando las particularidades propias de los pueblos indígenas, así como su derecho consuetudinario, valores, usos y costumbres, para prevenir y revertir los efectos de dicha situación. </w:t>
      </w:r>
    </w:p>
    <w:p w:rsidR="006A0E1C" w:rsidRPr="00D13792" w:rsidRDefault="006A0E1C" w:rsidP="006A0E1C">
      <w:pPr>
        <w:widowControl/>
        <w:autoSpaceDE w:val="0"/>
        <w:autoSpaceDN w:val="0"/>
        <w:adjustRightInd/>
        <w:spacing w:line="240" w:lineRule="auto"/>
        <w:textAlignment w:val="auto"/>
        <w:rPr>
          <w:rFonts w:eastAsia="Batang" w:cs="Times"/>
          <w:sz w:val="20"/>
          <w:szCs w:val="20"/>
          <w:lang w:eastAsia="en-US"/>
        </w:rPr>
      </w:pPr>
    </w:p>
    <w:p w:rsidR="006A0E1C" w:rsidRPr="00D13792" w:rsidRDefault="006A0E1C" w:rsidP="006A0E1C">
      <w:pPr>
        <w:numPr>
          <w:ilvl w:val="0"/>
          <w:numId w:val="6"/>
        </w:numPr>
        <w:spacing w:line="240" w:lineRule="auto"/>
        <w:ind w:right="4"/>
        <w:rPr>
          <w:rFonts w:eastAsia="Batang" w:cs="Times"/>
          <w:sz w:val="20"/>
          <w:szCs w:val="20"/>
        </w:rPr>
      </w:pPr>
      <w:r w:rsidRPr="00D13792">
        <w:rPr>
          <w:rFonts w:eastAsia="Times"/>
          <w:sz w:val="20"/>
          <w:szCs w:val="20"/>
        </w:rPr>
        <w:t>Como fue establecido (</w:t>
      </w:r>
      <w:r w:rsidRPr="00D13792">
        <w:rPr>
          <w:rFonts w:eastAsia="Times"/>
          <w:i/>
          <w:sz w:val="20"/>
          <w:szCs w:val="20"/>
        </w:rPr>
        <w:t>supra</w:t>
      </w:r>
      <w:r w:rsidRPr="00D13792">
        <w:rPr>
          <w:rFonts w:eastAsia="Times"/>
          <w:sz w:val="20"/>
          <w:szCs w:val="20"/>
        </w:rPr>
        <w:t xml:space="preserve"> párrs. 94 a 98), los habitantes maya achí de </w:t>
      </w:r>
      <w:r w:rsidRPr="00D13792">
        <w:rPr>
          <w:rFonts w:eastAsia="Batang" w:cs="Times"/>
          <w:sz w:val="20"/>
          <w:szCs w:val="20"/>
        </w:rPr>
        <w:t xml:space="preserve">la aldea Chichupac y de las comunidades vecinas </w:t>
      </w:r>
      <w:r w:rsidRPr="00D13792">
        <w:rPr>
          <w:rFonts w:eastAsia="Times"/>
          <w:sz w:val="20"/>
          <w:szCs w:val="20"/>
        </w:rPr>
        <w:t xml:space="preserve">de Rabinal </w:t>
      </w:r>
      <w:r w:rsidRPr="00D13792">
        <w:rPr>
          <w:rFonts w:eastAsia="Batang" w:cs="Times"/>
          <w:sz w:val="20"/>
          <w:szCs w:val="20"/>
        </w:rPr>
        <w:t xml:space="preserve">se vieron obligados a huir de sus territorios a partir </w:t>
      </w:r>
      <w:r w:rsidRPr="00D13792">
        <w:rPr>
          <w:iCs/>
          <w:sz w:val="20"/>
          <w:szCs w:val="20"/>
        </w:rPr>
        <w:t xml:space="preserve">de los hechos de la </w:t>
      </w:r>
      <w:r w:rsidRPr="00D13792">
        <w:rPr>
          <w:rFonts w:eastAsia="Times"/>
          <w:bCs/>
          <w:sz w:val="20"/>
          <w:szCs w:val="20"/>
        </w:rPr>
        <w:t>masacre de</w:t>
      </w:r>
      <w:r w:rsidRPr="00D13792">
        <w:rPr>
          <w:rFonts w:eastAsia="Times"/>
          <w:sz w:val="20"/>
          <w:szCs w:val="20"/>
        </w:rPr>
        <w:t xml:space="preserve"> </w:t>
      </w:r>
      <w:r w:rsidRPr="00D13792">
        <w:rPr>
          <w:rFonts w:eastAsia="Times"/>
          <w:bCs/>
          <w:sz w:val="20"/>
          <w:szCs w:val="20"/>
        </w:rPr>
        <w:t xml:space="preserve">8 de enero de 1982 y </w:t>
      </w:r>
      <w:r w:rsidRPr="00D13792">
        <w:rPr>
          <w:rFonts w:eastAsia="Batang" w:cs="Times"/>
          <w:sz w:val="20"/>
          <w:szCs w:val="20"/>
        </w:rPr>
        <w:t xml:space="preserve">de la </w:t>
      </w:r>
      <w:r w:rsidRPr="00D13792">
        <w:rPr>
          <w:iCs/>
          <w:sz w:val="20"/>
          <w:szCs w:val="20"/>
        </w:rPr>
        <w:t>violencia imperante</w:t>
      </w:r>
      <w:r w:rsidRPr="00D13792">
        <w:rPr>
          <w:rFonts w:eastAsia="Batang" w:cs="Times"/>
          <w:sz w:val="20"/>
          <w:szCs w:val="20"/>
        </w:rPr>
        <w:t xml:space="preserve"> en la zona, </w:t>
      </w:r>
      <w:r w:rsidRPr="00D13792">
        <w:rPr>
          <w:rFonts w:eastAsia="Times"/>
          <w:sz w:val="20"/>
          <w:szCs w:val="20"/>
        </w:rPr>
        <w:t xml:space="preserve">implementada por agentes de las fuerzas de seguridad estatal, la cual </w:t>
      </w:r>
      <w:r w:rsidRPr="00D13792">
        <w:rPr>
          <w:rFonts w:eastAsia="Batang" w:cs="Times"/>
          <w:sz w:val="20"/>
          <w:szCs w:val="20"/>
        </w:rPr>
        <w:t xml:space="preserve">incluyó masacres, ejecuciones, desapariciones, violaciones sexuales y persecuciones. </w:t>
      </w:r>
      <w:r w:rsidRPr="00D13792">
        <w:rPr>
          <w:iCs/>
          <w:sz w:val="20"/>
          <w:szCs w:val="20"/>
        </w:rPr>
        <w:t>Como consecuencia, existieron movimientos masivos de estas personas para refugiarse en las montañas,</w:t>
      </w:r>
      <w:r w:rsidRPr="00D13792">
        <w:rPr>
          <w:rFonts w:eastAsia="Times"/>
          <w:sz w:val="20"/>
          <w:szCs w:val="20"/>
        </w:rPr>
        <w:t xml:space="preserve"> en otros lugares de la zona y</w:t>
      </w:r>
      <w:r w:rsidRPr="00D13792">
        <w:rPr>
          <w:iCs/>
          <w:sz w:val="20"/>
          <w:szCs w:val="20"/>
        </w:rPr>
        <w:t xml:space="preserve">, posteriormente, en otros municipios, departamentos, ciudades y fuera del país. Los militares continuaron </w:t>
      </w:r>
      <w:r w:rsidRPr="00D13792">
        <w:rPr>
          <w:rFonts w:eastAsia="Batang" w:cs="Times"/>
          <w:sz w:val="20"/>
          <w:szCs w:val="20"/>
        </w:rPr>
        <w:t>con la persecución</w:t>
      </w:r>
      <w:r w:rsidRPr="00D13792">
        <w:rPr>
          <w:iCs/>
          <w:sz w:val="20"/>
          <w:szCs w:val="20"/>
        </w:rPr>
        <w:t xml:space="preserve"> en las montañas, así como con la persecución </w:t>
      </w:r>
      <w:r w:rsidRPr="00D13792">
        <w:rPr>
          <w:rFonts w:eastAsia="Batang" w:cs="Times"/>
          <w:sz w:val="20"/>
          <w:szCs w:val="20"/>
        </w:rPr>
        <w:t xml:space="preserve">de las personas que regresaron a las comunidades. Paralelamente, las fuerzas de seguridad estatal quemaron las viviendas, robaron sus pertenencias y provisiones, destruyeron los </w:t>
      </w:r>
      <w:r w:rsidRPr="00D13792">
        <w:rPr>
          <w:rFonts w:eastAsia="Times"/>
          <w:sz w:val="20"/>
          <w:szCs w:val="20"/>
        </w:rPr>
        <w:t>cultivos y cosechas,</w:t>
      </w:r>
      <w:r w:rsidRPr="00D13792">
        <w:rPr>
          <w:rFonts w:eastAsia="Batang" w:cs="Times"/>
          <w:sz w:val="20"/>
          <w:szCs w:val="20"/>
        </w:rPr>
        <w:t xml:space="preserve"> y robaron o mataron a los animales. De esta manera, </w:t>
      </w:r>
      <w:r w:rsidRPr="00D13792">
        <w:rPr>
          <w:rFonts w:eastAsia="Times"/>
          <w:sz w:val="20"/>
          <w:szCs w:val="20"/>
        </w:rPr>
        <w:t>destruyeron los medios de vida, provocaron que el desplazamiento persistiera e impidieron el retorno</w:t>
      </w:r>
      <w:r w:rsidRPr="00D13792">
        <w:rPr>
          <w:rFonts w:eastAsia="Batang" w:cs="Times"/>
          <w:sz w:val="20"/>
          <w:szCs w:val="20"/>
        </w:rPr>
        <w:t>. A partir del año 1983,</w:t>
      </w:r>
      <w:r w:rsidRPr="00D13792">
        <w:rPr>
          <w:iCs/>
          <w:sz w:val="20"/>
          <w:szCs w:val="20"/>
        </w:rPr>
        <w:t xml:space="preserve"> miembros del Ejército Nacional construyeron la aldea modelo o colonia en Chichupac. Las personas que habitaron e</w:t>
      </w:r>
      <w:r w:rsidRPr="00D13792">
        <w:rPr>
          <w:rFonts w:eastAsia="Batang" w:cs="Times"/>
          <w:sz w:val="20"/>
          <w:szCs w:val="20"/>
        </w:rPr>
        <w:t xml:space="preserve">n dicho lugar </w:t>
      </w:r>
      <w:r w:rsidRPr="00D13792">
        <w:rPr>
          <w:rFonts w:eastAsia="Times"/>
          <w:sz w:val="20"/>
          <w:szCs w:val="20"/>
        </w:rPr>
        <w:t xml:space="preserve">vivieron en condiciones precarias, bajo un fuerte control militar, sin que se les dejara alguna libertad y </w:t>
      </w:r>
      <w:r w:rsidRPr="00D13792">
        <w:rPr>
          <w:rFonts w:eastAsia="Batang" w:cs="Times"/>
          <w:sz w:val="20"/>
          <w:szCs w:val="20"/>
        </w:rPr>
        <w:t xml:space="preserve">se les obligó a </w:t>
      </w:r>
      <w:r w:rsidRPr="00D13792">
        <w:rPr>
          <w:iCs/>
          <w:sz w:val="20"/>
          <w:szCs w:val="20"/>
        </w:rPr>
        <w:t>trabajar para alimentar y mantener a los militares</w:t>
      </w:r>
      <w:r w:rsidRPr="00D13792">
        <w:rPr>
          <w:rFonts w:eastAsia="Times"/>
          <w:sz w:val="20"/>
          <w:szCs w:val="20"/>
        </w:rPr>
        <w:t xml:space="preserve">. </w:t>
      </w:r>
      <w:r w:rsidRPr="00D13792">
        <w:rPr>
          <w:iCs/>
          <w:sz w:val="20"/>
          <w:szCs w:val="20"/>
        </w:rPr>
        <w:t xml:space="preserve">Los hombres fueron obligados a patrullar de nuevo la zona y </w:t>
      </w:r>
      <w:r w:rsidRPr="00D13792">
        <w:rPr>
          <w:rFonts w:eastAsia="Times"/>
          <w:sz w:val="20"/>
          <w:szCs w:val="20"/>
        </w:rPr>
        <w:t xml:space="preserve">algunas mujeres fueron violadas sexualmente. </w:t>
      </w:r>
      <w:r w:rsidRPr="00D13792">
        <w:rPr>
          <w:rFonts w:eastAsia="Batang" w:cs="Times"/>
          <w:sz w:val="20"/>
          <w:szCs w:val="20"/>
        </w:rPr>
        <w:t xml:space="preserve">Finalmente, entre los años </w:t>
      </w:r>
      <w:r w:rsidRPr="00D13792">
        <w:rPr>
          <w:rFonts w:eastAsia="Times"/>
          <w:sz w:val="20"/>
          <w:szCs w:val="20"/>
        </w:rPr>
        <w:t xml:space="preserve">1986 y 1987 los militares abandonaron la colonia. </w:t>
      </w:r>
    </w:p>
    <w:p w:rsidR="006A0E1C" w:rsidRPr="00D13792" w:rsidRDefault="006A0E1C" w:rsidP="006A0E1C">
      <w:pPr>
        <w:pStyle w:val="Prrafodelista2"/>
        <w:tabs>
          <w:tab w:val="left" w:pos="720"/>
        </w:tabs>
        <w:ind w:left="0" w:right="-90"/>
        <w:jc w:val="both"/>
        <w:rPr>
          <w:rFonts w:eastAsia="Times"/>
          <w:lang w:val="es-CR"/>
        </w:rPr>
      </w:pPr>
    </w:p>
    <w:p w:rsidR="006A0E1C" w:rsidRPr="00D13792" w:rsidRDefault="006A0E1C" w:rsidP="006A0E1C">
      <w:pPr>
        <w:numPr>
          <w:ilvl w:val="0"/>
          <w:numId w:val="6"/>
        </w:numPr>
        <w:spacing w:line="240" w:lineRule="auto"/>
        <w:ind w:right="4"/>
        <w:rPr>
          <w:rFonts w:eastAsia="Batang" w:cs="Times"/>
          <w:sz w:val="20"/>
          <w:szCs w:val="20"/>
        </w:rPr>
      </w:pPr>
      <w:r w:rsidRPr="00D13792">
        <w:rPr>
          <w:rFonts w:eastAsia="Times"/>
          <w:sz w:val="20"/>
          <w:szCs w:val="20"/>
        </w:rPr>
        <w:t xml:space="preserve">Consta en la prueba presentada en este caso que hubo comunidades que quedaron completamente vacías durante mucho tiempo y esta situación perduró luego del 9 de marzo 1987, fecha en que Guatemala reconoció la competencia de este Tribunal, y que muchos de los miembros de la aldea Chichupac y comunidades vecinas del municipio de Rabinal </w:t>
      </w:r>
      <w:r w:rsidRPr="00D13792">
        <w:rPr>
          <w:rFonts w:eastAsia="Batang" w:cs="Times"/>
          <w:sz w:val="20"/>
          <w:szCs w:val="20"/>
        </w:rPr>
        <w:t>permanecen desplazados hasta el día de hoy</w:t>
      </w:r>
      <w:r w:rsidRPr="00D13792">
        <w:rPr>
          <w:rFonts w:eastAsia="Batang"/>
          <w:sz w:val="20"/>
          <w:szCs w:val="20"/>
          <w:vertAlign w:val="superscript"/>
        </w:rPr>
        <w:footnoteReference w:id="194"/>
      </w:r>
      <w:r w:rsidRPr="00D13792">
        <w:rPr>
          <w:rFonts w:eastAsia="Times"/>
          <w:sz w:val="20"/>
          <w:szCs w:val="20"/>
        </w:rPr>
        <w:t xml:space="preserve">. </w:t>
      </w:r>
      <w:r w:rsidRPr="00D13792">
        <w:rPr>
          <w:rFonts w:eastAsia="Batang" w:cs="Times"/>
          <w:sz w:val="20"/>
          <w:szCs w:val="20"/>
        </w:rPr>
        <w:t>A continuación, la Corte establecerá si dichas personas se vieron imposibilitadas de retornar a sus tierras con posterioridad a esa fecha. Seguidamente, como lo ha hecho en anteriores oportunidades</w:t>
      </w:r>
      <w:r w:rsidRPr="00D13792">
        <w:rPr>
          <w:sz w:val="20"/>
          <w:szCs w:val="20"/>
          <w:vertAlign w:val="superscript"/>
        </w:rPr>
        <w:footnoteReference w:id="195"/>
      </w:r>
      <w:r w:rsidRPr="00D13792">
        <w:rPr>
          <w:rFonts w:eastAsia="Batang" w:cs="Times"/>
          <w:sz w:val="20"/>
          <w:szCs w:val="20"/>
        </w:rPr>
        <w:t xml:space="preserve">, la Corte analizará </w:t>
      </w:r>
      <w:r w:rsidRPr="00D13792">
        <w:rPr>
          <w:sz w:val="20"/>
          <w:szCs w:val="20"/>
        </w:rPr>
        <w:t xml:space="preserve">la alegada omisión por parte del Estado de implementar las medidas necesarias para garantizar un retorno digno y seguro a favor de aquellas personas que permanecieron desplazadas luego </w:t>
      </w:r>
      <w:r w:rsidRPr="00D13792">
        <w:rPr>
          <w:rFonts w:eastAsia="Batang" w:cs="Times"/>
          <w:sz w:val="20"/>
          <w:szCs w:val="20"/>
        </w:rPr>
        <w:t>del 9 de marzo 1987, o bien, para garantizar su reasentamiento voluntario.</w:t>
      </w:r>
    </w:p>
    <w:p w:rsidR="006A0E1C" w:rsidRPr="00D13792" w:rsidRDefault="006A0E1C" w:rsidP="006A0E1C">
      <w:pPr>
        <w:pStyle w:val="Prrafodelista2"/>
        <w:tabs>
          <w:tab w:val="left" w:pos="720"/>
        </w:tabs>
        <w:ind w:left="0" w:right="-90"/>
        <w:jc w:val="both"/>
        <w:rPr>
          <w:rFonts w:eastAsia="Batang" w:cs="Times"/>
          <w:lang w:val="es-CR"/>
        </w:rPr>
      </w:pPr>
    </w:p>
    <w:p w:rsidR="006A0E1C" w:rsidRPr="00D13792" w:rsidRDefault="006A0E1C" w:rsidP="006A0E1C">
      <w:pPr>
        <w:pStyle w:val="Heading3"/>
        <w:tabs>
          <w:tab w:val="clear" w:pos="567"/>
        </w:tabs>
        <w:ind w:left="0"/>
        <w:rPr>
          <w:i/>
          <w:lang w:val="es-CR"/>
        </w:rPr>
      </w:pPr>
      <w:bookmarkStart w:id="218" w:name="_Toc460938883"/>
      <w:bookmarkStart w:id="219" w:name="_Toc469670050"/>
      <w:r w:rsidRPr="00D13792">
        <w:rPr>
          <w:i/>
          <w:lang w:val="es-CR"/>
        </w:rPr>
        <w:t>B.1. Imposibilidad de retorno de los miembros de la aldea Chichupac y comunidades vecinas del municipio de Rabinal</w:t>
      </w:r>
      <w:bookmarkEnd w:id="218"/>
      <w:bookmarkEnd w:id="219"/>
    </w:p>
    <w:p w:rsidR="006A0E1C" w:rsidRPr="00D13792" w:rsidRDefault="006A0E1C" w:rsidP="006A0E1C">
      <w:pPr>
        <w:pStyle w:val="Prrafodelista2"/>
        <w:tabs>
          <w:tab w:val="left" w:pos="720"/>
        </w:tabs>
        <w:ind w:left="0" w:right="-90"/>
        <w:jc w:val="both"/>
        <w:rPr>
          <w:rFonts w:eastAsia="Batang" w:cs="Times"/>
          <w:lang w:val="es-CR"/>
        </w:rPr>
      </w:pPr>
    </w:p>
    <w:p w:rsidR="006A0E1C" w:rsidRPr="00D13792" w:rsidRDefault="006A0E1C" w:rsidP="006A0E1C">
      <w:pPr>
        <w:numPr>
          <w:ilvl w:val="0"/>
          <w:numId w:val="6"/>
        </w:numPr>
        <w:spacing w:line="240" w:lineRule="auto"/>
        <w:ind w:right="4"/>
        <w:rPr>
          <w:rFonts w:eastAsia="Batang" w:cs="Times"/>
          <w:sz w:val="20"/>
          <w:szCs w:val="20"/>
        </w:rPr>
      </w:pPr>
      <w:r w:rsidRPr="00D13792">
        <w:rPr>
          <w:rFonts w:eastAsia="Times"/>
          <w:sz w:val="20"/>
          <w:szCs w:val="20"/>
        </w:rPr>
        <w:t>La Corte</w:t>
      </w:r>
      <w:r w:rsidRPr="00D13792">
        <w:rPr>
          <w:rFonts w:eastAsia="Batang" w:cs="Times"/>
          <w:sz w:val="20"/>
          <w:szCs w:val="20"/>
        </w:rPr>
        <w:t xml:space="preserve"> recuerda que el proceso de paz que concluyó el conflicto armado interno en Guatemala inició en el año 1996, es decir, casi 10 años después del reconocimiento de la competencia contenciosa de la Corte. Ese mismo año </w:t>
      </w:r>
      <w:r w:rsidRPr="00D13792">
        <w:rPr>
          <w:rFonts w:eastAsia="Times"/>
          <w:sz w:val="20"/>
          <w:szCs w:val="20"/>
        </w:rPr>
        <w:t xml:space="preserve">fueron disueltas legalmente las patrullas civiles </w:t>
      </w:r>
      <w:r w:rsidRPr="00D13792">
        <w:rPr>
          <w:rFonts w:eastAsia="Times" w:cs="Arial"/>
          <w:sz w:val="20"/>
          <w:szCs w:val="20"/>
        </w:rPr>
        <w:t xml:space="preserve">y se creó la Comisión de Esclarecimiento Histórico (CEH). </w:t>
      </w:r>
      <w:r w:rsidRPr="00D13792">
        <w:rPr>
          <w:sz w:val="20"/>
          <w:szCs w:val="20"/>
        </w:rPr>
        <w:t xml:space="preserve">Dados los antecedentes violentos que sobrevivieron y el contexto de violencia que permanecía vigente en Guatemala durante esos 10 años </w:t>
      </w:r>
      <w:r w:rsidRPr="00D13792">
        <w:rPr>
          <w:rFonts w:eastAsia="Batang" w:cs="Times"/>
          <w:sz w:val="20"/>
          <w:szCs w:val="20"/>
        </w:rPr>
        <w:t>en los que aún se prologó el conflicto armado</w:t>
      </w:r>
      <w:r w:rsidRPr="00D13792">
        <w:rPr>
          <w:sz w:val="20"/>
          <w:szCs w:val="20"/>
        </w:rPr>
        <w:t xml:space="preserve">, los miembros de la aldea Chichupac y comunidades vecinas se vieron imposibilitados de retornar a sus </w:t>
      </w:r>
      <w:r w:rsidRPr="00D13792">
        <w:rPr>
          <w:rFonts w:eastAsia="Batang" w:cs="Times"/>
          <w:sz w:val="20"/>
          <w:szCs w:val="20"/>
        </w:rPr>
        <w:t>territorios</w:t>
      </w:r>
      <w:r w:rsidRPr="00D13792">
        <w:rPr>
          <w:sz w:val="20"/>
          <w:szCs w:val="20"/>
        </w:rPr>
        <w:t xml:space="preserve"> durante dicho período, debido al temor fundado de ser objeto de violaciones a sus derechos a la vida e integridad personal, entre otros.</w:t>
      </w:r>
    </w:p>
    <w:p w:rsidR="006A0E1C" w:rsidRPr="00D13792" w:rsidRDefault="006A0E1C" w:rsidP="006A0E1C">
      <w:pPr>
        <w:widowControl/>
        <w:adjustRightInd/>
        <w:spacing w:line="240" w:lineRule="auto"/>
        <w:jc w:val="left"/>
        <w:textAlignment w:val="auto"/>
        <w:rPr>
          <w:rFonts w:eastAsia="Calibri" w:cs="Arial"/>
          <w:b/>
          <w:sz w:val="20"/>
          <w:szCs w:val="20"/>
          <w:lang w:eastAsia="en-US"/>
        </w:rPr>
      </w:pPr>
    </w:p>
    <w:p w:rsidR="006A0E1C" w:rsidRPr="00D13792" w:rsidRDefault="006A0E1C" w:rsidP="006A0E1C">
      <w:pPr>
        <w:numPr>
          <w:ilvl w:val="0"/>
          <w:numId w:val="6"/>
        </w:numPr>
        <w:spacing w:line="240" w:lineRule="auto"/>
        <w:ind w:right="4"/>
        <w:rPr>
          <w:rFonts w:eastAsia="Times" w:cs="Arial"/>
          <w:sz w:val="20"/>
          <w:szCs w:val="20"/>
        </w:rPr>
      </w:pPr>
      <w:r w:rsidRPr="00D13792">
        <w:rPr>
          <w:rFonts w:eastAsia="Times"/>
          <w:sz w:val="20"/>
          <w:szCs w:val="20"/>
        </w:rPr>
        <w:t>En cuanto al período posterior al</w:t>
      </w:r>
      <w:r w:rsidRPr="00D13792">
        <w:rPr>
          <w:rFonts w:eastAsia="Batang" w:cs="Times"/>
          <w:sz w:val="20"/>
          <w:szCs w:val="20"/>
        </w:rPr>
        <w:t xml:space="preserve"> conflicto armado interno, </w:t>
      </w:r>
      <w:r w:rsidRPr="00D13792">
        <w:rPr>
          <w:rFonts w:eastAsia="Times" w:cs="Arial"/>
          <w:sz w:val="20"/>
          <w:szCs w:val="20"/>
        </w:rPr>
        <w:t xml:space="preserve">de la prueba se desprende que existe miedo e </w:t>
      </w:r>
      <w:r w:rsidRPr="00D13792">
        <w:rPr>
          <w:sz w:val="20"/>
          <w:szCs w:val="20"/>
        </w:rPr>
        <w:t>inseguridad</w:t>
      </w:r>
      <w:r w:rsidRPr="00D13792">
        <w:rPr>
          <w:rFonts w:eastAsia="Times" w:cs="Arial"/>
          <w:sz w:val="20"/>
          <w:szCs w:val="20"/>
        </w:rPr>
        <w:t xml:space="preserve"> de </w:t>
      </w:r>
      <w:r w:rsidRPr="00D13792">
        <w:rPr>
          <w:iCs/>
          <w:sz w:val="20"/>
          <w:szCs w:val="20"/>
        </w:rPr>
        <w:t xml:space="preserve">la población sobreviviente debido a la </w:t>
      </w:r>
      <w:r w:rsidRPr="00D13792">
        <w:rPr>
          <w:rFonts w:eastAsia="Times"/>
          <w:sz w:val="20"/>
          <w:szCs w:val="20"/>
        </w:rPr>
        <w:t>presencia</w:t>
      </w:r>
      <w:r w:rsidRPr="00D13792">
        <w:rPr>
          <w:iCs/>
          <w:sz w:val="20"/>
          <w:szCs w:val="20"/>
        </w:rPr>
        <w:t xml:space="preserve"> actual de los responsables </w:t>
      </w:r>
      <w:r w:rsidRPr="00D13792">
        <w:rPr>
          <w:rFonts w:eastAsia="Batang" w:cs="Times"/>
          <w:sz w:val="20"/>
          <w:szCs w:val="20"/>
        </w:rPr>
        <w:t xml:space="preserve">de la </w:t>
      </w:r>
      <w:r w:rsidRPr="00D13792">
        <w:rPr>
          <w:iCs/>
          <w:sz w:val="20"/>
          <w:szCs w:val="20"/>
        </w:rPr>
        <w:t>violencia en el entorno de Rabinal. Al respecto,</w:t>
      </w:r>
      <w:r w:rsidRPr="00D13792">
        <w:rPr>
          <w:rFonts w:eastAsia="Calibri" w:cs="Arial"/>
          <w:b/>
          <w:sz w:val="20"/>
          <w:szCs w:val="20"/>
        </w:rPr>
        <w:t xml:space="preserve"> </w:t>
      </w:r>
      <w:r w:rsidRPr="00D13792">
        <w:rPr>
          <w:rFonts w:eastAsia="Batang" w:cs="Times"/>
          <w:sz w:val="20"/>
          <w:szCs w:val="20"/>
        </w:rPr>
        <w:t>el perito Luis Raúl Francisco Salvadó Cardoza explicó que, en la actualidad,</w:t>
      </w:r>
      <w:r w:rsidRPr="00D13792">
        <w:rPr>
          <w:rFonts w:eastAsia="Calibri" w:cs="Arial"/>
          <w:sz w:val="20"/>
          <w:szCs w:val="20"/>
        </w:rPr>
        <w:t xml:space="preserve"> las personas </w:t>
      </w:r>
      <w:r w:rsidRPr="00D13792">
        <w:rPr>
          <w:rFonts w:eastAsia="Batang" w:cs="Times"/>
          <w:sz w:val="20"/>
          <w:szCs w:val="20"/>
        </w:rPr>
        <w:t xml:space="preserve">que tienen voluntad de retorno </w:t>
      </w:r>
      <w:r w:rsidRPr="00D13792">
        <w:rPr>
          <w:rFonts w:eastAsia="Times"/>
          <w:sz w:val="20"/>
          <w:szCs w:val="20"/>
        </w:rPr>
        <w:t>a las tierras que antes ocupaban o donde vivían, y que han tratado de retornar a las comunidades,</w:t>
      </w:r>
      <w:r w:rsidRPr="00D13792">
        <w:rPr>
          <w:rFonts w:eastAsia="Times" w:cs="Arial"/>
          <w:sz w:val="20"/>
          <w:szCs w:val="20"/>
        </w:rPr>
        <w:t xml:space="preserve"> </w:t>
      </w:r>
      <w:r w:rsidRPr="00D13792">
        <w:rPr>
          <w:rFonts w:eastAsia="Batang" w:cs="Times"/>
          <w:sz w:val="20"/>
          <w:szCs w:val="20"/>
        </w:rPr>
        <w:t>“han visto frecuentemente [en el pueblo] a los perpetradores de los crímenes, los delatores, sus torturadores, a los ex patrulleros que colaboraron en la represión”,</w:t>
      </w:r>
      <w:r w:rsidRPr="00D13792">
        <w:rPr>
          <w:rFonts w:eastAsia="Times" w:cs="Arial"/>
          <w:sz w:val="20"/>
          <w:szCs w:val="20"/>
        </w:rPr>
        <w:t xml:space="preserve"> “o </w:t>
      </w:r>
      <w:r w:rsidRPr="00D13792">
        <w:rPr>
          <w:rFonts w:eastAsia="Times"/>
          <w:sz w:val="20"/>
          <w:szCs w:val="20"/>
        </w:rPr>
        <w:t>los que entraron a la aldea a arrasar con las cosechas”.</w:t>
      </w:r>
      <w:r w:rsidRPr="00D13792">
        <w:rPr>
          <w:rFonts w:eastAsia="Times" w:cs="Arial"/>
          <w:sz w:val="20"/>
          <w:szCs w:val="20"/>
        </w:rPr>
        <w:t xml:space="preserve"> </w:t>
      </w:r>
      <w:r w:rsidRPr="00D13792">
        <w:rPr>
          <w:rFonts w:eastAsia="Batang" w:cs="Times"/>
          <w:sz w:val="20"/>
          <w:szCs w:val="20"/>
        </w:rPr>
        <w:t>Además, “antiguos comisionados militares y sus aliados locales usufructúan sus tierras”, lo que “les produce inseguridad y miedo”. Es así que “e</w:t>
      </w:r>
      <w:r w:rsidRPr="00D13792">
        <w:rPr>
          <w:rFonts w:eastAsia="Calibri" w:cs="Arial"/>
          <w:sz w:val="20"/>
          <w:szCs w:val="20"/>
        </w:rPr>
        <w:t>l deseo de retorno […] se ve afectado a causa de […] la presencia de las personas y las estructuras causantes del éxodo forzado y otras violaciones a los derechos humanos”</w:t>
      </w:r>
      <w:r w:rsidRPr="00D13792">
        <w:rPr>
          <w:rFonts w:eastAsia="Calibri"/>
          <w:sz w:val="20"/>
          <w:szCs w:val="20"/>
          <w:vertAlign w:val="superscript"/>
        </w:rPr>
        <w:footnoteReference w:id="196"/>
      </w:r>
      <w:r w:rsidRPr="00D13792">
        <w:rPr>
          <w:rFonts w:eastAsia="Calibri" w:cs="Arial"/>
          <w:sz w:val="20"/>
          <w:szCs w:val="20"/>
        </w:rPr>
        <w:t xml:space="preserve">. </w:t>
      </w:r>
      <w:r w:rsidRPr="00D13792">
        <w:rPr>
          <w:rFonts w:eastAsia="Batang" w:cs="Times"/>
          <w:sz w:val="20"/>
          <w:szCs w:val="20"/>
        </w:rPr>
        <w:t>Asimismo, l</w:t>
      </w:r>
      <w:r w:rsidRPr="00D13792">
        <w:rPr>
          <w:rFonts w:eastAsia="Calibri" w:cs="Arial"/>
          <w:sz w:val="20"/>
          <w:szCs w:val="20"/>
        </w:rPr>
        <w:t xml:space="preserve">a psicóloga Nieves Gómez Dupuis en su </w:t>
      </w:r>
      <w:r w:rsidRPr="00D13792">
        <w:rPr>
          <w:rFonts w:eastAsia="Times"/>
          <w:sz w:val="20"/>
          <w:szCs w:val="20"/>
        </w:rPr>
        <w:t>informe de 5 de mayo de 2010</w:t>
      </w:r>
      <w:r w:rsidRPr="00D13792">
        <w:rPr>
          <w:rFonts w:eastAsia="Calibri" w:cs="Arial"/>
          <w:sz w:val="20"/>
          <w:szCs w:val="20"/>
        </w:rPr>
        <w:t xml:space="preserve"> indicó que “</w:t>
      </w:r>
      <w:r w:rsidRPr="00D13792">
        <w:rPr>
          <w:rFonts w:eastAsia="Calibri"/>
          <w:sz w:val="20"/>
          <w:szCs w:val="20"/>
        </w:rPr>
        <w:t>[l]as víctimas y familiares señalan como responsables a ciertas personas del</w:t>
      </w:r>
      <w:r w:rsidRPr="00D13792">
        <w:rPr>
          <w:rFonts w:eastAsia="Calibri" w:cs="Arial"/>
          <w:sz w:val="20"/>
          <w:szCs w:val="20"/>
        </w:rPr>
        <w:t xml:space="preserve"> </w:t>
      </w:r>
      <w:r w:rsidRPr="00D13792">
        <w:rPr>
          <w:rFonts w:eastAsia="Calibri"/>
          <w:sz w:val="20"/>
          <w:szCs w:val="20"/>
        </w:rPr>
        <w:t xml:space="preserve">entorno municipal, sin embargo no </w:t>
      </w:r>
      <w:r w:rsidRPr="00D13792">
        <w:rPr>
          <w:rFonts w:eastAsia="Batang" w:cs="Times"/>
          <w:sz w:val="20"/>
          <w:szCs w:val="20"/>
        </w:rPr>
        <w:t>sienten</w:t>
      </w:r>
      <w:r w:rsidRPr="00D13792">
        <w:rPr>
          <w:rFonts w:eastAsia="Calibri"/>
          <w:sz w:val="20"/>
          <w:szCs w:val="20"/>
        </w:rPr>
        <w:t xml:space="preserve"> la confianza de aclarar quiénes</w:t>
      </w:r>
      <w:r w:rsidRPr="00D13792">
        <w:rPr>
          <w:rFonts w:eastAsia="Calibri" w:cs="Arial"/>
          <w:sz w:val="20"/>
          <w:szCs w:val="20"/>
        </w:rPr>
        <w:t xml:space="preserve"> </w:t>
      </w:r>
      <w:r w:rsidRPr="00D13792">
        <w:rPr>
          <w:rFonts w:eastAsia="Calibri"/>
          <w:sz w:val="20"/>
          <w:szCs w:val="20"/>
        </w:rPr>
        <w:t xml:space="preserve">son los victimarios que viven en las comunidades aledañas </w:t>
      </w:r>
      <w:r w:rsidRPr="00D13792">
        <w:rPr>
          <w:rFonts w:eastAsia="Calibri" w:cs="Arial"/>
          <w:sz w:val="20"/>
          <w:szCs w:val="20"/>
        </w:rPr>
        <w:t xml:space="preserve">y </w:t>
      </w:r>
      <w:r w:rsidRPr="00D13792">
        <w:rPr>
          <w:rFonts w:eastAsia="Calibri"/>
          <w:sz w:val="20"/>
          <w:szCs w:val="20"/>
        </w:rPr>
        <w:t>que también</w:t>
      </w:r>
      <w:r w:rsidRPr="00D13792">
        <w:rPr>
          <w:rFonts w:eastAsia="Calibri" w:cs="Arial"/>
          <w:sz w:val="20"/>
          <w:szCs w:val="20"/>
        </w:rPr>
        <w:t xml:space="preserve"> </w:t>
      </w:r>
      <w:r w:rsidRPr="00D13792">
        <w:rPr>
          <w:rFonts w:eastAsia="Calibri"/>
          <w:sz w:val="20"/>
          <w:szCs w:val="20"/>
        </w:rPr>
        <w:t xml:space="preserve">participaron en la delación </w:t>
      </w:r>
      <w:r w:rsidRPr="00D13792">
        <w:rPr>
          <w:rFonts w:eastAsia="Calibri" w:cs="Arial"/>
          <w:sz w:val="20"/>
          <w:szCs w:val="20"/>
        </w:rPr>
        <w:t xml:space="preserve">y </w:t>
      </w:r>
      <w:r w:rsidRPr="00D13792">
        <w:rPr>
          <w:rFonts w:eastAsia="Calibri"/>
          <w:sz w:val="20"/>
          <w:szCs w:val="20"/>
        </w:rPr>
        <w:t>la destrucción de la comunidad. El</w:t>
      </w:r>
      <w:r w:rsidRPr="00D13792">
        <w:rPr>
          <w:rFonts w:eastAsia="Calibri" w:cs="Arial"/>
          <w:sz w:val="20"/>
          <w:szCs w:val="20"/>
        </w:rPr>
        <w:t xml:space="preserve"> </w:t>
      </w:r>
      <w:r w:rsidRPr="00D13792">
        <w:rPr>
          <w:rFonts w:eastAsia="Calibri"/>
          <w:sz w:val="20"/>
          <w:szCs w:val="20"/>
        </w:rPr>
        <w:t xml:space="preserve">señalamiento de estas personas se envuelve en el silencio, </w:t>
      </w:r>
      <w:r w:rsidRPr="00D13792">
        <w:rPr>
          <w:rFonts w:eastAsia="Batang" w:cs="Times"/>
          <w:sz w:val="20"/>
          <w:szCs w:val="20"/>
        </w:rPr>
        <w:t>sin</w:t>
      </w:r>
      <w:r w:rsidRPr="00D13792">
        <w:rPr>
          <w:rFonts w:eastAsia="Calibri"/>
          <w:sz w:val="20"/>
          <w:szCs w:val="20"/>
        </w:rPr>
        <w:t xml:space="preserve"> embargo, en</w:t>
      </w:r>
      <w:r w:rsidRPr="00D13792">
        <w:rPr>
          <w:rFonts w:eastAsia="Calibri" w:cs="Arial"/>
          <w:sz w:val="20"/>
          <w:szCs w:val="20"/>
        </w:rPr>
        <w:t xml:space="preserve"> </w:t>
      </w:r>
      <w:r w:rsidRPr="00D13792">
        <w:rPr>
          <w:rFonts w:eastAsia="Calibri"/>
          <w:sz w:val="20"/>
          <w:szCs w:val="20"/>
        </w:rPr>
        <w:t>lo que sí se insiste es en que se ven obligados [a] encontrarse con ellos en</w:t>
      </w:r>
      <w:r w:rsidRPr="00D13792">
        <w:rPr>
          <w:rFonts w:eastAsia="Calibri" w:cs="Arial"/>
          <w:sz w:val="20"/>
          <w:szCs w:val="20"/>
        </w:rPr>
        <w:t xml:space="preserve"> </w:t>
      </w:r>
      <w:r w:rsidRPr="00D13792">
        <w:rPr>
          <w:rFonts w:eastAsia="Calibri"/>
          <w:sz w:val="20"/>
          <w:szCs w:val="20"/>
        </w:rPr>
        <w:t>espacios municipales colectivos”</w:t>
      </w:r>
      <w:r w:rsidRPr="00D13792">
        <w:rPr>
          <w:rFonts w:eastAsia="Calibri"/>
          <w:sz w:val="20"/>
          <w:szCs w:val="20"/>
          <w:vertAlign w:val="superscript"/>
        </w:rPr>
        <w:footnoteReference w:id="197"/>
      </w:r>
      <w:r w:rsidRPr="00D13792">
        <w:rPr>
          <w:rFonts w:eastAsia="Calibri"/>
          <w:sz w:val="20"/>
          <w:szCs w:val="20"/>
        </w:rPr>
        <w:t xml:space="preserve">. </w:t>
      </w:r>
    </w:p>
    <w:p w:rsidR="006A0E1C" w:rsidRPr="00D13792" w:rsidRDefault="006A0E1C" w:rsidP="006A0E1C">
      <w:pPr>
        <w:pStyle w:val="Prrafodelista2"/>
        <w:tabs>
          <w:tab w:val="left" w:pos="720"/>
        </w:tabs>
        <w:ind w:left="0" w:right="-90"/>
        <w:jc w:val="both"/>
        <w:rPr>
          <w:rFonts w:eastAsia="Calibri" w:cs="Arial"/>
          <w:lang w:val="es-CR"/>
        </w:rPr>
      </w:pPr>
    </w:p>
    <w:p w:rsidR="006A0E1C" w:rsidRPr="00D13792" w:rsidRDefault="006A0E1C" w:rsidP="006A0E1C">
      <w:pPr>
        <w:numPr>
          <w:ilvl w:val="0"/>
          <w:numId w:val="6"/>
        </w:numPr>
        <w:spacing w:line="240" w:lineRule="auto"/>
        <w:ind w:right="4"/>
        <w:rPr>
          <w:rFonts w:eastAsia="Times" w:cs="Arial"/>
          <w:sz w:val="20"/>
          <w:szCs w:val="20"/>
        </w:rPr>
      </w:pPr>
      <w:r w:rsidRPr="00D13792">
        <w:rPr>
          <w:rFonts w:eastAsia="Calibri" w:cs="Arial"/>
          <w:sz w:val="20"/>
          <w:szCs w:val="20"/>
        </w:rPr>
        <w:t xml:space="preserve">Por otra parte, la Corte nota que </w:t>
      </w:r>
      <w:r w:rsidRPr="00D13792">
        <w:rPr>
          <w:rFonts w:eastAsia="Times" w:cs="Arial"/>
          <w:sz w:val="20"/>
          <w:szCs w:val="20"/>
        </w:rPr>
        <w:t xml:space="preserve">las </w:t>
      </w:r>
      <w:r w:rsidRPr="00D13792">
        <w:rPr>
          <w:rFonts w:eastAsia="Calibri" w:cs="Arial"/>
          <w:sz w:val="20"/>
          <w:szCs w:val="20"/>
        </w:rPr>
        <w:t xml:space="preserve">parcelas de los miembros de la aldea Chichupac y comunidades vecinas han sido ocupadas sin la autorización de sus anteriores ocupantes y </w:t>
      </w:r>
      <w:r w:rsidRPr="00D13792">
        <w:rPr>
          <w:iCs/>
          <w:sz w:val="20"/>
          <w:szCs w:val="20"/>
        </w:rPr>
        <w:t xml:space="preserve">propietarios originales, o bien, fueron vendidas por necesidad. Además, en algunos casos los documentos que acreditaban la posesión de sus tierras y bienes materiales fueron robados o destruidos cuando quemaron sus </w:t>
      </w:r>
      <w:r w:rsidRPr="00D13792">
        <w:rPr>
          <w:rFonts w:eastAsia="Batang" w:cs="Times"/>
          <w:sz w:val="20"/>
          <w:szCs w:val="20"/>
        </w:rPr>
        <w:t>viviendas, impidiendo el reclamo de dichos bienes</w:t>
      </w:r>
      <w:r w:rsidRPr="00D13792">
        <w:rPr>
          <w:rFonts w:eastAsia="Calibri"/>
          <w:sz w:val="20"/>
          <w:szCs w:val="20"/>
          <w:vertAlign w:val="superscript"/>
        </w:rPr>
        <w:footnoteReference w:id="198"/>
      </w:r>
      <w:r w:rsidRPr="00D13792">
        <w:rPr>
          <w:rFonts w:eastAsia="Batang" w:cs="Times"/>
          <w:sz w:val="20"/>
          <w:szCs w:val="20"/>
        </w:rPr>
        <w:t>.</w:t>
      </w:r>
    </w:p>
    <w:p w:rsidR="006A0E1C" w:rsidRPr="00D13792" w:rsidRDefault="006A0E1C" w:rsidP="006A0E1C">
      <w:pPr>
        <w:widowControl/>
        <w:adjustRightInd/>
        <w:spacing w:line="240" w:lineRule="auto"/>
        <w:contextualSpacing/>
        <w:textAlignment w:val="auto"/>
        <w:rPr>
          <w:rFonts w:eastAsia="Times" w:cs="Arial"/>
          <w:sz w:val="20"/>
          <w:szCs w:val="20"/>
          <w:lang w:eastAsia="en-US"/>
        </w:rPr>
      </w:pPr>
    </w:p>
    <w:p w:rsidR="006A0E1C" w:rsidRPr="00D13792" w:rsidRDefault="006A0E1C" w:rsidP="006A0E1C">
      <w:pPr>
        <w:numPr>
          <w:ilvl w:val="0"/>
          <w:numId w:val="6"/>
        </w:numPr>
        <w:spacing w:line="240" w:lineRule="auto"/>
        <w:ind w:right="4"/>
        <w:rPr>
          <w:rFonts w:eastAsia="Times" w:cs="Arial"/>
          <w:sz w:val="20"/>
          <w:szCs w:val="20"/>
        </w:rPr>
      </w:pPr>
      <w:r w:rsidRPr="00D13792">
        <w:rPr>
          <w:rFonts w:eastAsia="Batang" w:cs="Times"/>
          <w:sz w:val="20"/>
          <w:szCs w:val="20"/>
        </w:rPr>
        <w:t xml:space="preserve">En razón de </w:t>
      </w:r>
      <w:r w:rsidRPr="00D13792">
        <w:rPr>
          <w:sz w:val="20"/>
          <w:szCs w:val="20"/>
        </w:rPr>
        <w:t>todo</w:t>
      </w:r>
      <w:r w:rsidRPr="00D13792">
        <w:rPr>
          <w:rFonts w:eastAsia="Batang" w:cs="Times"/>
          <w:sz w:val="20"/>
          <w:szCs w:val="20"/>
        </w:rPr>
        <w:t xml:space="preserve"> lo anterior, la Corte estima que actualmente los miembros de las comunidades que desean retornar a sus tierras se encuentran en la imposibilidad material de </w:t>
      </w:r>
      <w:r w:rsidRPr="00D13792">
        <w:rPr>
          <w:rFonts w:eastAsia="Batang" w:cs="Times"/>
          <w:sz w:val="20"/>
          <w:szCs w:val="20"/>
        </w:rPr>
        <w:lastRenderedPageBreak/>
        <w:t>hacerlo</w:t>
      </w:r>
      <w:r w:rsidRPr="00D13792">
        <w:rPr>
          <w:rFonts w:eastAsia="Times"/>
          <w:sz w:val="20"/>
          <w:szCs w:val="20"/>
        </w:rPr>
        <w:t>, por lo que se han visto forzadas a continuar en situación de desplazamiento.</w:t>
      </w:r>
      <w:r w:rsidRPr="00D13792">
        <w:rPr>
          <w:rFonts w:eastAsia="Times" w:cs="Arial"/>
          <w:sz w:val="20"/>
          <w:szCs w:val="20"/>
        </w:rPr>
        <w:t xml:space="preserve"> Por ello, </w:t>
      </w:r>
      <w:r w:rsidRPr="00D13792">
        <w:rPr>
          <w:rFonts w:eastAsia="Batang" w:cs="Times"/>
          <w:sz w:val="20"/>
          <w:szCs w:val="20"/>
        </w:rPr>
        <w:t xml:space="preserve">la libertad de circulación y de residencia de los miembros de la aldea Chichupac y comunidades vecinas del municipio de Rabinal que fueron desplazados, se encuentra limitada hasta la fecha por restricciones </w:t>
      </w:r>
      <w:r w:rsidRPr="00D13792">
        <w:rPr>
          <w:rFonts w:eastAsia="Batang" w:cs="Times"/>
          <w:i/>
          <w:sz w:val="20"/>
          <w:szCs w:val="20"/>
        </w:rPr>
        <w:t>de facto</w:t>
      </w:r>
      <w:r w:rsidRPr="00D13792">
        <w:rPr>
          <w:rFonts w:eastAsia="Batang" w:cs="Times"/>
          <w:sz w:val="20"/>
          <w:szCs w:val="20"/>
        </w:rPr>
        <w:t>.</w:t>
      </w:r>
    </w:p>
    <w:p w:rsidR="006A0E1C" w:rsidRPr="00D13792" w:rsidRDefault="006A0E1C" w:rsidP="006A0E1C">
      <w:pPr>
        <w:pStyle w:val="Heading3"/>
        <w:ind w:left="0"/>
        <w:rPr>
          <w:lang w:val="es-CR"/>
        </w:rPr>
      </w:pPr>
    </w:p>
    <w:p w:rsidR="006A0E1C" w:rsidRPr="00D13792" w:rsidRDefault="006A0E1C" w:rsidP="006A0E1C">
      <w:pPr>
        <w:pStyle w:val="Heading3"/>
        <w:ind w:left="0"/>
        <w:rPr>
          <w:i/>
          <w:lang w:val="es-CR"/>
        </w:rPr>
      </w:pPr>
      <w:bookmarkStart w:id="220" w:name="_Toc460938884"/>
      <w:bookmarkStart w:id="221" w:name="_Toc469670051"/>
      <w:r w:rsidRPr="00D13792">
        <w:rPr>
          <w:rFonts w:eastAsia="Batang" w:cs="Times"/>
          <w:i/>
          <w:lang w:val="es-CR"/>
        </w:rPr>
        <w:t xml:space="preserve">B.2. Ausencia de </w:t>
      </w:r>
      <w:r w:rsidRPr="00D13792">
        <w:rPr>
          <w:i/>
          <w:lang w:val="es-CR"/>
        </w:rPr>
        <w:t>medidas adoptadas por el Estado para revertir los efectos del desplazamiento</w:t>
      </w:r>
      <w:bookmarkEnd w:id="220"/>
      <w:bookmarkEnd w:id="221"/>
    </w:p>
    <w:p w:rsidR="006A0E1C" w:rsidRPr="00D13792" w:rsidRDefault="006A0E1C" w:rsidP="006A0E1C">
      <w:pPr>
        <w:widowControl/>
        <w:adjustRightInd/>
        <w:spacing w:line="240" w:lineRule="auto"/>
        <w:contextualSpacing/>
        <w:textAlignment w:val="auto"/>
        <w:rPr>
          <w:rFonts w:eastAsia="Times" w:cs="Arial"/>
          <w:sz w:val="20"/>
          <w:szCs w:val="20"/>
          <w:lang w:eastAsia="en-US"/>
        </w:rPr>
      </w:pPr>
    </w:p>
    <w:p w:rsidR="006A0E1C" w:rsidRPr="00D13792" w:rsidRDefault="006A0E1C" w:rsidP="006A0E1C">
      <w:pPr>
        <w:numPr>
          <w:ilvl w:val="0"/>
          <w:numId w:val="6"/>
        </w:numPr>
        <w:spacing w:line="240" w:lineRule="auto"/>
        <w:ind w:right="4"/>
        <w:rPr>
          <w:rFonts w:eastAsia="Times" w:cs="Arial"/>
          <w:sz w:val="20"/>
          <w:szCs w:val="20"/>
        </w:rPr>
      </w:pPr>
      <w:r w:rsidRPr="00D13792">
        <w:rPr>
          <w:rFonts w:eastAsia="Batang" w:cs="Times"/>
          <w:sz w:val="20"/>
          <w:szCs w:val="20"/>
        </w:rPr>
        <w:t xml:space="preserve">Primeramente, </w:t>
      </w:r>
      <w:r w:rsidRPr="00D13792">
        <w:rPr>
          <w:iCs/>
          <w:sz w:val="20"/>
          <w:szCs w:val="20"/>
        </w:rPr>
        <w:t xml:space="preserve">la Corte nota que </w:t>
      </w:r>
      <w:r w:rsidRPr="00D13792">
        <w:rPr>
          <w:rFonts w:eastAsia="Times" w:cs="Arial"/>
          <w:sz w:val="20"/>
          <w:szCs w:val="20"/>
        </w:rPr>
        <w:t xml:space="preserve">al menos los días 17 de </w:t>
      </w:r>
      <w:r w:rsidRPr="00D13792">
        <w:rPr>
          <w:rFonts w:eastAsia="Times"/>
          <w:sz w:val="20"/>
          <w:szCs w:val="20"/>
        </w:rPr>
        <w:t>enero</w:t>
      </w:r>
      <w:r w:rsidRPr="00D13792">
        <w:rPr>
          <w:rFonts w:eastAsia="Times" w:cs="Arial"/>
          <w:sz w:val="20"/>
          <w:szCs w:val="20"/>
        </w:rPr>
        <w:t xml:space="preserve"> de 1997, 25 de octubre de 2000, </w:t>
      </w:r>
      <w:r w:rsidRPr="00D13792">
        <w:rPr>
          <w:rFonts w:eastAsia="Times"/>
          <w:sz w:val="20"/>
          <w:szCs w:val="20"/>
        </w:rPr>
        <w:t xml:space="preserve">15 de noviembre de 2002, </w:t>
      </w:r>
      <w:r w:rsidRPr="00D13792">
        <w:rPr>
          <w:rFonts w:eastAsia="Times" w:cs="Arial"/>
          <w:sz w:val="20"/>
          <w:szCs w:val="20"/>
        </w:rPr>
        <w:t xml:space="preserve">12 y 27 de julio y 16 de agosto de 2005, y </w:t>
      </w:r>
      <w:r w:rsidRPr="00D13792">
        <w:rPr>
          <w:rFonts w:eastAsia="Times"/>
          <w:sz w:val="20"/>
          <w:szCs w:val="20"/>
        </w:rPr>
        <w:t xml:space="preserve">7 de abril y 6 de junio de </w:t>
      </w:r>
      <w:r w:rsidRPr="00D13792">
        <w:rPr>
          <w:rFonts w:eastAsia="Batang" w:cs="Times"/>
          <w:sz w:val="20"/>
          <w:szCs w:val="20"/>
        </w:rPr>
        <w:t>2006</w:t>
      </w:r>
      <w:r w:rsidRPr="00D13792">
        <w:rPr>
          <w:rFonts w:eastAsia="Times"/>
          <w:sz w:val="20"/>
          <w:szCs w:val="20"/>
          <w:vertAlign w:val="superscript"/>
        </w:rPr>
        <w:footnoteReference w:id="199"/>
      </w:r>
      <w:r w:rsidRPr="00D13792">
        <w:rPr>
          <w:rFonts w:eastAsia="Times"/>
          <w:sz w:val="20"/>
          <w:szCs w:val="20"/>
        </w:rPr>
        <w:t>,</w:t>
      </w:r>
      <w:r w:rsidRPr="00D13792">
        <w:rPr>
          <w:rFonts w:eastAsia="Times" w:cs="Arial"/>
          <w:sz w:val="20"/>
          <w:szCs w:val="20"/>
        </w:rPr>
        <w:t xml:space="preserve"> se denunció ante el Ministerio Público, entre otros hechos, la persecución que sufrieron las comunidades y el </w:t>
      </w:r>
      <w:r w:rsidRPr="00D13792">
        <w:rPr>
          <w:rFonts w:eastAsia="Batang" w:cs="Times"/>
          <w:sz w:val="20"/>
          <w:szCs w:val="20"/>
        </w:rPr>
        <w:t>desplazamiento</w:t>
      </w:r>
      <w:r w:rsidRPr="00D13792">
        <w:rPr>
          <w:rFonts w:eastAsia="Times" w:cs="Arial"/>
          <w:sz w:val="20"/>
          <w:szCs w:val="20"/>
        </w:rPr>
        <w:t xml:space="preserve"> de sus habitantes hacia las montañas y otros lugares de la zona a fin de salvar sus vidas. En algunas de estas denuncias se proporcionaron los nombres de las personas</w:t>
      </w:r>
      <w:r w:rsidRPr="00D13792">
        <w:rPr>
          <w:rFonts w:eastAsia="Times"/>
          <w:sz w:val="20"/>
          <w:szCs w:val="20"/>
        </w:rPr>
        <w:t xml:space="preserve"> que supuestamente habrían colaborado con el Ejército Nacional en esa época, y se informó que aún vivían en las comunidades vecinas del Rabinal </w:t>
      </w:r>
      <w:r w:rsidRPr="00D13792">
        <w:rPr>
          <w:rFonts w:eastAsia="Times" w:cs="Arial"/>
          <w:sz w:val="20"/>
          <w:szCs w:val="20"/>
        </w:rPr>
        <w:t>(</w:t>
      </w:r>
      <w:r w:rsidRPr="00D13792">
        <w:rPr>
          <w:rFonts w:eastAsia="Times" w:cs="Arial"/>
          <w:i/>
          <w:sz w:val="20"/>
          <w:szCs w:val="20"/>
        </w:rPr>
        <w:t xml:space="preserve">supra </w:t>
      </w:r>
      <w:r w:rsidRPr="00D13792">
        <w:rPr>
          <w:rFonts w:eastAsia="Times" w:cs="Arial"/>
          <w:sz w:val="20"/>
          <w:szCs w:val="20"/>
        </w:rPr>
        <w:t xml:space="preserve">párrs. 94 y 95 e </w:t>
      </w:r>
      <w:r w:rsidRPr="00D13792">
        <w:rPr>
          <w:rFonts w:eastAsia="Times" w:cs="Arial"/>
          <w:i/>
          <w:sz w:val="20"/>
          <w:szCs w:val="20"/>
        </w:rPr>
        <w:t>infra</w:t>
      </w:r>
      <w:r w:rsidRPr="00D13792">
        <w:rPr>
          <w:rFonts w:eastAsia="Times" w:cs="Arial"/>
          <w:sz w:val="20"/>
          <w:szCs w:val="20"/>
        </w:rPr>
        <w:t xml:space="preserve"> párr. 222, 227, 228, 234 y 254). </w:t>
      </w:r>
      <w:r w:rsidRPr="00D13792">
        <w:rPr>
          <w:rFonts w:eastAsia="Batang" w:cs="Times"/>
          <w:sz w:val="20"/>
          <w:szCs w:val="20"/>
        </w:rPr>
        <w:t xml:space="preserve">Asimismo, </w:t>
      </w:r>
      <w:r w:rsidRPr="00D13792">
        <w:rPr>
          <w:rFonts w:eastAsia="Times" w:cs="Arial"/>
          <w:sz w:val="20"/>
          <w:szCs w:val="20"/>
        </w:rPr>
        <w:t xml:space="preserve">el 27 de abril y 28 de junio de 1999, se puso en conocimiento del Ministerio Público que ex miembros de </w:t>
      </w:r>
      <w:r w:rsidRPr="00D13792">
        <w:rPr>
          <w:rFonts w:eastAsia="Times"/>
          <w:sz w:val="20"/>
          <w:szCs w:val="20"/>
        </w:rPr>
        <w:t xml:space="preserve">las fuerzas de seguridad estatal que </w:t>
      </w:r>
      <w:r w:rsidRPr="00D13792">
        <w:rPr>
          <w:rFonts w:eastAsia="Times" w:cs="Arial"/>
          <w:sz w:val="20"/>
          <w:szCs w:val="20"/>
        </w:rPr>
        <w:t>habrían participado en los hechos del</w:t>
      </w:r>
      <w:r w:rsidRPr="00D13792">
        <w:rPr>
          <w:rFonts w:eastAsia="Times"/>
          <w:sz w:val="20"/>
          <w:szCs w:val="20"/>
        </w:rPr>
        <w:t xml:space="preserve"> </w:t>
      </w:r>
      <w:r w:rsidRPr="00D13792">
        <w:rPr>
          <w:rFonts w:eastAsia="Times"/>
          <w:bCs/>
          <w:sz w:val="20"/>
          <w:szCs w:val="20"/>
        </w:rPr>
        <w:t>8 de enero de 1982</w:t>
      </w:r>
      <w:r w:rsidRPr="00D13792">
        <w:rPr>
          <w:rFonts w:eastAsia="Times" w:cs="Arial"/>
          <w:sz w:val="20"/>
          <w:szCs w:val="20"/>
        </w:rPr>
        <w:t>, seguían robando, violando a las mujeres, matando a personas en la zona y amenazando a los pobladores de la aldea Chichupac, así como se proporcionó los nombres de dichas personas (</w:t>
      </w:r>
      <w:r w:rsidRPr="00D13792">
        <w:rPr>
          <w:rFonts w:eastAsia="Times" w:cs="Arial"/>
          <w:i/>
          <w:sz w:val="20"/>
          <w:szCs w:val="20"/>
        </w:rPr>
        <w:t>infra</w:t>
      </w:r>
      <w:r w:rsidRPr="00D13792">
        <w:rPr>
          <w:rFonts w:eastAsia="Times" w:cs="Arial"/>
          <w:sz w:val="20"/>
          <w:szCs w:val="20"/>
        </w:rPr>
        <w:t xml:space="preserve"> párr. 222). </w:t>
      </w:r>
      <w:r w:rsidRPr="00D13792">
        <w:rPr>
          <w:rFonts w:eastAsia="Batang" w:cs="Times"/>
          <w:sz w:val="20"/>
          <w:szCs w:val="20"/>
        </w:rPr>
        <w:t xml:space="preserve">Sin embargo, no </w:t>
      </w:r>
      <w:r w:rsidRPr="00D13792">
        <w:rPr>
          <w:rFonts w:eastAsia="Times"/>
          <w:sz w:val="20"/>
          <w:szCs w:val="20"/>
        </w:rPr>
        <w:t xml:space="preserve">consta que </w:t>
      </w:r>
      <w:r w:rsidRPr="00D13792">
        <w:rPr>
          <w:rFonts w:eastAsia="Batang" w:cs="Times"/>
          <w:sz w:val="20"/>
          <w:szCs w:val="20"/>
        </w:rPr>
        <w:t>Guatemala</w:t>
      </w:r>
      <w:r w:rsidRPr="00D13792">
        <w:rPr>
          <w:rFonts w:eastAsia="Times"/>
          <w:sz w:val="20"/>
          <w:szCs w:val="20"/>
        </w:rPr>
        <w:t xml:space="preserve"> </w:t>
      </w:r>
      <w:r w:rsidRPr="00D13792">
        <w:rPr>
          <w:rFonts w:eastAsia="Batang" w:cs="Times"/>
          <w:sz w:val="20"/>
          <w:szCs w:val="20"/>
        </w:rPr>
        <w:t xml:space="preserve">haya implementado una investigación efectiva de los hechos violentos y desplazamiento sufrido por los miembros de la aldea Chichupac y comunidades vecinas, en especial, en lo que se refiere al señalamiento de que los responsables de la violencia </w:t>
      </w:r>
      <w:r w:rsidRPr="00D13792">
        <w:rPr>
          <w:rFonts w:eastAsia="Times" w:cs="Arial"/>
          <w:sz w:val="20"/>
          <w:szCs w:val="20"/>
        </w:rPr>
        <w:t xml:space="preserve">seguirían viviendo </w:t>
      </w:r>
      <w:r w:rsidRPr="00D13792">
        <w:rPr>
          <w:rFonts w:eastAsia="Times"/>
          <w:sz w:val="20"/>
          <w:szCs w:val="20"/>
        </w:rPr>
        <w:t xml:space="preserve">en las comunidades vecinas del Rabinal. Tampoco se investigaron las denuncias de que </w:t>
      </w:r>
      <w:r w:rsidRPr="00D13792">
        <w:rPr>
          <w:rFonts w:eastAsia="Times" w:cs="Arial"/>
          <w:sz w:val="20"/>
          <w:szCs w:val="20"/>
        </w:rPr>
        <w:t>en el año 1999,</w:t>
      </w:r>
      <w:r w:rsidRPr="00D13792">
        <w:rPr>
          <w:rFonts w:eastAsia="Times"/>
          <w:sz w:val="20"/>
          <w:szCs w:val="20"/>
        </w:rPr>
        <w:t xml:space="preserve"> algunos de los supuestos responsables seguirían </w:t>
      </w:r>
      <w:r w:rsidRPr="00D13792">
        <w:rPr>
          <w:rFonts w:eastAsia="Times" w:cs="Arial"/>
          <w:sz w:val="20"/>
          <w:szCs w:val="20"/>
        </w:rPr>
        <w:t>robando, violando a las mujeres, matando a personas en la zona y amenazando a los pobladores de la aldea Chichupac (</w:t>
      </w:r>
      <w:r w:rsidRPr="00D13792">
        <w:rPr>
          <w:rFonts w:eastAsia="Times" w:cs="Arial"/>
          <w:i/>
          <w:sz w:val="20"/>
          <w:szCs w:val="20"/>
        </w:rPr>
        <w:t>infra</w:t>
      </w:r>
      <w:r w:rsidRPr="00D13792">
        <w:rPr>
          <w:rFonts w:eastAsia="Times" w:cs="Arial"/>
          <w:sz w:val="20"/>
          <w:szCs w:val="20"/>
        </w:rPr>
        <w:t xml:space="preserve"> párrs. 222 y 223). </w:t>
      </w:r>
    </w:p>
    <w:p w:rsidR="006A0E1C" w:rsidRPr="00D13792" w:rsidRDefault="006A0E1C" w:rsidP="006A0E1C">
      <w:pPr>
        <w:widowControl/>
        <w:adjustRightInd/>
        <w:spacing w:line="240" w:lineRule="auto"/>
        <w:jc w:val="left"/>
        <w:textAlignment w:val="auto"/>
        <w:rPr>
          <w:rFonts w:eastAsia="Times" w:cs="Arial"/>
          <w:sz w:val="20"/>
          <w:szCs w:val="20"/>
          <w:lang w:eastAsia="en-US"/>
        </w:rPr>
      </w:pPr>
    </w:p>
    <w:p w:rsidR="006A0E1C" w:rsidRPr="00D13792" w:rsidRDefault="006A0E1C" w:rsidP="006A0E1C">
      <w:pPr>
        <w:numPr>
          <w:ilvl w:val="0"/>
          <w:numId w:val="6"/>
        </w:numPr>
        <w:tabs>
          <w:tab w:val="left" w:pos="567"/>
        </w:tabs>
        <w:spacing w:line="240" w:lineRule="auto"/>
        <w:ind w:right="4"/>
        <w:rPr>
          <w:rFonts w:eastAsia="Times" w:cs="Arial"/>
          <w:sz w:val="20"/>
          <w:szCs w:val="20"/>
        </w:rPr>
      </w:pPr>
      <w:r w:rsidRPr="00D13792">
        <w:rPr>
          <w:rFonts w:eastAsia="Times" w:cs="Arial"/>
          <w:sz w:val="20"/>
          <w:szCs w:val="20"/>
        </w:rPr>
        <w:t>En segundo lugar, no consta que</w:t>
      </w:r>
      <w:r w:rsidRPr="00D13792">
        <w:rPr>
          <w:iCs/>
          <w:sz w:val="20"/>
          <w:szCs w:val="20"/>
        </w:rPr>
        <w:t xml:space="preserve"> el Estado haya establecido métodos para que los miembros de la </w:t>
      </w:r>
      <w:r w:rsidRPr="00D13792">
        <w:rPr>
          <w:sz w:val="20"/>
          <w:szCs w:val="20"/>
        </w:rPr>
        <w:t>aldea</w:t>
      </w:r>
      <w:r w:rsidRPr="00D13792">
        <w:rPr>
          <w:iCs/>
          <w:sz w:val="20"/>
          <w:szCs w:val="20"/>
        </w:rPr>
        <w:t xml:space="preserve"> Chichupac y comunidades vecinas que hayan perdido la documentación que acreditaba la posesión de sus tierras y bienes a causa de los hechos del presente caso obtengan dichos documentos o comprueben su posesión de formas alternativas </w:t>
      </w:r>
      <w:r w:rsidRPr="00D13792">
        <w:rPr>
          <w:rFonts w:eastAsia="Times" w:cs="Arial"/>
          <w:sz w:val="20"/>
          <w:szCs w:val="20"/>
        </w:rPr>
        <w:t>(</w:t>
      </w:r>
      <w:r w:rsidRPr="00D13792">
        <w:rPr>
          <w:rFonts w:eastAsia="Times" w:cs="Arial"/>
          <w:i/>
          <w:sz w:val="20"/>
          <w:szCs w:val="20"/>
        </w:rPr>
        <w:t>supra</w:t>
      </w:r>
      <w:r w:rsidRPr="00D13792">
        <w:rPr>
          <w:rFonts w:eastAsia="Times" w:cs="Arial"/>
          <w:sz w:val="20"/>
          <w:szCs w:val="20"/>
        </w:rPr>
        <w:t xml:space="preserve"> párr. 98)</w:t>
      </w:r>
      <w:r w:rsidRPr="00D13792">
        <w:rPr>
          <w:iCs/>
          <w:sz w:val="20"/>
          <w:szCs w:val="20"/>
        </w:rPr>
        <w:t xml:space="preserve">. </w:t>
      </w:r>
    </w:p>
    <w:p w:rsidR="006A0E1C" w:rsidRPr="00D13792" w:rsidRDefault="006A0E1C" w:rsidP="006A0E1C">
      <w:pPr>
        <w:widowControl/>
        <w:adjustRightInd/>
        <w:spacing w:line="240" w:lineRule="auto"/>
        <w:ind w:left="720"/>
        <w:contextualSpacing/>
        <w:jc w:val="left"/>
        <w:textAlignment w:val="auto"/>
        <w:rPr>
          <w:rFonts w:eastAsia="Calibri" w:cs="Arial"/>
          <w:sz w:val="20"/>
          <w:szCs w:val="20"/>
          <w:lang w:eastAsia="en-US"/>
        </w:rPr>
      </w:pPr>
    </w:p>
    <w:p w:rsidR="006A0E1C" w:rsidRPr="00D13792" w:rsidRDefault="006A0E1C" w:rsidP="006A0E1C">
      <w:pPr>
        <w:numPr>
          <w:ilvl w:val="0"/>
          <w:numId w:val="6"/>
        </w:numPr>
        <w:tabs>
          <w:tab w:val="left" w:pos="567"/>
        </w:tabs>
        <w:spacing w:line="240" w:lineRule="auto"/>
        <w:ind w:right="4"/>
        <w:rPr>
          <w:rFonts w:eastAsia="Times"/>
          <w:bCs/>
          <w:sz w:val="20"/>
          <w:szCs w:val="20"/>
        </w:rPr>
      </w:pPr>
      <w:r w:rsidRPr="00D13792">
        <w:rPr>
          <w:rFonts w:eastAsia="Times"/>
          <w:sz w:val="20"/>
          <w:szCs w:val="20"/>
        </w:rPr>
        <w:t xml:space="preserve">En tercer lugar, durante la audiencia pública, los representantes informaron que </w:t>
      </w:r>
      <w:r w:rsidRPr="00D13792">
        <w:rPr>
          <w:rFonts w:eastAsia="Times"/>
          <w:bCs/>
          <w:sz w:val="20"/>
          <w:szCs w:val="20"/>
        </w:rPr>
        <w:t xml:space="preserve">hasta los últimos días de marzo de 2016 había una oficina municipal en Rabinal del Programa Nacional de Resarcimiento (PNR), la cual fue cerrada. El Estado no controvirtió la veracidad de esta información. Sin embargo, en </w:t>
      </w:r>
      <w:r w:rsidRPr="00D13792">
        <w:rPr>
          <w:rFonts w:eastAsia="Batang" w:cs="Times"/>
          <w:sz w:val="20"/>
          <w:szCs w:val="20"/>
        </w:rPr>
        <w:t xml:space="preserve">sus alegatos finales </w:t>
      </w:r>
      <w:r w:rsidRPr="00D13792">
        <w:rPr>
          <w:rFonts w:eastAsia="Calibri"/>
          <w:sz w:val="20"/>
          <w:szCs w:val="20"/>
        </w:rPr>
        <w:t>manifestó que a fin de revertir la situación de desplazamiento, en el año 2008 elaboró un diagnóstico sobre la Comunidad Chichupac, con el objeto de recopilar información básica para la atención del PNR. Dicho diagnóstico permitió conocer las condiciones económicas, sociales y culturales de la población, y de esa forma asentar las bases para la elaboración de los planes de resarcimiento llevados a cabo de una forma integral</w:t>
      </w:r>
      <w:r w:rsidRPr="00D13792">
        <w:rPr>
          <w:rFonts w:eastAsia="Times"/>
          <w:bCs/>
          <w:sz w:val="20"/>
          <w:szCs w:val="20"/>
        </w:rPr>
        <w:t xml:space="preserve">. </w:t>
      </w:r>
      <w:r w:rsidRPr="00D13792">
        <w:rPr>
          <w:rFonts w:eastAsia="Calibri"/>
          <w:sz w:val="20"/>
          <w:szCs w:val="20"/>
        </w:rPr>
        <w:t xml:space="preserve">Además, señaló que en el año 2008 se construyeron 80 casas de madera y lamina con un entortado de cemento. </w:t>
      </w:r>
    </w:p>
    <w:p w:rsidR="006A0E1C" w:rsidRPr="00D13792" w:rsidRDefault="006A0E1C" w:rsidP="006A0E1C">
      <w:pPr>
        <w:widowControl/>
        <w:adjustRightInd/>
        <w:spacing w:line="240" w:lineRule="auto"/>
        <w:jc w:val="left"/>
        <w:textAlignment w:val="auto"/>
        <w:rPr>
          <w:rFonts w:eastAsia="Times"/>
          <w:sz w:val="20"/>
          <w:szCs w:val="20"/>
          <w:lang w:eastAsia="en-US"/>
        </w:rPr>
      </w:pPr>
    </w:p>
    <w:p w:rsidR="006A0E1C" w:rsidRPr="00D13792" w:rsidRDefault="006A0E1C" w:rsidP="006A0E1C">
      <w:pPr>
        <w:numPr>
          <w:ilvl w:val="0"/>
          <w:numId w:val="6"/>
        </w:numPr>
        <w:tabs>
          <w:tab w:val="left" w:pos="567"/>
        </w:tabs>
        <w:spacing w:line="240" w:lineRule="auto"/>
        <w:ind w:right="4"/>
        <w:rPr>
          <w:rFonts w:eastAsia="Times"/>
          <w:bCs/>
          <w:sz w:val="20"/>
          <w:szCs w:val="20"/>
        </w:rPr>
      </w:pPr>
      <w:r w:rsidRPr="00D13792">
        <w:rPr>
          <w:rFonts w:eastAsia="Batang" w:cs="Times"/>
          <w:sz w:val="20"/>
          <w:szCs w:val="20"/>
        </w:rPr>
        <w:t>Al respecto, l</w:t>
      </w:r>
      <w:r w:rsidRPr="00D13792">
        <w:rPr>
          <w:rFonts w:eastAsia="Calibri" w:cs="Arial"/>
          <w:sz w:val="20"/>
          <w:szCs w:val="20"/>
        </w:rPr>
        <w:t xml:space="preserve">a psicóloga Nieves Gómez Dupuis en su </w:t>
      </w:r>
      <w:r w:rsidRPr="00D13792">
        <w:rPr>
          <w:rFonts w:eastAsia="Times"/>
          <w:sz w:val="20"/>
          <w:szCs w:val="20"/>
        </w:rPr>
        <w:t xml:space="preserve">informe de 5 de mayo de 2010 señaló que, “[e]n el año 2009, </w:t>
      </w:r>
      <w:r w:rsidRPr="00D13792">
        <w:rPr>
          <w:rFonts w:eastAsia="Calibri"/>
          <w:sz w:val="20"/>
          <w:szCs w:val="20"/>
        </w:rPr>
        <w:t xml:space="preserve">el [PNR] prioriz[ó] la comunidad de Chichupac con el fin de llevar a cabo un proceso </w:t>
      </w:r>
      <w:r w:rsidRPr="00D13792">
        <w:rPr>
          <w:sz w:val="20"/>
          <w:szCs w:val="20"/>
        </w:rPr>
        <w:t>de</w:t>
      </w:r>
      <w:r w:rsidRPr="00D13792">
        <w:rPr>
          <w:rFonts w:eastAsia="Calibri"/>
          <w:sz w:val="20"/>
          <w:szCs w:val="20"/>
        </w:rPr>
        <w:t xml:space="preserve"> resarcimiento integral”. Para ello, en noviembre de 2009 solicitó al Equipo de Estudios Comunitarios </w:t>
      </w:r>
      <w:r w:rsidRPr="00D13792">
        <w:rPr>
          <w:rFonts w:eastAsia="Calibri" w:cs="Arial"/>
          <w:sz w:val="20"/>
          <w:szCs w:val="20"/>
        </w:rPr>
        <w:t xml:space="preserve">y </w:t>
      </w:r>
      <w:r w:rsidRPr="00D13792">
        <w:rPr>
          <w:rFonts w:eastAsia="Calibri"/>
          <w:sz w:val="20"/>
          <w:szCs w:val="20"/>
        </w:rPr>
        <w:t xml:space="preserve">Acción Psicosocial (ECAP) “realizar un diagnóstico </w:t>
      </w:r>
      <w:r w:rsidRPr="00D13792">
        <w:rPr>
          <w:rFonts w:eastAsia="Calibri" w:cs="Arial"/>
          <w:sz w:val="20"/>
          <w:szCs w:val="20"/>
        </w:rPr>
        <w:t xml:space="preserve">y </w:t>
      </w:r>
      <w:r w:rsidRPr="00D13792">
        <w:rPr>
          <w:rFonts w:eastAsia="Calibri"/>
          <w:sz w:val="20"/>
          <w:szCs w:val="20"/>
        </w:rPr>
        <w:t>propuesta de reparación integral para esta comunidad”. Sin embargo, “no [se ha logrado] una respuesta de resarcimiento de forma consensuada con</w:t>
      </w:r>
      <w:r w:rsidRPr="00D13792">
        <w:rPr>
          <w:rFonts w:eastAsia="Times"/>
          <w:bCs/>
          <w:sz w:val="20"/>
          <w:szCs w:val="20"/>
        </w:rPr>
        <w:t xml:space="preserve"> </w:t>
      </w:r>
      <w:r w:rsidRPr="00D13792">
        <w:rPr>
          <w:rFonts w:eastAsia="Calibri"/>
          <w:sz w:val="20"/>
          <w:szCs w:val="20"/>
        </w:rPr>
        <w:t xml:space="preserve">las víctimas, que sea clara y </w:t>
      </w:r>
      <w:r w:rsidRPr="00D13792">
        <w:rPr>
          <w:rFonts w:eastAsia="Calibri"/>
          <w:sz w:val="20"/>
          <w:szCs w:val="20"/>
        </w:rPr>
        <w:lastRenderedPageBreak/>
        <w:t xml:space="preserve">contundente y que recoja todas [sus] necesidades, [sino que] se llevan a cabo acciones aisladas como la construcción de viviendas o la entrega de indemnizaciones económicas, sin un </w:t>
      </w:r>
      <w:r w:rsidRPr="00D13792">
        <w:rPr>
          <w:rFonts w:eastAsia="Calibri" w:cs="Arial"/>
          <w:sz w:val="20"/>
          <w:szCs w:val="20"/>
        </w:rPr>
        <w:t xml:space="preserve">acompañamiento </w:t>
      </w:r>
      <w:r w:rsidRPr="00D13792">
        <w:rPr>
          <w:rFonts w:eastAsia="Calibri"/>
          <w:sz w:val="20"/>
          <w:szCs w:val="20"/>
        </w:rPr>
        <w:t>de medidas de salud, educación, justicia o memoria histórica”. En este sentido, si bien el PNR habría estado “en vías de otorgar vivienda, sin embargo[,] las personas no est[uvieron] de acuerdo con el tipo de vivienda que se les qu[ería] entregar,</w:t>
      </w:r>
      <w:r w:rsidRPr="00D13792">
        <w:rPr>
          <w:rFonts w:eastAsia="Calibri" w:cs="Arial"/>
          <w:i/>
          <w:iCs/>
          <w:sz w:val="20"/>
          <w:szCs w:val="20"/>
        </w:rPr>
        <w:t xml:space="preserve"> </w:t>
      </w:r>
      <w:r w:rsidRPr="00D13792">
        <w:rPr>
          <w:rFonts w:eastAsia="Calibri" w:cs="Arial"/>
          <w:sz w:val="20"/>
          <w:szCs w:val="20"/>
        </w:rPr>
        <w:t xml:space="preserve">y </w:t>
      </w:r>
      <w:r w:rsidRPr="00D13792">
        <w:rPr>
          <w:rFonts w:eastAsia="Calibri"/>
          <w:sz w:val="20"/>
          <w:szCs w:val="20"/>
        </w:rPr>
        <w:t xml:space="preserve">por la ausencia de una reparación integral”. Además, </w:t>
      </w:r>
      <w:r w:rsidRPr="00D13792">
        <w:rPr>
          <w:rFonts w:eastAsia="Calibri" w:cs="Arial"/>
          <w:sz w:val="20"/>
          <w:szCs w:val="20"/>
        </w:rPr>
        <w:t xml:space="preserve">“[l]as </w:t>
      </w:r>
      <w:r w:rsidRPr="00D13792">
        <w:rPr>
          <w:rFonts w:eastAsia="Calibri"/>
          <w:sz w:val="20"/>
          <w:szCs w:val="20"/>
        </w:rPr>
        <w:t xml:space="preserve">personas </w:t>
      </w:r>
      <w:r w:rsidRPr="00D13792">
        <w:rPr>
          <w:rFonts w:eastAsia="Calibri" w:cs="Arial"/>
          <w:sz w:val="20"/>
          <w:szCs w:val="20"/>
        </w:rPr>
        <w:t xml:space="preserve">que </w:t>
      </w:r>
      <w:r w:rsidRPr="00D13792">
        <w:rPr>
          <w:rFonts w:eastAsia="Calibri"/>
          <w:sz w:val="20"/>
          <w:szCs w:val="20"/>
        </w:rPr>
        <w:t xml:space="preserve">viven actualmente desplazadas como consecuencia de la </w:t>
      </w:r>
      <w:r w:rsidRPr="00D13792">
        <w:rPr>
          <w:rFonts w:eastAsia="Batang" w:cs="Times"/>
          <w:sz w:val="20"/>
          <w:szCs w:val="20"/>
        </w:rPr>
        <w:t>masacre</w:t>
      </w:r>
      <w:r w:rsidRPr="00D13792">
        <w:rPr>
          <w:rFonts w:eastAsia="Calibri"/>
          <w:sz w:val="20"/>
          <w:szCs w:val="20"/>
        </w:rPr>
        <w:t>,</w:t>
      </w:r>
      <w:r w:rsidRPr="00D13792">
        <w:rPr>
          <w:rFonts w:eastAsia="Calibri" w:cs="Arial"/>
          <w:sz w:val="20"/>
          <w:szCs w:val="20"/>
        </w:rPr>
        <w:t xml:space="preserve"> </w:t>
      </w:r>
      <w:r w:rsidRPr="00D13792">
        <w:rPr>
          <w:rFonts w:eastAsia="Calibri"/>
          <w:sz w:val="20"/>
          <w:szCs w:val="20"/>
        </w:rPr>
        <w:t>no son tomadas en cuenta para las medidas de</w:t>
      </w:r>
      <w:r w:rsidRPr="00D13792">
        <w:rPr>
          <w:rFonts w:eastAsia="Times"/>
          <w:bCs/>
          <w:sz w:val="20"/>
          <w:szCs w:val="20"/>
        </w:rPr>
        <w:t xml:space="preserve"> </w:t>
      </w:r>
      <w:r w:rsidRPr="00D13792">
        <w:rPr>
          <w:rFonts w:eastAsia="Calibri"/>
          <w:sz w:val="20"/>
          <w:szCs w:val="20"/>
        </w:rPr>
        <w:t>resarcimiento como por ejemplo, la construcción de vivienda</w:t>
      </w:r>
      <w:r w:rsidRPr="00D13792">
        <w:rPr>
          <w:rFonts w:eastAsia="Times"/>
          <w:bCs/>
          <w:sz w:val="20"/>
          <w:szCs w:val="20"/>
        </w:rPr>
        <w:t>”</w:t>
      </w:r>
      <w:r w:rsidRPr="00D13792">
        <w:rPr>
          <w:rFonts w:eastAsia="Times"/>
          <w:sz w:val="20"/>
          <w:szCs w:val="20"/>
          <w:vertAlign w:val="superscript"/>
        </w:rPr>
        <w:footnoteReference w:id="200"/>
      </w:r>
      <w:r w:rsidRPr="00D13792">
        <w:rPr>
          <w:rFonts w:eastAsia="Calibri"/>
          <w:sz w:val="20"/>
          <w:szCs w:val="20"/>
        </w:rPr>
        <w:t>.</w:t>
      </w:r>
      <w:r w:rsidRPr="00D13792">
        <w:rPr>
          <w:rFonts w:eastAsia="Times"/>
          <w:bCs/>
          <w:sz w:val="20"/>
          <w:szCs w:val="20"/>
        </w:rPr>
        <w:t xml:space="preserve"> </w:t>
      </w:r>
    </w:p>
    <w:p w:rsidR="006A0E1C" w:rsidRPr="00D13792" w:rsidRDefault="006A0E1C" w:rsidP="006A0E1C">
      <w:pPr>
        <w:widowControl/>
        <w:adjustRightInd/>
        <w:spacing w:line="240" w:lineRule="auto"/>
        <w:ind w:left="720"/>
        <w:contextualSpacing/>
        <w:jc w:val="left"/>
        <w:textAlignment w:val="auto"/>
        <w:rPr>
          <w:rFonts w:eastAsia="Times"/>
          <w:bCs/>
          <w:sz w:val="20"/>
          <w:szCs w:val="20"/>
          <w:lang w:eastAsia="en-US"/>
        </w:rPr>
      </w:pPr>
    </w:p>
    <w:p w:rsidR="006A0E1C" w:rsidRPr="00D13792" w:rsidRDefault="006A0E1C" w:rsidP="006A0E1C">
      <w:pPr>
        <w:numPr>
          <w:ilvl w:val="0"/>
          <w:numId w:val="6"/>
        </w:numPr>
        <w:tabs>
          <w:tab w:val="left" w:pos="567"/>
        </w:tabs>
        <w:spacing w:line="240" w:lineRule="auto"/>
        <w:ind w:right="4"/>
        <w:rPr>
          <w:rFonts w:eastAsia="Times"/>
          <w:bCs/>
          <w:sz w:val="20"/>
          <w:szCs w:val="20"/>
        </w:rPr>
      </w:pPr>
      <w:r w:rsidRPr="00D13792">
        <w:rPr>
          <w:rFonts w:eastAsia="Times"/>
          <w:bCs/>
          <w:sz w:val="20"/>
          <w:szCs w:val="20"/>
        </w:rPr>
        <w:t xml:space="preserve">La Corte no cuenta con información sobre si el PNR contemplaría medidas concretas sobre un posible retorno </w:t>
      </w:r>
      <w:r w:rsidRPr="00D13792">
        <w:rPr>
          <w:rFonts w:cs="Verdana"/>
          <w:sz w:val="20"/>
          <w:szCs w:val="20"/>
        </w:rPr>
        <w:t xml:space="preserve">o </w:t>
      </w:r>
      <w:r w:rsidRPr="00D13792">
        <w:rPr>
          <w:rFonts w:eastAsia="Batang" w:cs="Times"/>
          <w:sz w:val="20"/>
          <w:szCs w:val="20"/>
        </w:rPr>
        <w:t>un</w:t>
      </w:r>
      <w:r w:rsidRPr="00D13792">
        <w:rPr>
          <w:rFonts w:cs="Verdana"/>
          <w:sz w:val="20"/>
          <w:szCs w:val="20"/>
        </w:rPr>
        <w:t xml:space="preserve"> reasentamiento voluntario y reintegración </w:t>
      </w:r>
      <w:r w:rsidRPr="00D13792">
        <w:rPr>
          <w:rFonts w:eastAsia="Batang" w:cs="Times"/>
          <w:sz w:val="20"/>
          <w:szCs w:val="20"/>
        </w:rPr>
        <w:t xml:space="preserve">de las personas que fueron desplazadas de la aldea Chichupac y comunidades vecinas del municipio de Rabinal, el cual incluya </w:t>
      </w:r>
      <w:r w:rsidRPr="00D13792">
        <w:rPr>
          <w:sz w:val="20"/>
          <w:szCs w:val="20"/>
        </w:rPr>
        <w:t>eventualmente</w:t>
      </w:r>
      <w:r w:rsidRPr="00D13792">
        <w:rPr>
          <w:rFonts w:eastAsia="Batang" w:cs="Times"/>
          <w:sz w:val="20"/>
          <w:szCs w:val="20"/>
        </w:rPr>
        <w:t xml:space="preserve"> su</w:t>
      </w:r>
      <w:r w:rsidRPr="00D13792">
        <w:rPr>
          <w:rFonts w:eastAsia="Times"/>
          <w:bCs/>
          <w:sz w:val="20"/>
          <w:szCs w:val="20"/>
        </w:rPr>
        <w:t xml:space="preserve"> </w:t>
      </w:r>
      <w:r w:rsidRPr="00D13792">
        <w:rPr>
          <w:rFonts w:cs="Verdana"/>
          <w:sz w:val="20"/>
          <w:szCs w:val="20"/>
        </w:rPr>
        <w:t>participación plena en la planificación y gestión.</w:t>
      </w:r>
      <w:r w:rsidRPr="00D13792">
        <w:rPr>
          <w:rFonts w:eastAsia="Times"/>
          <w:bCs/>
          <w:sz w:val="20"/>
          <w:szCs w:val="20"/>
        </w:rPr>
        <w:t xml:space="preserve"> Tampoco cuenta con información sobre </w:t>
      </w:r>
      <w:r w:rsidRPr="00D13792">
        <w:rPr>
          <w:rFonts w:eastAsia="Batang" w:cs="Times"/>
          <w:sz w:val="20"/>
          <w:szCs w:val="20"/>
        </w:rPr>
        <w:t>si, de contemplar dichas medidas, habrían sido eventualmente implementadas</w:t>
      </w:r>
      <w:r w:rsidRPr="00D13792">
        <w:rPr>
          <w:rFonts w:eastAsia="Times"/>
          <w:bCs/>
          <w:sz w:val="20"/>
          <w:szCs w:val="20"/>
        </w:rPr>
        <w:t xml:space="preserve">. </w:t>
      </w:r>
      <w:r w:rsidRPr="00D13792">
        <w:rPr>
          <w:rFonts w:eastAsia="Calibri"/>
          <w:sz w:val="20"/>
          <w:szCs w:val="20"/>
        </w:rPr>
        <w:t xml:space="preserve">Si bien consta que </w:t>
      </w:r>
      <w:r w:rsidRPr="00D13792">
        <w:rPr>
          <w:rFonts w:eastAsia="Times"/>
          <w:sz w:val="20"/>
          <w:szCs w:val="20"/>
        </w:rPr>
        <w:t>en el año 2009 y a solicitud del</w:t>
      </w:r>
      <w:r w:rsidRPr="00D13792">
        <w:rPr>
          <w:rFonts w:eastAsia="Calibri"/>
          <w:sz w:val="20"/>
          <w:szCs w:val="20"/>
        </w:rPr>
        <w:t xml:space="preserve"> PNR, </w:t>
      </w:r>
      <w:r w:rsidRPr="00D13792">
        <w:rPr>
          <w:rFonts w:eastAsia="Times"/>
          <w:sz w:val="20"/>
          <w:szCs w:val="20"/>
        </w:rPr>
        <w:t>e</w:t>
      </w:r>
      <w:r w:rsidRPr="00D13792">
        <w:rPr>
          <w:rFonts w:eastAsia="Calibri"/>
          <w:sz w:val="20"/>
          <w:szCs w:val="20"/>
        </w:rPr>
        <w:t xml:space="preserve">l Equipo de Estudios Comunitarios </w:t>
      </w:r>
      <w:r w:rsidRPr="00D13792">
        <w:rPr>
          <w:rFonts w:eastAsia="Calibri" w:cs="Arial"/>
          <w:sz w:val="20"/>
          <w:szCs w:val="20"/>
        </w:rPr>
        <w:t xml:space="preserve">y </w:t>
      </w:r>
      <w:r w:rsidRPr="00D13792">
        <w:rPr>
          <w:rFonts w:eastAsia="Calibri"/>
          <w:sz w:val="20"/>
          <w:szCs w:val="20"/>
        </w:rPr>
        <w:t xml:space="preserve">Acción Psicosocial (ECAP) elaboró un </w:t>
      </w:r>
      <w:r w:rsidRPr="00D13792">
        <w:rPr>
          <w:rFonts w:eastAsia="Times"/>
          <w:sz w:val="20"/>
          <w:szCs w:val="20"/>
        </w:rPr>
        <w:t xml:space="preserve">diagnóstico </w:t>
      </w:r>
      <w:r w:rsidRPr="00D13792">
        <w:rPr>
          <w:rFonts w:eastAsia="Calibri"/>
          <w:sz w:val="20"/>
          <w:szCs w:val="20"/>
        </w:rPr>
        <w:t xml:space="preserve">sobre la Comunidad Chichupac, </w:t>
      </w:r>
      <w:r w:rsidRPr="00D13792">
        <w:rPr>
          <w:rFonts w:eastAsia="Times"/>
          <w:bCs/>
          <w:sz w:val="20"/>
          <w:szCs w:val="20"/>
        </w:rPr>
        <w:t xml:space="preserve">no </w:t>
      </w:r>
      <w:r w:rsidRPr="00D13792">
        <w:rPr>
          <w:rFonts w:eastAsia="Calibri"/>
          <w:sz w:val="20"/>
          <w:szCs w:val="20"/>
        </w:rPr>
        <w:t xml:space="preserve">se tiene información sobre el eventual seguimiento a dicho diagnóstico. Más aún, la </w:t>
      </w:r>
      <w:r w:rsidRPr="00D13792">
        <w:rPr>
          <w:rFonts w:eastAsia="Times"/>
          <w:bCs/>
          <w:sz w:val="20"/>
          <w:szCs w:val="20"/>
        </w:rPr>
        <w:t>oficina municipal en Rabinal del PNR fue cerrada en los últimos días de marzo de 2016</w:t>
      </w:r>
      <w:r w:rsidRPr="00D13792">
        <w:rPr>
          <w:rFonts w:eastAsia="Calibri"/>
          <w:sz w:val="20"/>
          <w:szCs w:val="20"/>
        </w:rPr>
        <w:t xml:space="preserve">, sin que se tenga conocimiento si </w:t>
      </w:r>
      <w:r w:rsidRPr="00D13792">
        <w:rPr>
          <w:rFonts w:eastAsia="Times"/>
          <w:bCs/>
          <w:sz w:val="20"/>
          <w:szCs w:val="20"/>
        </w:rPr>
        <w:t>habría sido cerrada temporalmente o de manera definitiva.</w:t>
      </w:r>
    </w:p>
    <w:p w:rsidR="006A0E1C" w:rsidRPr="00D13792" w:rsidRDefault="006A0E1C" w:rsidP="006A0E1C">
      <w:pPr>
        <w:widowControl/>
        <w:adjustRightInd/>
        <w:spacing w:line="240" w:lineRule="auto"/>
        <w:ind w:left="720"/>
        <w:contextualSpacing/>
        <w:jc w:val="left"/>
        <w:textAlignment w:val="auto"/>
        <w:rPr>
          <w:rFonts w:eastAsia="Times"/>
          <w:sz w:val="20"/>
          <w:szCs w:val="20"/>
          <w:lang w:eastAsia="en-US"/>
        </w:rPr>
      </w:pPr>
    </w:p>
    <w:p w:rsidR="006A0E1C" w:rsidRPr="00D13792" w:rsidRDefault="006A0E1C" w:rsidP="006A0E1C">
      <w:pPr>
        <w:numPr>
          <w:ilvl w:val="0"/>
          <w:numId w:val="6"/>
        </w:numPr>
        <w:tabs>
          <w:tab w:val="left" w:pos="567"/>
        </w:tabs>
        <w:spacing w:line="240" w:lineRule="auto"/>
        <w:ind w:right="4"/>
        <w:rPr>
          <w:rFonts w:eastAsia="Times"/>
          <w:bCs/>
          <w:sz w:val="20"/>
          <w:szCs w:val="20"/>
        </w:rPr>
      </w:pPr>
      <w:r w:rsidRPr="00D13792">
        <w:rPr>
          <w:rFonts w:eastAsia="Times"/>
          <w:sz w:val="20"/>
          <w:szCs w:val="20"/>
        </w:rPr>
        <w:t xml:space="preserve">Ahora bien, consta que el Estado ha realizado la construcción de viviendas </w:t>
      </w:r>
      <w:r w:rsidRPr="00D13792">
        <w:rPr>
          <w:rFonts w:eastAsia="Calibri"/>
          <w:sz w:val="20"/>
          <w:szCs w:val="20"/>
        </w:rPr>
        <w:t xml:space="preserve">y entregado algunas indemnizaciones económicas, sin embargo, este Tribunal no cuenta con información </w:t>
      </w:r>
      <w:r w:rsidRPr="00D13792">
        <w:rPr>
          <w:rFonts w:eastAsia="Times"/>
          <w:bCs/>
          <w:sz w:val="20"/>
          <w:szCs w:val="20"/>
        </w:rPr>
        <w:t xml:space="preserve">clara y precisa sobre los criterios que se han seguido al implementar dichas acciones, si su entrega se ha </w:t>
      </w:r>
      <w:r w:rsidRPr="00D13792">
        <w:rPr>
          <w:rFonts w:eastAsia="Batang" w:cs="Times"/>
          <w:sz w:val="20"/>
          <w:szCs w:val="20"/>
        </w:rPr>
        <w:t>realizado</w:t>
      </w:r>
      <w:r w:rsidRPr="00D13792">
        <w:rPr>
          <w:rFonts w:eastAsia="Times"/>
          <w:bCs/>
          <w:sz w:val="20"/>
          <w:szCs w:val="20"/>
        </w:rPr>
        <w:t xml:space="preserve"> a los propietarios </w:t>
      </w:r>
      <w:r w:rsidRPr="00D13792">
        <w:rPr>
          <w:rFonts w:eastAsia="Batang" w:cs="Times"/>
          <w:sz w:val="20"/>
          <w:szCs w:val="20"/>
        </w:rPr>
        <w:t>originales</w:t>
      </w:r>
      <w:r w:rsidRPr="00D13792">
        <w:rPr>
          <w:rFonts w:eastAsia="Times"/>
          <w:bCs/>
          <w:sz w:val="20"/>
          <w:szCs w:val="20"/>
        </w:rPr>
        <w:t xml:space="preserve"> de los territorios o a las personas que forman parte de los nuevos asentamientos, ni si </w:t>
      </w:r>
      <w:r w:rsidRPr="00D13792">
        <w:rPr>
          <w:rFonts w:eastAsia="Calibri"/>
          <w:sz w:val="20"/>
          <w:szCs w:val="20"/>
        </w:rPr>
        <w:t>responden a una estrategia de retorno</w:t>
      </w:r>
      <w:r w:rsidRPr="00D13792">
        <w:rPr>
          <w:rFonts w:eastAsia="Times"/>
          <w:sz w:val="20"/>
          <w:szCs w:val="20"/>
        </w:rPr>
        <w:t xml:space="preserve"> para revertir la </w:t>
      </w:r>
      <w:r w:rsidRPr="00D13792">
        <w:rPr>
          <w:sz w:val="20"/>
          <w:szCs w:val="20"/>
        </w:rPr>
        <w:t>situación</w:t>
      </w:r>
      <w:r w:rsidRPr="00D13792">
        <w:rPr>
          <w:rFonts w:eastAsia="Times"/>
          <w:sz w:val="20"/>
          <w:szCs w:val="20"/>
        </w:rPr>
        <w:t xml:space="preserve"> de desplazamiento de los miembros de las comunidades, y tampoco </w:t>
      </w:r>
      <w:r w:rsidRPr="00D13792">
        <w:rPr>
          <w:rFonts w:eastAsia="Times"/>
          <w:bCs/>
          <w:sz w:val="20"/>
          <w:szCs w:val="20"/>
        </w:rPr>
        <w:t>si son dirigidas a personas que viven dentro de las comunidades, o a personas que se encuentran desplazadas de estas.</w:t>
      </w:r>
    </w:p>
    <w:p w:rsidR="006A0E1C" w:rsidRPr="00D13792" w:rsidRDefault="006A0E1C" w:rsidP="006A0E1C">
      <w:pPr>
        <w:widowControl/>
        <w:adjustRightInd/>
        <w:spacing w:line="240" w:lineRule="auto"/>
        <w:contextualSpacing/>
        <w:textAlignment w:val="auto"/>
        <w:rPr>
          <w:rFonts w:eastAsia="Times" w:cs="Arial"/>
          <w:sz w:val="20"/>
          <w:szCs w:val="20"/>
          <w:lang w:eastAsia="en-US"/>
        </w:rPr>
      </w:pPr>
    </w:p>
    <w:p w:rsidR="006A0E1C" w:rsidRPr="00D13792" w:rsidRDefault="006A0E1C" w:rsidP="006A0E1C">
      <w:pPr>
        <w:numPr>
          <w:ilvl w:val="0"/>
          <w:numId w:val="6"/>
        </w:numPr>
        <w:tabs>
          <w:tab w:val="left" w:pos="567"/>
        </w:tabs>
        <w:spacing w:line="240" w:lineRule="auto"/>
        <w:ind w:right="4"/>
        <w:rPr>
          <w:rFonts w:eastAsia="Times" w:cs="Arial"/>
          <w:sz w:val="20"/>
          <w:szCs w:val="20"/>
        </w:rPr>
      </w:pPr>
      <w:r w:rsidRPr="00D13792">
        <w:rPr>
          <w:rFonts w:eastAsia="Times"/>
          <w:sz w:val="20"/>
          <w:szCs w:val="20"/>
        </w:rPr>
        <w:t xml:space="preserve">Todo lo anterior permite a la Corte concluir que el Estado no adoptó medidas suficientes y efectivas para </w:t>
      </w:r>
      <w:r w:rsidRPr="00D13792">
        <w:rPr>
          <w:sz w:val="20"/>
          <w:szCs w:val="20"/>
        </w:rPr>
        <w:t>garantizar</w:t>
      </w:r>
      <w:r w:rsidRPr="00D13792">
        <w:rPr>
          <w:rFonts w:eastAsia="Times"/>
          <w:sz w:val="20"/>
          <w:szCs w:val="20"/>
        </w:rPr>
        <w:t xml:space="preserve"> a las personas desplazadas de Chichupac y comunidades vecinas, un retorno digno y seguro a sus lugares de residencia habitual o un reasentamiento voluntario en otra parte del país</w:t>
      </w:r>
      <w:r w:rsidRPr="00D13792">
        <w:rPr>
          <w:rFonts w:eastAsia="Batang" w:cs="Times"/>
          <w:sz w:val="20"/>
          <w:szCs w:val="20"/>
        </w:rPr>
        <w:t xml:space="preserve">, o, en su caso, una </w:t>
      </w:r>
      <w:r w:rsidRPr="00D13792">
        <w:rPr>
          <w:rFonts w:eastAsia="Times"/>
          <w:sz w:val="20"/>
          <w:szCs w:val="20"/>
        </w:rPr>
        <w:t>indemnización adecuada</w:t>
      </w:r>
      <w:r w:rsidRPr="00D13792">
        <w:rPr>
          <w:rFonts w:eastAsia="Batang" w:cs="Times"/>
          <w:sz w:val="20"/>
          <w:szCs w:val="20"/>
        </w:rPr>
        <w:t>.</w:t>
      </w:r>
      <w:r w:rsidRPr="00D13792">
        <w:rPr>
          <w:rFonts w:eastAsia="Times"/>
          <w:sz w:val="20"/>
          <w:szCs w:val="20"/>
        </w:rPr>
        <w:t xml:space="preserve"> Tampoco estableci</w:t>
      </w:r>
      <w:r w:rsidRPr="00D13792">
        <w:rPr>
          <w:sz w:val="20"/>
          <w:szCs w:val="20"/>
        </w:rPr>
        <w:t>ó</w:t>
      </w:r>
      <w:r w:rsidRPr="00D13792">
        <w:rPr>
          <w:rFonts w:eastAsia="Times"/>
          <w:sz w:val="20"/>
          <w:szCs w:val="20"/>
        </w:rPr>
        <w:t xml:space="preserve"> el Estado las condiciones ni proporcionó los medios indispensables para reparar o mitigar los efectos del desplazamiento de los miembros de las comunidades que se reasentaron con posterioridad al </w:t>
      </w:r>
      <w:r w:rsidRPr="00D13792">
        <w:rPr>
          <w:rFonts w:eastAsia="Batang" w:cs="Times"/>
          <w:sz w:val="20"/>
          <w:szCs w:val="20"/>
        </w:rPr>
        <w:t>9 de marzo 1987</w:t>
      </w:r>
      <w:r w:rsidRPr="00D13792">
        <w:rPr>
          <w:rFonts w:eastAsia="Times"/>
          <w:sz w:val="20"/>
          <w:szCs w:val="20"/>
        </w:rPr>
        <w:t xml:space="preserve">. En consecuencia, el Estado no garantizó la </w:t>
      </w:r>
      <w:r w:rsidRPr="00D13792">
        <w:rPr>
          <w:rFonts w:eastAsia="Batang" w:cs="Times"/>
          <w:sz w:val="20"/>
          <w:szCs w:val="20"/>
        </w:rPr>
        <w:t xml:space="preserve">libertad de circulación y de residencia de los miembros de la aldea Chichupac y comunidades vecinas del municipio de Rabinal que fueron desplazados de </w:t>
      </w:r>
      <w:r w:rsidRPr="00D13792">
        <w:rPr>
          <w:rFonts w:eastAsia="Times"/>
          <w:sz w:val="20"/>
          <w:szCs w:val="20"/>
        </w:rPr>
        <w:t xml:space="preserve">sus comunidades, en violación del </w:t>
      </w:r>
      <w:r w:rsidRPr="00D13792">
        <w:rPr>
          <w:rFonts w:eastAsia="Batang" w:cs="Times"/>
          <w:sz w:val="20"/>
          <w:szCs w:val="20"/>
        </w:rPr>
        <w:t>artículo 22.1 de la Convención Americana, en relación con el artículo 1.1 de la misma</w:t>
      </w:r>
      <w:r w:rsidRPr="00D13792">
        <w:rPr>
          <w:rFonts w:eastAsia="Times"/>
          <w:sz w:val="20"/>
          <w:szCs w:val="20"/>
        </w:rPr>
        <w:t>.</w:t>
      </w:r>
    </w:p>
    <w:p w:rsidR="006A0E1C" w:rsidRPr="00D13792" w:rsidRDefault="006A0E1C" w:rsidP="006A0E1C">
      <w:pPr>
        <w:widowControl/>
        <w:adjustRightInd/>
        <w:spacing w:line="240" w:lineRule="auto"/>
        <w:contextualSpacing/>
        <w:textAlignment w:val="auto"/>
        <w:rPr>
          <w:rFonts w:eastAsia="Times" w:cs="Arial"/>
          <w:sz w:val="20"/>
          <w:szCs w:val="20"/>
          <w:lang w:eastAsia="en-US"/>
        </w:rPr>
      </w:pPr>
    </w:p>
    <w:p w:rsidR="006A0E1C" w:rsidRPr="00D13792" w:rsidRDefault="006A0E1C" w:rsidP="006A0E1C">
      <w:pPr>
        <w:pStyle w:val="Heading3"/>
        <w:ind w:left="0"/>
        <w:rPr>
          <w:i/>
          <w:lang w:val="es-CR"/>
        </w:rPr>
      </w:pPr>
      <w:bookmarkStart w:id="222" w:name="_Toc460938885"/>
      <w:bookmarkStart w:id="223" w:name="_Toc469670052"/>
      <w:r w:rsidRPr="00D13792">
        <w:rPr>
          <w:i/>
          <w:lang w:val="es-CR"/>
        </w:rPr>
        <w:t>B.3. Impactos del desplazamiento y la omisión de garantizar medidas de retorno en los miembros de la aldea Chichupac y comunidades vecinas de Rabinal</w:t>
      </w:r>
      <w:bookmarkEnd w:id="222"/>
      <w:bookmarkEnd w:id="223"/>
    </w:p>
    <w:p w:rsidR="006A0E1C" w:rsidRPr="00D13792" w:rsidRDefault="006A0E1C" w:rsidP="006A0E1C">
      <w:pPr>
        <w:widowControl/>
        <w:adjustRightInd/>
        <w:spacing w:line="240" w:lineRule="auto"/>
        <w:textAlignment w:val="auto"/>
        <w:rPr>
          <w:rFonts w:eastAsia="Batang" w:cs="Times"/>
          <w:sz w:val="20"/>
          <w:szCs w:val="20"/>
          <w:lang w:eastAsia="en-US"/>
        </w:rPr>
      </w:pPr>
    </w:p>
    <w:p w:rsidR="006A0E1C" w:rsidRPr="00D13792" w:rsidRDefault="006A0E1C" w:rsidP="006A0E1C">
      <w:pPr>
        <w:numPr>
          <w:ilvl w:val="0"/>
          <w:numId w:val="6"/>
        </w:numPr>
        <w:tabs>
          <w:tab w:val="left" w:pos="567"/>
        </w:tabs>
        <w:spacing w:line="240" w:lineRule="auto"/>
        <w:ind w:right="4"/>
        <w:rPr>
          <w:rFonts w:eastAsia="Batang" w:cs="Times"/>
          <w:sz w:val="20"/>
          <w:szCs w:val="20"/>
        </w:rPr>
      </w:pPr>
      <w:r w:rsidRPr="00D13792">
        <w:rPr>
          <w:rFonts w:eastAsia="Batang" w:cs="Times"/>
          <w:sz w:val="20"/>
          <w:szCs w:val="20"/>
        </w:rPr>
        <w:t>Se desprende de la prueba remitida al Tribunal que el desplazamiento y la omisión de garantizar medidas de retorno o reasentamiento tuvieron graves efectos en el desarrollo de los proyectos de vida y relaciones familiares de los miembros de la comunidad maya achí de la aldea Chichupac y comunidades vecinas. En este sentido, el perito Luis Raúl Francisco Salvadó Cardoza y l</w:t>
      </w:r>
      <w:r w:rsidRPr="00D13792">
        <w:rPr>
          <w:rFonts w:eastAsia="Calibri" w:cs="Arial"/>
          <w:sz w:val="20"/>
          <w:szCs w:val="20"/>
        </w:rPr>
        <w:t xml:space="preserve">a psicóloga Nieves Gómez Dupuis </w:t>
      </w:r>
      <w:r w:rsidRPr="00D13792">
        <w:rPr>
          <w:rFonts w:eastAsia="Batang" w:cs="Times"/>
          <w:sz w:val="20"/>
          <w:szCs w:val="20"/>
        </w:rPr>
        <w:t xml:space="preserve">sostuvieron que, </w:t>
      </w:r>
      <w:r w:rsidRPr="00D13792">
        <w:rPr>
          <w:rFonts w:eastAsia="Calibri" w:cs="Arial"/>
          <w:sz w:val="20"/>
          <w:szCs w:val="20"/>
        </w:rPr>
        <w:t xml:space="preserve">como efecto directo del proceso de </w:t>
      </w:r>
      <w:r w:rsidRPr="00D13792">
        <w:rPr>
          <w:sz w:val="20"/>
          <w:szCs w:val="20"/>
        </w:rPr>
        <w:t>desplazamiento</w:t>
      </w:r>
      <w:r w:rsidRPr="00D13792">
        <w:rPr>
          <w:rFonts w:eastAsia="Calibri" w:cs="Arial"/>
          <w:sz w:val="20"/>
          <w:szCs w:val="20"/>
        </w:rPr>
        <w:t xml:space="preserve"> y </w:t>
      </w:r>
      <w:r w:rsidRPr="00D13792">
        <w:rPr>
          <w:rFonts w:eastAsia="Batang" w:cs="Times"/>
          <w:sz w:val="20"/>
          <w:szCs w:val="20"/>
        </w:rPr>
        <w:t>en el marco de estrategias de sobrevivencia</w:t>
      </w:r>
      <w:r w:rsidRPr="00D13792">
        <w:rPr>
          <w:rFonts w:eastAsia="Calibri" w:cs="Arial"/>
          <w:sz w:val="20"/>
          <w:szCs w:val="20"/>
        </w:rPr>
        <w:t xml:space="preserve">, se </w:t>
      </w:r>
      <w:r w:rsidRPr="00D13792">
        <w:rPr>
          <w:rFonts w:eastAsia="Batang" w:cs="Times"/>
          <w:sz w:val="20"/>
          <w:szCs w:val="20"/>
        </w:rPr>
        <w:t>produjeron abruptos cambios de rol</w:t>
      </w:r>
      <w:r w:rsidRPr="00D13792">
        <w:rPr>
          <w:rFonts w:eastAsia="Calibri" w:cs="Arial"/>
          <w:sz w:val="20"/>
          <w:szCs w:val="20"/>
        </w:rPr>
        <w:t xml:space="preserve"> y un cambio “brutal” en el proyecto de vida de las personas. Para ejemplificar lo anterior explicó: “[las] mujeres […] al esconderse en diferentes ciudades tuvieron que ‘lavar </w:t>
      </w:r>
      <w:r w:rsidRPr="00D13792">
        <w:rPr>
          <w:rFonts w:eastAsia="Calibri" w:cs="Arial"/>
          <w:sz w:val="20"/>
          <w:szCs w:val="20"/>
        </w:rPr>
        <w:lastRenderedPageBreak/>
        <w:t xml:space="preserve">ajeno’, hacer tortillas o tamales para vender de casa en casa, o </w:t>
      </w:r>
      <w:r w:rsidRPr="00D13792">
        <w:rPr>
          <w:rFonts w:eastAsia="Batang" w:cs="Times"/>
          <w:sz w:val="20"/>
          <w:szCs w:val="20"/>
        </w:rPr>
        <w:t>también</w:t>
      </w:r>
      <w:r w:rsidRPr="00D13792">
        <w:rPr>
          <w:rFonts w:eastAsia="Calibri" w:cs="Arial"/>
          <w:sz w:val="20"/>
          <w:szCs w:val="20"/>
        </w:rPr>
        <w:t xml:space="preserve"> emplearse en servicio doméstico, etc., mientras que en la comunidad previa eran amas de casa en unidades </w:t>
      </w:r>
      <w:r w:rsidRPr="00D13792">
        <w:rPr>
          <w:rFonts w:eastAsia="Batang" w:cs="Times"/>
          <w:sz w:val="20"/>
          <w:szCs w:val="20"/>
        </w:rPr>
        <w:t>familiares</w:t>
      </w:r>
      <w:r w:rsidRPr="00D13792">
        <w:rPr>
          <w:rFonts w:eastAsia="Calibri" w:cs="Arial"/>
          <w:sz w:val="20"/>
          <w:szCs w:val="20"/>
        </w:rPr>
        <w:t xml:space="preserve"> rurales”; “niños […] pasa[ro]n a ser jefes de familia [y hacerse] cargo de sus hermanos menores después del asesinato de sus padres, hasta encontrar a sus abuelos”; otros </w:t>
      </w:r>
      <w:r w:rsidRPr="00D13792">
        <w:rPr>
          <w:rFonts w:eastAsia="Batang" w:cs="Times"/>
          <w:sz w:val="20"/>
          <w:szCs w:val="20"/>
        </w:rPr>
        <w:t>“</w:t>
      </w:r>
      <w:r w:rsidRPr="00D13792">
        <w:rPr>
          <w:rFonts w:eastAsia="Calibri" w:cs="Arial"/>
          <w:sz w:val="20"/>
          <w:szCs w:val="20"/>
        </w:rPr>
        <w:t>pasaron de ser pequeños propietarios o usufructuarios de parcelas</w:t>
      </w:r>
      <w:r w:rsidRPr="00D13792">
        <w:rPr>
          <w:rFonts w:eastAsia="Batang" w:cs="Times"/>
          <w:sz w:val="20"/>
          <w:szCs w:val="20"/>
        </w:rPr>
        <w:t xml:space="preserve"> </w:t>
      </w:r>
      <w:r w:rsidRPr="00D13792">
        <w:rPr>
          <w:rFonts w:eastAsia="Calibri" w:cs="Arial"/>
          <w:sz w:val="20"/>
          <w:szCs w:val="20"/>
        </w:rPr>
        <w:t xml:space="preserve">agrícolas” a emplearse como “obreros de maquilas”, “albañiles”, “‘cargadores de bultos’ en diferentes mercados municipales del país”, “incorporarse como asalariados en fincas situadas en </w:t>
      </w:r>
      <w:r w:rsidRPr="00D13792">
        <w:rPr>
          <w:rFonts w:eastAsia="Batang" w:cs="Times"/>
          <w:sz w:val="20"/>
          <w:szCs w:val="20"/>
        </w:rPr>
        <w:t>diferentes</w:t>
      </w:r>
      <w:r w:rsidRPr="00D13792">
        <w:rPr>
          <w:rFonts w:eastAsia="Calibri" w:cs="Arial"/>
          <w:sz w:val="20"/>
          <w:szCs w:val="20"/>
        </w:rPr>
        <w:t xml:space="preserve"> departamentos” y trabajar en “oficios domésticos”</w:t>
      </w:r>
      <w:r w:rsidRPr="00D13792">
        <w:rPr>
          <w:rFonts w:eastAsia="Batang"/>
          <w:sz w:val="20"/>
          <w:szCs w:val="20"/>
          <w:vertAlign w:val="superscript"/>
        </w:rPr>
        <w:footnoteReference w:id="201"/>
      </w:r>
      <w:r w:rsidRPr="00D13792">
        <w:rPr>
          <w:rFonts w:eastAsia="Calibri"/>
          <w:sz w:val="20"/>
          <w:szCs w:val="20"/>
        </w:rPr>
        <w:t>.</w:t>
      </w:r>
    </w:p>
    <w:p w:rsidR="006A0E1C" w:rsidRPr="00D13792" w:rsidRDefault="006A0E1C" w:rsidP="006A0E1C">
      <w:pPr>
        <w:widowControl/>
        <w:adjustRightInd/>
        <w:spacing w:line="240" w:lineRule="auto"/>
        <w:ind w:left="720"/>
        <w:contextualSpacing/>
        <w:jc w:val="left"/>
        <w:textAlignment w:val="auto"/>
        <w:rPr>
          <w:rFonts w:eastAsia="Calibri" w:cs="Arial"/>
          <w:sz w:val="20"/>
          <w:szCs w:val="20"/>
          <w:lang w:eastAsia="en-US"/>
        </w:rPr>
      </w:pPr>
    </w:p>
    <w:p w:rsidR="006A0E1C" w:rsidRPr="00D13792" w:rsidRDefault="006A0E1C" w:rsidP="006A0E1C">
      <w:pPr>
        <w:numPr>
          <w:ilvl w:val="0"/>
          <w:numId w:val="6"/>
        </w:numPr>
        <w:tabs>
          <w:tab w:val="left" w:pos="567"/>
        </w:tabs>
        <w:spacing w:line="240" w:lineRule="auto"/>
        <w:ind w:right="4"/>
        <w:rPr>
          <w:rFonts w:eastAsia="Batang" w:cs="Times"/>
          <w:sz w:val="20"/>
          <w:szCs w:val="20"/>
        </w:rPr>
      </w:pPr>
      <w:r w:rsidRPr="00D13792">
        <w:rPr>
          <w:rFonts w:eastAsia="Batang" w:cs="Times"/>
          <w:sz w:val="20"/>
          <w:szCs w:val="20"/>
        </w:rPr>
        <w:t xml:space="preserve">Igualmente, para la Corte es evidente que el desplazamiento de los miembros de la aldea Chichupac y comunidades vecinas impactó gravemente la relación del pueblo maya achí con su territorio, así </w:t>
      </w:r>
      <w:r w:rsidRPr="00D13792">
        <w:rPr>
          <w:sz w:val="20"/>
          <w:szCs w:val="20"/>
        </w:rPr>
        <w:t>como</w:t>
      </w:r>
      <w:r w:rsidRPr="00D13792">
        <w:rPr>
          <w:rFonts w:eastAsia="Batang" w:cs="Times"/>
          <w:sz w:val="20"/>
          <w:szCs w:val="20"/>
        </w:rPr>
        <w:t xml:space="preserve"> los lazos comunitarios, tradicionales, culturales y ancestrales del grupo como tal. Al respecto,</w:t>
      </w:r>
      <w:r w:rsidRPr="00D13792">
        <w:rPr>
          <w:rFonts w:eastAsia="Calibri" w:cs="Arial"/>
          <w:sz w:val="20"/>
          <w:szCs w:val="20"/>
        </w:rPr>
        <w:t xml:space="preserve"> e</w:t>
      </w:r>
      <w:r w:rsidRPr="00D13792">
        <w:rPr>
          <w:rFonts w:eastAsia="Batang" w:cs="Times"/>
          <w:sz w:val="20"/>
          <w:szCs w:val="20"/>
        </w:rPr>
        <w:t>l perito Salvadó Cardoza indicó que “[e]</w:t>
      </w:r>
      <w:r w:rsidRPr="00D13792">
        <w:rPr>
          <w:rFonts w:eastAsia="Calibri" w:cs="Arial"/>
          <w:sz w:val="20"/>
          <w:szCs w:val="20"/>
        </w:rPr>
        <w:t>l desplazamiento rompió brutalmente los vínculos históricos que la población afectada tenía con su territorio, con la tierra y con las prácticas sociales que regían la cotidianidad”.</w:t>
      </w:r>
      <w:r w:rsidRPr="00D13792">
        <w:rPr>
          <w:rFonts w:eastAsia="Batang" w:cs="Times"/>
          <w:sz w:val="20"/>
          <w:szCs w:val="20"/>
        </w:rPr>
        <w:t xml:space="preserve"> Identificó entre los efectos comunales, “la </w:t>
      </w:r>
      <w:r w:rsidRPr="00D13792">
        <w:rPr>
          <w:rFonts w:eastAsia="Calibri" w:cs="Arial"/>
          <w:sz w:val="20"/>
          <w:szCs w:val="20"/>
        </w:rPr>
        <w:t>desarticulación del tejido</w:t>
      </w:r>
      <w:r w:rsidRPr="00D13792">
        <w:rPr>
          <w:rFonts w:eastAsia="Batang" w:cs="Times"/>
          <w:sz w:val="20"/>
          <w:szCs w:val="20"/>
        </w:rPr>
        <w:t xml:space="preserve"> </w:t>
      </w:r>
      <w:r w:rsidRPr="00D13792">
        <w:rPr>
          <w:rFonts w:eastAsia="Calibri" w:cs="Arial"/>
          <w:sz w:val="20"/>
          <w:szCs w:val="20"/>
        </w:rPr>
        <w:t xml:space="preserve">comunitario”, lo que “conllevó la ruptura de las relaciones sociales que se habían dado en cada comunidad para organizar la </w:t>
      </w:r>
      <w:r w:rsidRPr="00D13792">
        <w:rPr>
          <w:rFonts w:eastAsia="Batang" w:cs="Times"/>
          <w:sz w:val="20"/>
          <w:szCs w:val="20"/>
        </w:rPr>
        <w:t>convivencia</w:t>
      </w:r>
      <w:r w:rsidRPr="00D13792">
        <w:rPr>
          <w:rFonts w:eastAsia="Calibri" w:cs="Arial"/>
          <w:sz w:val="20"/>
          <w:szCs w:val="20"/>
        </w:rPr>
        <w:t xml:space="preserve">, la pérdida repentina de los canales tradicionales de transmisión de saberes </w:t>
      </w:r>
      <w:r w:rsidRPr="00D13792">
        <w:rPr>
          <w:rFonts w:eastAsia="Times"/>
          <w:sz w:val="20"/>
          <w:szCs w:val="20"/>
        </w:rPr>
        <w:t>[entre generaciones]</w:t>
      </w:r>
      <w:r w:rsidRPr="00D13792">
        <w:rPr>
          <w:rFonts w:eastAsia="Calibri" w:cs="Arial"/>
          <w:sz w:val="20"/>
          <w:szCs w:val="20"/>
        </w:rPr>
        <w:t>, la lógica cultural de las prácticas productivas [y] del uso de la tierra”, así como “l</w:t>
      </w:r>
      <w:r w:rsidRPr="00D13792">
        <w:rPr>
          <w:rFonts w:eastAsia="Times"/>
          <w:sz w:val="20"/>
          <w:szCs w:val="20"/>
        </w:rPr>
        <w:t>os marcadores de identidad se fueron rompiendo poco a poco”</w:t>
      </w:r>
      <w:r w:rsidRPr="00D13792">
        <w:rPr>
          <w:rFonts w:eastAsia="Calibri" w:cs="Arial"/>
          <w:sz w:val="20"/>
          <w:szCs w:val="20"/>
        </w:rPr>
        <w:t xml:space="preserve">. La “cohesión comunal se redujo”, “[s]e generó desconfianza entre personas” y </w:t>
      </w:r>
      <w:r w:rsidRPr="00D13792">
        <w:rPr>
          <w:rFonts w:eastAsia="Times"/>
          <w:sz w:val="20"/>
          <w:szCs w:val="20"/>
        </w:rPr>
        <w:t>“aislamiento de las personas entre sí”</w:t>
      </w:r>
      <w:r w:rsidRPr="00D13792">
        <w:rPr>
          <w:rFonts w:eastAsia="Calibri" w:cs="Arial"/>
          <w:sz w:val="20"/>
          <w:szCs w:val="20"/>
        </w:rPr>
        <w:t xml:space="preserve">, así como “[l]as organizaciones comunitarias se debilitaron profundamente al desaparecer el liderazgo previamente existente”. </w:t>
      </w:r>
      <w:r w:rsidRPr="00D13792">
        <w:rPr>
          <w:rFonts w:eastAsia="Batang" w:cs="Times"/>
          <w:sz w:val="20"/>
          <w:szCs w:val="20"/>
        </w:rPr>
        <w:t>Se impactó aspectos culturales de la población maya achí, ya que en las “</w:t>
      </w:r>
      <w:r w:rsidRPr="00D13792">
        <w:rPr>
          <w:rFonts w:eastAsia="Times"/>
          <w:sz w:val="20"/>
          <w:szCs w:val="20"/>
        </w:rPr>
        <w:t>nuevas estrategias de sobrevivencia lateral, los marcadores de identidad se esconden”</w:t>
      </w:r>
      <w:r w:rsidRPr="00D13792">
        <w:rPr>
          <w:rFonts w:eastAsia="Batang" w:cs="Times"/>
          <w:sz w:val="20"/>
          <w:szCs w:val="20"/>
        </w:rPr>
        <w:t xml:space="preserve">. Por un lado, en las mujeres, quienes </w:t>
      </w:r>
      <w:r w:rsidRPr="00D13792">
        <w:rPr>
          <w:rFonts w:eastAsia="Times"/>
          <w:sz w:val="20"/>
          <w:szCs w:val="20"/>
        </w:rPr>
        <w:t>“en la huida t[uvieron] que desprenderse de sus trajes tradicionales, de los trajes que habían tenido desde que nacieron […],</w:t>
      </w:r>
      <w:r w:rsidRPr="00D13792">
        <w:rPr>
          <w:rFonts w:eastAsia="Batang" w:cs="Times"/>
          <w:sz w:val="20"/>
          <w:szCs w:val="20"/>
        </w:rPr>
        <w:t xml:space="preserve"> y </w:t>
      </w:r>
      <w:r w:rsidRPr="00D13792">
        <w:rPr>
          <w:rFonts w:eastAsia="Times"/>
          <w:sz w:val="20"/>
          <w:szCs w:val="20"/>
        </w:rPr>
        <w:t>cambiárselo[s] por lo que ellas llaman ropa de fábrica”</w:t>
      </w:r>
      <w:r w:rsidRPr="00D13792">
        <w:rPr>
          <w:rFonts w:eastAsia="Batang" w:cs="Times"/>
          <w:sz w:val="20"/>
          <w:szCs w:val="20"/>
        </w:rPr>
        <w:t>, “</w:t>
      </w:r>
      <w:r w:rsidRPr="00D13792">
        <w:rPr>
          <w:rFonts w:eastAsia="Times"/>
          <w:sz w:val="20"/>
          <w:szCs w:val="20"/>
        </w:rPr>
        <w:t>en un proceso de mimetización muy doloroso que hace posible la sobrevivencia en el nuevo entorno”.</w:t>
      </w:r>
      <w:r w:rsidRPr="00D13792">
        <w:rPr>
          <w:rFonts w:eastAsia="Batang" w:cs="Times"/>
          <w:sz w:val="20"/>
          <w:szCs w:val="20"/>
        </w:rPr>
        <w:t xml:space="preserve"> </w:t>
      </w:r>
      <w:r w:rsidRPr="00D13792">
        <w:rPr>
          <w:rFonts w:eastAsia="Times"/>
          <w:sz w:val="20"/>
          <w:szCs w:val="20"/>
        </w:rPr>
        <w:t xml:space="preserve">Por otro lado, en </w:t>
      </w:r>
      <w:r w:rsidRPr="00D13792">
        <w:rPr>
          <w:rFonts w:eastAsia="Batang" w:cs="Times"/>
          <w:sz w:val="20"/>
          <w:szCs w:val="20"/>
        </w:rPr>
        <w:t>el uso del idioma achí que se empleaba en las relaciones sociales, comunitarias y familiares, debido a que al salir de las comunidades, sus miembros tuvieron que enfrentarse al mundo en español, el cual no es su primera lengua</w:t>
      </w:r>
      <w:r w:rsidRPr="00D13792">
        <w:rPr>
          <w:rFonts w:eastAsia="Calibri"/>
          <w:sz w:val="20"/>
          <w:szCs w:val="20"/>
          <w:vertAlign w:val="superscript"/>
        </w:rPr>
        <w:footnoteReference w:id="202"/>
      </w:r>
      <w:r w:rsidRPr="00D13792">
        <w:rPr>
          <w:rFonts w:eastAsia="Batang" w:cs="Times"/>
          <w:sz w:val="20"/>
          <w:szCs w:val="20"/>
        </w:rPr>
        <w:t>.</w:t>
      </w:r>
    </w:p>
    <w:p w:rsidR="006A0E1C" w:rsidRPr="00D13792" w:rsidRDefault="006A0E1C" w:rsidP="006A0E1C">
      <w:pPr>
        <w:pStyle w:val="Prrafodelista2"/>
        <w:tabs>
          <w:tab w:val="left" w:pos="720"/>
        </w:tabs>
        <w:ind w:left="0" w:right="-90"/>
        <w:jc w:val="both"/>
        <w:rPr>
          <w:rFonts w:eastAsia="Batang" w:cs="Times"/>
          <w:lang w:val="es-CR"/>
        </w:rPr>
      </w:pPr>
    </w:p>
    <w:p w:rsidR="006A0E1C" w:rsidRPr="00D13792" w:rsidRDefault="006A0E1C" w:rsidP="006A0E1C">
      <w:pPr>
        <w:numPr>
          <w:ilvl w:val="0"/>
          <w:numId w:val="6"/>
        </w:numPr>
        <w:tabs>
          <w:tab w:val="left" w:pos="567"/>
        </w:tabs>
        <w:spacing w:line="240" w:lineRule="auto"/>
        <w:ind w:right="4"/>
        <w:rPr>
          <w:rFonts w:eastAsia="Batang" w:cs="Times"/>
          <w:sz w:val="20"/>
          <w:szCs w:val="20"/>
        </w:rPr>
      </w:pPr>
      <w:r w:rsidRPr="00D13792">
        <w:rPr>
          <w:rFonts w:eastAsia="Batang" w:cs="Times"/>
          <w:sz w:val="20"/>
          <w:szCs w:val="20"/>
        </w:rPr>
        <w:t>En este mismo sentido, l</w:t>
      </w:r>
      <w:r w:rsidRPr="00D13792">
        <w:rPr>
          <w:rFonts w:eastAsia="Calibri" w:cs="Arial"/>
          <w:sz w:val="20"/>
          <w:szCs w:val="20"/>
        </w:rPr>
        <w:t>a psicóloga Gómez Dupuis explicó que “[</w:t>
      </w:r>
      <w:r w:rsidRPr="00D13792">
        <w:rPr>
          <w:rFonts w:eastAsia="Calibri"/>
          <w:sz w:val="20"/>
          <w:szCs w:val="20"/>
        </w:rPr>
        <w:t xml:space="preserve">l]a vida cotidiana, las celebraciones y los ritos giraban en torno a la tierra </w:t>
      </w:r>
      <w:r w:rsidRPr="00D13792">
        <w:rPr>
          <w:rFonts w:eastAsia="Calibri" w:cs="Arial"/>
          <w:sz w:val="20"/>
          <w:szCs w:val="20"/>
        </w:rPr>
        <w:t xml:space="preserve">y </w:t>
      </w:r>
      <w:r w:rsidRPr="00D13792">
        <w:rPr>
          <w:rFonts w:eastAsia="Calibri"/>
          <w:sz w:val="20"/>
          <w:szCs w:val="20"/>
        </w:rPr>
        <w:t>sus ciclos de producción</w:t>
      </w:r>
      <w:r w:rsidRPr="00D13792">
        <w:rPr>
          <w:rFonts w:eastAsia="Calibri" w:cs="Arial"/>
          <w:sz w:val="20"/>
          <w:szCs w:val="20"/>
        </w:rPr>
        <w:t xml:space="preserve">, y </w:t>
      </w:r>
      <w:r w:rsidRPr="00D13792">
        <w:rPr>
          <w:rFonts w:eastAsia="Calibri"/>
          <w:sz w:val="20"/>
          <w:szCs w:val="20"/>
        </w:rPr>
        <w:t xml:space="preserve">a la organización </w:t>
      </w:r>
      <w:r w:rsidRPr="00D13792">
        <w:rPr>
          <w:sz w:val="20"/>
          <w:szCs w:val="20"/>
        </w:rPr>
        <w:t>social</w:t>
      </w:r>
      <w:r w:rsidRPr="00D13792">
        <w:rPr>
          <w:rFonts w:eastAsia="Calibri"/>
          <w:sz w:val="20"/>
          <w:szCs w:val="20"/>
        </w:rPr>
        <w:t xml:space="preserve"> comunitaria”, y que</w:t>
      </w:r>
      <w:r w:rsidRPr="00D13792">
        <w:rPr>
          <w:rFonts w:eastAsia="Batang" w:cs="Times"/>
          <w:sz w:val="20"/>
          <w:szCs w:val="20"/>
        </w:rPr>
        <w:t xml:space="preserve"> </w:t>
      </w:r>
      <w:r w:rsidRPr="00D13792">
        <w:rPr>
          <w:rFonts w:eastAsia="Calibri" w:cs="Arial"/>
          <w:sz w:val="20"/>
          <w:szCs w:val="20"/>
        </w:rPr>
        <w:t xml:space="preserve">“el desplazamiento provocó la ruptura de redes de apoyo, </w:t>
      </w:r>
      <w:r w:rsidRPr="00D13792">
        <w:rPr>
          <w:rFonts w:eastAsia="Calibri"/>
          <w:sz w:val="20"/>
          <w:szCs w:val="20"/>
        </w:rPr>
        <w:t>la</w:t>
      </w:r>
      <w:r w:rsidRPr="00D13792">
        <w:rPr>
          <w:rFonts w:eastAsia="Calibri" w:cs="Arial"/>
          <w:sz w:val="20"/>
          <w:szCs w:val="20"/>
        </w:rPr>
        <w:t xml:space="preserve"> </w:t>
      </w:r>
      <w:r w:rsidRPr="00D13792">
        <w:rPr>
          <w:rFonts w:eastAsia="Calibri"/>
          <w:sz w:val="20"/>
          <w:szCs w:val="20"/>
        </w:rPr>
        <w:t xml:space="preserve">ruptura con la tierra </w:t>
      </w:r>
      <w:r w:rsidRPr="00D13792">
        <w:rPr>
          <w:rFonts w:eastAsia="Calibri" w:cs="Arial"/>
          <w:sz w:val="20"/>
          <w:szCs w:val="20"/>
        </w:rPr>
        <w:t xml:space="preserve">y </w:t>
      </w:r>
      <w:r w:rsidRPr="00D13792">
        <w:rPr>
          <w:rFonts w:eastAsia="Calibri"/>
          <w:sz w:val="20"/>
          <w:szCs w:val="20"/>
        </w:rPr>
        <w:t>la cultura ancestral”</w:t>
      </w:r>
      <w:r w:rsidRPr="00D13792">
        <w:rPr>
          <w:rFonts w:eastAsia="Calibri" w:cs="Arial"/>
          <w:sz w:val="20"/>
          <w:szCs w:val="20"/>
        </w:rPr>
        <w:t xml:space="preserve">. </w:t>
      </w:r>
      <w:r w:rsidRPr="00D13792">
        <w:rPr>
          <w:rFonts w:eastAsia="Batang" w:cs="Times"/>
          <w:sz w:val="20"/>
          <w:szCs w:val="20"/>
        </w:rPr>
        <w:t xml:space="preserve">Destacó que “[l]as prácticas culturales fueron gravemente dañadas por la exclusión y estigmatización hacia la población maya achí”. </w:t>
      </w:r>
    </w:p>
    <w:p w:rsidR="006A0E1C" w:rsidRPr="00D13792" w:rsidRDefault="006A0E1C" w:rsidP="006A0E1C">
      <w:pPr>
        <w:pStyle w:val="Prrafodelista2"/>
        <w:tabs>
          <w:tab w:val="left" w:pos="720"/>
        </w:tabs>
        <w:ind w:left="0" w:right="-90"/>
        <w:jc w:val="both"/>
        <w:rPr>
          <w:rFonts w:eastAsia="Batang" w:cs="Times"/>
          <w:lang w:val="es-CR"/>
        </w:rPr>
      </w:pPr>
    </w:p>
    <w:p w:rsidR="006A0E1C" w:rsidRPr="00D13792" w:rsidRDefault="006A0E1C" w:rsidP="006A0E1C">
      <w:pPr>
        <w:numPr>
          <w:ilvl w:val="0"/>
          <w:numId w:val="6"/>
        </w:numPr>
        <w:tabs>
          <w:tab w:val="left" w:pos="567"/>
        </w:tabs>
        <w:spacing w:line="240" w:lineRule="auto"/>
        <w:ind w:right="4"/>
        <w:rPr>
          <w:rFonts w:eastAsia="Batang" w:cs="Times"/>
          <w:sz w:val="20"/>
          <w:szCs w:val="20"/>
        </w:rPr>
      </w:pPr>
      <w:r w:rsidRPr="00D13792">
        <w:rPr>
          <w:rFonts w:eastAsia="Batang" w:cs="Times"/>
          <w:sz w:val="20"/>
          <w:szCs w:val="20"/>
        </w:rPr>
        <w:t>La Corte considera que el testimonio rendido por el señor Napoleón García De Paz en la audiencia pública es consistente con dichos peritajes. El señor García relató a la Corte que después de sobrevivir los hechos del 26 de noviembre de 1982, en los que ocho personas fueron víctimas de desaparición, salió de su comunidad para refugiarse en las montañas. En ese lugar, también sobrevivió, junto con su esposa e hijos, los hechos de 2 de marzo de 1983, en los que ocho personas fueron ejecutadas (</w:t>
      </w:r>
      <w:r w:rsidRPr="00D13792">
        <w:rPr>
          <w:rFonts w:eastAsia="Batang" w:cs="Times"/>
          <w:i/>
          <w:sz w:val="20"/>
          <w:szCs w:val="20"/>
        </w:rPr>
        <w:t>supra</w:t>
      </w:r>
      <w:r w:rsidRPr="00D13792">
        <w:rPr>
          <w:rFonts w:eastAsia="Batang" w:cs="Times"/>
          <w:sz w:val="20"/>
          <w:szCs w:val="20"/>
        </w:rPr>
        <w:t xml:space="preserve"> párrs. 110 a 112). Explicó que posteriormente se fue a la ciudad de Guatemala y que actualmente vive en Rabinal sin haber retornado aún a su aldea. Sobre los hechos vividos y el desplazamiento, expresó que siente “un dolor […] porque uno es nativo de allí de esa aldea de Xeabaj […], entonces un </w:t>
      </w:r>
      <w:r w:rsidRPr="00D13792">
        <w:rPr>
          <w:rFonts w:eastAsia="Batang" w:cs="Times"/>
          <w:sz w:val="20"/>
          <w:szCs w:val="20"/>
        </w:rPr>
        <w:lastRenderedPageBreak/>
        <w:t>sentimiento le da a uno porque ya no es igual que llegamos ahorita, en la aldea, nada de gente, nada de familia, toda mi familia, mis hermanos los mataron, ya solo yo quedé […], duele mucho la raza maya que se termine, nos quieren terminar los que están en el Ejército, porque nosotros de indio, nos dicen, no valemos nada, porque no podemos muchos ni hablar el castellano, el español, por eso es que me da un sentimiento como pasó nuestras queridas comunidades […]. [Y]a ni yo he llegado a mi aldea porque […] me da miedo, cualquier cohetillo por allí yo pienso que ya viene el Ejército para arriba, pero no. ¿Por qué? Porque se queda uno traumado su mente”.</w:t>
      </w:r>
    </w:p>
    <w:p w:rsidR="006A0E1C" w:rsidRPr="00D13792" w:rsidRDefault="006A0E1C" w:rsidP="006A0E1C">
      <w:pPr>
        <w:pStyle w:val="ListParagraph"/>
        <w:spacing w:after="0" w:line="240" w:lineRule="auto"/>
        <w:rPr>
          <w:rFonts w:ascii="Verdana" w:eastAsia="Batang" w:hAnsi="Verdana" w:cs="Times"/>
          <w:sz w:val="20"/>
          <w:szCs w:val="20"/>
          <w:lang w:val="es-CR"/>
        </w:rPr>
      </w:pPr>
    </w:p>
    <w:p w:rsidR="006A0E1C" w:rsidRPr="00D13792" w:rsidRDefault="006A0E1C" w:rsidP="006A0E1C">
      <w:pPr>
        <w:numPr>
          <w:ilvl w:val="0"/>
          <w:numId w:val="6"/>
        </w:numPr>
        <w:tabs>
          <w:tab w:val="left" w:pos="567"/>
        </w:tabs>
        <w:spacing w:line="240" w:lineRule="auto"/>
        <w:ind w:right="4"/>
        <w:rPr>
          <w:rFonts w:eastAsia="Batang" w:cs="Times"/>
          <w:sz w:val="20"/>
          <w:szCs w:val="20"/>
        </w:rPr>
      </w:pPr>
      <w:r w:rsidRPr="00D13792">
        <w:rPr>
          <w:rFonts w:eastAsia="Batang" w:cs="Times"/>
          <w:sz w:val="20"/>
          <w:szCs w:val="20"/>
        </w:rPr>
        <w:t>Aunado a ello, la Corte constata que el desplazamiento forzado también afectó la vida religiosa de los miembros de la aldea Chichupac y comunidades vecinas. Según señaló la psicóloga Gómez Dupuis, “[d]urante estos años las personas dejaron de realizar sus devociones por la tierra, la lluvia, la cosecha, la salud, o la muerte y la relación con los ancestros. Con el paso del tiempo, las personas en la comunidad han ido recuperando sus prácticas culturales, y varios ancianos de la comunidad que lograron sobrevivir a la masacre perpetúan el conocimiento ancestral. Sin embargo, varias familias se convirtieron a nuevas religiones como la carismática y la evangélica. […] Las prácticas culturales también han ido perdiéndose en las personas que se desplazaron definitivamente a otros municipios y fundamentalmente los jóvenes que crecieron fuera de sus tierras ancestrales y asumiendo nuevas identidades”, “</w:t>
      </w:r>
      <w:r w:rsidRPr="00D13792">
        <w:rPr>
          <w:rFonts w:eastAsia="Calibri"/>
          <w:sz w:val="20"/>
          <w:szCs w:val="20"/>
        </w:rPr>
        <w:t>lejos</w:t>
      </w:r>
      <w:r w:rsidRPr="00D13792">
        <w:rPr>
          <w:rFonts w:eastAsia="Batang" w:cs="Times"/>
          <w:sz w:val="20"/>
          <w:szCs w:val="20"/>
        </w:rPr>
        <w:t xml:space="preserve"> </w:t>
      </w:r>
      <w:r w:rsidRPr="00D13792">
        <w:rPr>
          <w:rFonts w:eastAsia="Calibri" w:cs="Arial"/>
          <w:sz w:val="20"/>
          <w:szCs w:val="20"/>
        </w:rPr>
        <w:t xml:space="preserve">de </w:t>
      </w:r>
      <w:r w:rsidRPr="00D13792">
        <w:rPr>
          <w:rFonts w:eastAsia="Calibri"/>
          <w:sz w:val="20"/>
          <w:szCs w:val="20"/>
        </w:rPr>
        <w:t>su familia</w:t>
      </w:r>
      <w:r w:rsidRPr="00D13792">
        <w:rPr>
          <w:rFonts w:eastAsia="Calibri" w:cs="Arial"/>
          <w:sz w:val="20"/>
          <w:szCs w:val="20"/>
        </w:rPr>
        <w:t xml:space="preserve">, </w:t>
      </w:r>
      <w:r w:rsidRPr="00D13792">
        <w:rPr>
          <w:rFonts w:eastAsia="Calibri"/>
          <w:sz w:val="20"/>
          <w:szCs w:val="20"/>
        </w:rPr>
        <w:t xml:space="preserve">sus tradiciones, su traje tradicional </w:t>
      </w:r>
      <w:r w:rsidRPr="00D13792">
        <w:rPr>
          <w:rFonts w:eastAsia="Calibri" w:cs="Arial"/>
          <w:sz w:val="20"/>
          <w:szCs w:val="20"/>
        </w:rPr>
        <w:t xml:space="preserve">y </w:t>
      </w:r>
      <w:r w:rsidRPr="00D13792">
        <w:rPr>
          <w:rFonts w:eastAsia="Calibri"/>
          <w:sz w:val="20"/>
          <w:szCs w:val="20"/>
        </w:rPr>
        <w:t>su idioma”</w:t>
      </w:r>
      <w:r w:rsidRPr="00D13792">
        <w:rPr>
          <w:rFonts w:eastAsia="Calibri"/>
          <w:sz w:val="20"/>
          <w:szCs w:val="20"/>
          <w:vertAlign w:val="superscript"/>
        </w:rPr>
        <w:footnoteReference w:id="203"/>
      </w:r>
      <w:r w:rsidRPr="00D13792">
        <w:rPr>
          <w:rFonts w:eastAsia="Batang" w:cs="Times"/>
          <w:sz w:val="20"/>
          <w:szCs w:val="20"/>
        </w:rPr>
        <w:t xml:space="preserve">. </w:t>
      </w:r>
    </w:p>
    <w:p w:rsidR="006A0E1C" w:rsidRPr="00D13792" w:rsidRDefault="006A0E1C" w:rsidP="006A0E1C">
      <w:pPr>
        <w:widowControl/>
        <w:adjustRightInd/>
        <w:spacing w:line="240" w:lineRule="auto"/>
        <w:contextualSpacing/>
        <w:textAlignment w:val="auto"/>
        <w:rPr>
          <w:rFonts w:eastAsia="Batang" w:cs="Times"/>
          <w:sz w:val="20"/>
          <w:szCs w:val="20"/>
          <w:lang w:eastAsia="en-US"/>
        </w:rPr>
      </w:pPr>
    </w:p>
    <w:p w:rsidR="006A0E1C" w:rsidRPr="00D13792" w:rsidRDefault="006A0E1C" w:rsidP="006A0E1C">
      <w:pPr>
        <w:numPr>
          <w:ilvl w:val="0"/>
          <w:numId w:val="6"/>
        </w:numPr>
        <w:tabs>
          <w:tab w:val="left" w:pos="567"/>
        </w:tabs>
        <w:spacing w:line="240" w:lineRule="auto"/>
        <w:ind w:right="4"/>
        <w:rPr>
          <w:rFonts w:eastAsia="Batang" w:cs="Times"/>
          <w:sz w:val="20"/>
          <w:szCs w:val="20"/>
        </w:rPr>
      </w:pPr>
      <w:r w:rsidRPr="00D13792">
        <w:rPr>
          <w:rFonts w:eastAsia="Batang" w:cs="Times"/>
          <w:sz w:val="20"/>
          <w:szCs w:val="20"/>
        </w:rPr>
        <w:t xml:space="preserve">En este mismo sentido, el perito Salvadó Cardoza se refirió “a </w:t>
      </w:r>
      <w:r w:rsidRPr="00D13792">
        <w:rPr>
          <w:rFonts w:eastAsia="Calibri" w:cs="Arial"/>
          <w:sz w:val="20"/>
          <w:szCs w:val="20"/>
        </w:rPr>
        <w:t xml:space="preserve">la dificultad de realizar algunas prácticas </w:t>
      </w:r>
      <w:r w:rsidRPr="00D13792">
        <w:rPr>
          <w:rFonts w:eastAsia="Batang" w:cs="Times"/>
          <w:sz w:val="20"/>
          <w:szCs w:val="20"/>
        </w:rPr>
        <w:t>culturales</w:t>
      </w:r>
      <w:r w:rsidRPr="00D13792">
        <w:rPr>
          <w:rFonts w:eastAsia="Calibri" w:cs="Arial"/>
          <w:sz w:val="20"/>
          <w:szCs w:val="20"/>
        </w:rPr>
        <w:t xml:space="preserve"> en el nuevo entorno”, así como a los “cambios</w:t>
      </w:r>
      <w:r w:rsidRPr="00D13792">
        <w:rPr>
          <w:rFonts w:eastAsia="Batang" w:cs="Times"/>
          <w:sz w:val="20"/>
          <w:szCs w:val="20"/>
        </w:rPr>
        <w:t xml:space="preserve"> aparentemente súbitos de la </w:t>
      </w:r>
      <w:r w:rsidRPr="00D13792">
        <w:rPr>
          <w:sz w:val="20"/>
          <w:szCs w:val="20"/>
        </w:rPr>
        <w:t>religiosidad</w:t>
      </w:r>
      <w:r w:rsidRPr="00D13792">
        <w:rPr>
          <w:rFonts w:eastAsia="Batang" w:cs="Times"/>
          <w:sz w:val="20"/>
          <w:szCs w:val="20"/>
        </w:rPr>
        <w:t xml:space="preserve"> tradicional, hasta las nuevas iglesias evangélicas que aparecieron buscando adeptos”. Se refirió además a la afectación de las </w:t>
      </w:r>
      <w:r w:rsidRPr="00D13792">
        <w:rPr>
          <w:rFonts w:eastAsia="Times"/>
          <w:sz w:val="20"/>
          <w:szCs w:val="20"/>
        </w:rPr>
        <w:t>prácticas religiosas</w:t>
      </w:r>
      <w:r w:rsidRPr="00D13792">
        <w:rPr>
          <w:rFonts w:eastAsia="Batang" w:cs="Times"/>
          <w:sz w:val="20"/>
          <w:szCs w:val="20"/>
        </w:rPr>
        <w:t xml:space="preserve">, pues ya no se pudo acudir a los </w:t>
      </w:r>
      <w:r w:rsidRPr="00D13792">
        <w:rPr>
          <w:rFonts w:eastAsia="Times"/>
          <w:sz w:val="20"/>
          <w:szCs w:val="20"/>
        </w:rPr>
        <w:t xml:space="preserve">sitios sagrados tradicionales de Rabinal, </w:t>
      </w:r>
      <w:r w:rsidRPr="00D13792">
        <w:rPr>
          <w:rFonts w:eastAsia="Batang" w:cs="Times"/>
          <w:sz w:val="20"/>
          <w:szCs w:val="20"/>
        </w:rPr>
        <w:t>lo cual significó “un golpe muy duro para la comunidad y provocó la ruptura de la vida comunitaria”</w:t>
      </w:r>
      <w:r w:rsidRPr="00D13792">
        <w:rPr>
          <w:rFonts w:eastAsia="Calibri"/>
          <w:sz w:val="20"/>
          <w:szCs w:val="20"/>
          <w:vertAlign w:val="superscript"/>
        </w:rPr>
        <w:footnoteReference w:id="204"/>
      </w:r>
      <w:r w:rsidRPr="00D13792">
        <w:rPr>
          <w:rFonts w:eastAsia="Batang" w:cs="Times"/>
          <w:sz w:val="20"/>
          <w:szCs w:val="20"/>
        </w:rPr>
        <w:t>.</w:t>
      </w:r>
    </w:p>
    <w:p w:rsidR="006A0E1C" w:rsidRPr="00D13792" w:rsidRDefault="006A0E1C" w:rsidP="006A0E1C">
      <w:pPr>
        <w:pStyle w:val="ListParagraph"/>
        <w:spacing w:after="0" w:line="240" w:lineRule="auto"/>
        <w:rPr>
          <w:rFonts w:ascii="Verdana" w:hAnsi="Verdana"/>
          <w:sz w:val="20"/>
          <w:szCs w:val="20"/>
          <w:lang w:val="es-CR"/>
        </w:rPr>
      </w:pPr>
    </w:p>
    <w:p w:rsidR="006A0E1C" w:rsidRPr="00D13792" w:rsidRDefault="006A0E1C" w:rsidP="006A0E1C">
      <w:pPr>
        <w:numPr>
          <w:ilvl w:val="0"/>
          <w:numId w:val="6"/>
        </w:numPr>
        <w:tabs>
          <w:tab w:val="left" w:pos="567"/>
        </w:tabs>
        <w:spacing w:line="240" w:lineRule="auto"/>
        <w:ind w:right="4"/>
        <w:rPr>
          <w:rFonts w:eastAsia="Batang" w:cs="Times"/>
          <w:sz w:val="20"/>
          <w:szCs w:val="20"/>
        </w:rPr>
      </w:pPr>
      <w:r w:rsidRPr="00D13792">
        <w:rPr>
          <w:sz w:val="20"/>
          <w:szCs w:val="20"/>
        </w:rPr>
        <w:t xml:space="preserve">La Corte advierte que esta situación coincide con lo acontecido en los casos de las </w:t>
      </w:r>
      <w:r w:rsidRPr="00D13792">
        <w:rPr>
          <w:i/>
          <w:iCs/>
          <w:sz w:val="20"/>
          <w:szCs w:val="20"/>
        </w:rPr>
        <w:t xml:space="preserve">Masacres de Río Negro </w:t>
      </w:r>
      <w:r w:rsidRPr="00D13792">
        <w:rPr>
          <w:iCs/>
          <w:sz w:val="20"/>
          <w:szCs w:val="20"/>
        </w:rPr>
        <w:t>y</w:t>
      </w:r>
      <w:r w:rsidRPr="00D13792">
        <w:rPr>
          <w:i/>
          <w:iCs/>
          <w:sz w:val="20"/>
          <w:szCs w:val="20"/>
        </w:rPr>
        <w:t xml:space="preserve"> Masacre Plan de </w:t>
      </w:r>
      <w:r w:rsidRPr="00D13792">
        <w:rPr>
          <w:iCs/>
          <w:sz w:val="20"/>
          <w:szCs w:val="20"/>
        </w:rPr>
        <w:t>Sánchez,</w:t>
      </w:r>
      <w:r w:rsidRPr="00D13792">
        <w:rPr>
          <w:sz w:val="20"/>
          <w:szCs w:val="20"/>
        </w:rPr>
        <w:t xml:space="preserve"> en los cuales las víctimas fueron en su mayoría miembros del pueblo maya achí, entre ellos, niñas, niños, mujeres y hombres que residían en aldeas y comunidades del municipio de Rabinal, Departamento de Baja Verapaz, quienes se vieron obligados a desplazarse fuera de sus comunidades y refugiarse en las montañas, así como en otros lugares, debido a la persecución, violencia y destrucción de sus viviendas y comunidades en el marco del conflicto armado interno de Guatemala.</w:t>
      </w:r>
      <w:r w:rsidRPr="00D13792">
        <w:rPr>
          <w:rFonts w:eastAsia="Batang" w:cs="Times"/>
          <w:sz w:val="20"/>
          <w:szCs w:val="20"/>
        </w:rPr>
        <w:t xml:space="preserve"> En dichos casos</w:t>
      </w:r>
      <w:r w:rsidRPr="00D13792">
        <w:rPr>
          <w:sz w:val="20"/>
          <w:szCs w:val="20"/>
        </w:rPr>
        <w:t xml:space="preserve">, este Tribunal constató que, de igual modo, </w:t>
      </w:r>
      <w:r w:rsidRPr="00D13792">
        <w:rPr>
          <w:rFonts w:cs="Tahoma"/>
          <w:sz w:val="20"/>
          <w:szCs w:val="20"/>
        </w:rPr>
        <w:t xml:space="preserve">las personas que sufrieron </w:t>
      </w:r>
      <w:r w:rsidRPr="00D13792">
        <w:rPr>
          <w:sz w:val="20"/>
          <w:szCs w:val="20"/>
        </w:rPr>
        <w:t>el desplazamiento forzado</w:t>
      </w:r>
      <w:r w:rsidRPr="00D13792">
        <w:rPr>
          <w:rFonts w:cs="Tahoma"/>
          <w:sz w:val="20"/>
          <w:szCs w:val="20"/>
        </w:rPr>
        <w:t xml:space="preserve"> a lugares lejanos a su comunidad perdieron la oportunidad de participar en las actividades, los ritos, la espiritualidad y el ciclo de aprendizaje de la misma, de hablar su idioma y de portar su vestimenta, así como de practicar sus labores tradicionales</w:t>
      </w:r>
      <w:r w:rsidRPr="00D13792">
        <w:rPr>
          <w:sz w:val="20"/>
          <w:szCs w:val="20"/>
          <w:vertAlign w:val="superscript"/>
        </w:rPr>
        <w:footnoteReference w:id="205"/>
      </w:r>
      <w:r w:rsidRPr="00D13792">
        <w:rPr>
          <w:rFonts w:cs="Tahoma"/>
          <w:sz w:val="20"/>
          <w:szCs w:val="20"/>
        </w:rPr>
        <w:t>.</w:t>
      </w:r>
    </w:p>
    <w:p w:rsidR="006A0E1C" w:rsidRPr="00D13792" w:rsidRDefault="006A0E1C" w:rsidP="006A0E1C">
      <w:pPr>
        <w:widowControl/>
        <w:adjustRightInd/>
        <w:spacing w:line="240" w:lineRule="auto"/>
        <w:contextualSpacing/>
        <w:jc w:val="left"/>
        <w:textAlignment w:val="auto"/>
        <w:rPr>
          <w:rFonts w:eastAsia="Batang" w:cs="Times"/>
          <w:sz w:val="20"/>
          <w:szCs w:val="20"/>
          <w:lang w:eastAsia="en-US"/>
        </w:rPr>
      </w:pPr>
    </w:p>
    <w:p w:rsidR="006A0E1C" w:rsidRPr="00D13792" w:rsidRDefault="006A0E1C" w:rsidP="006A0E1C">
      <w:pPr>
        <w:numPr>
          <w:ilvl w:val="0"/>
          <w:numId w:val="6"/>
        </w:numPr>
        <w:tabs>
          <w:tab w:val="left" w:pos="567"/>
        </w:tabs>
        <w:spacing w:line="240" w:lineRule="auto"/>
        <w:ind w:right="4"/>
        <w:rPr>
          <w:rFonts w:eastAsia="Batang" w:cs="Times"/>
          <w:sz w:val="20"/>
          <w:szCs w:val="20"/>
        </w:rPr>
      </w:pPr>
      <w:r w:rsidRPr="00D13792">
        <w:rPr>
          <w:rFonts w:eastAsia="Batang" w:cs="Times"/>
          <w:sz w:val="20"/>
          <w:szCs w:val="20"/>
        </w:rPr>
        <w:t xml:space="preserve">En definitiva, la Corte considera que la falta de garantías de retorno a favor de los miembros de la aldea Chichupac y comunidades vecinas del municipio de Rabinal con posterioridad al </w:t>
      </w:r>
      <w:r w:rsidRPr="00D13792">
        <w:rPr>
          <w:rFonts w:eastAsia="Calibri" w:cs="Verdana"/>
          <w:sz w:val="20"/>
          <w:szCs w:val="20"/>
        </w:rPr>
        <w:t>9 de marzo de 1987</w:t>
      </w:r>
      <w:r w:rsidRPr="00D13792">
        <w:rPr>
          <w:rFonts w:eastAsia="Batang" w:cs="Times"/>
          <w:sz w:val="20"/>
          <w:szCs w:val="20"/>
        </w:rPr>
        <w:t xml:space="preserve">, ha afectado de forma particularmente grave las </w:t>
      </w:r>
      <w:r w:rsidRPr="00D13792">
        <w:rPr>
          <w:rFonts w:eastAsia="Times"/>
          <w:sz w:val="20"/>
          <w:szCs w:val="20"/>
        </w:rPr>
        <w:t xml:space="preserve">prácticas comunitarias, culturales y religiosas tradicionales, la estructura familiar y social, </w:t>
      </w:r>
      <w:r w:rsidRPr="00D13792">
        <w:rPr>
          <w:rFonts w:eastAsia="Batang" w:cs="Times"/>
          <w:sz w:val="20"/>
          <w:szCs w:val="20"/>
        </w:rPr>
        <w:t>los</w:t>
      </w:r>
      <w:r w:rsidRPr="00D13792">
        <w:rPr>
          <w:rFonts w:eastAsia="Times"/>
          <w:sz w:val="20"/>
          <w:szCs w:val="20"/>
        </w:rPr>
        <w:t xml:space="preserve"> marcadores de identidad</w:t>
      </w:r>
      <w:r w:rsidRPr="00D13792">
        <w:rPr>
          <w:rFonts w:eastAsia="Batang" w:cs="Times"/>
          <w:sz w:val="20"/>
          <w:szCs w:val="20"/>
        </w:rPr>
        <w:t xml:space="preserve"> y </w:t>
      </w:r>
      <w:r w:rsidRPr="00D13792">
        <w:rPr>
          <w:rFonts w:eastAsia="Times"/>
          <w:sz w:val="20"/>
          <w:szCs w:val="20"/>
        </w:rPr>
        <w:t xml:space="preserve">el idioma </w:t>
      </w:r>
      <w:r w:rsidRPr="00D13792">
        <w:rPr>
          <w:rFonts w:eastAsia="Batang" w:cs="Times"/>
          <w:sz w:val="20"/>
          <w:szCs w:val="20"/>
        </w:rPr>
        <w:t>del pueblo maya achí de dicha aldea y comunidades</w:t>
      </w:r>
      <w:r w:rsidRPr="00D13792">
        <w:rPr>
          <w:rFonts w:eastAsia="Times"/>
          <w:sz w:val="20"/>
          <w:szCs w:val="20"/>
        </w:rPr>
        <w:t xml:space="preserve">. </w:t>
      </w:r>
      <w:r w:rsidRPr="00D13792">
        <w:rPr>
          <w:rFonts w:eastAsia="Batang" w:cs="Times"/>
          <w:sz w:val="20"/>
          <w:szCs w:val="20"/>
        </w:rPr>
        <w:t xml:space="preserve">Lo anterior, debido a la ruptura de </w:t>
      </w:r>
      <w:r w:rsidRPr="00D13792">
        <w:rPr>
          <w:rFonts w:eastAsia="Calibri"/>
          <w:sz w:val="20"/>
          <w:szCs w:val="20"/>
        </w:rPr>
        <w:t>la cultura ancestral y</w:t>
      </w:r>
      <w:r w:rsidRPr="00D13792">
        <w:rPr>
          <w:rFonts w:eastAsia="Batang" w:cs="Times"/>
          <w:sz w:val="20"/>
          <w:szCs w:val="20"/>
        </w:rPr>
        <w:t xml:space="preserve"> de </w:t>
      </w:r>
      <w:r w:rsidRPr="00D13792">
        <w:rPr>
          <w:rFonts w:eastAsia="Calibri" w:cs="Arial"/>
          <w:sz w:val="20"/>
          <w:szCs w:val="20"/>
        </w:rPr>
        <w:t xml:space="preserve">los vínculos </w:t>
      </w:r>
      <w:r w:rsidRPr="00D13792">
        <w:rPr>
          <w:rFonts w:eastAsia="Batang" w:cs="Times"/>
          <w:sz w:val="20"/>
          <w:szCs w:val="20"/>
        </w:rPr>
        <w:t>históricos</w:t>
      </w:r>
      <w:r w:rsidRPr="00D13792">
        <w:rPr>
          <w:rFonts w:eastAsia="Calibri" w:cs="Arial"/>
          <w:sz w:val="20"/>
          <w:szCs w:val="20"/>
        </w:rPr>
        <w:t xml:space="preserve"> con el territorio </w:t>
      </w:r>
      <w:r w:rsidRPr="00D13792">
        <w:rPr>
          <w:rFonts w:eastAsia="Calibri" w:cs="Arial"/>
          <w:sz w:val="20"/>
          <w:szCs w:val="20"/>
        </w:rPr>
        <w:lastRenderedPageBreak/>
        <w:t>y con las prácticas sociales</w:t>
      </w:r>
      <w:r w:rsidRPr="00D13792">
        <w:rPr>
          <w:rFonts w:eastAsia="Batang" w:cs="Times"/>
          <w:sz w:val="20"/>
          <w:szCs w:val="20"/>
        </w:rPr>
        <w:t>,</w:t>
      </w:r>
      <w:r w:rsidRPr="00D13792">
        <w:rPr>
          <w:rFonts w:eastAsia="Calibri" w:cs="Arial"/>
          <w:sz w:val="20"/>
          <w:szCs w:val="20"/>
        </w:rPr>
        <w:t xml:space="preserve"> </w:t>
      </w:r>
      <w:r w:rsidRPr="00D13792">
        <w:rPr>
          <w:rFonts w:eastAsia="Batang" w:cs="Times"/>
          <w:sz w:val="20"/>
          <w:szCs w:val="20"/>
        </w:rPr>
        <w:t xml:space="preserve">la </w:t>
      </w:r>
      <w:r w:rsidRPr="00D13792">
        <w:rPr>
          <w:rFonts w:eastAsia="Calibri" w:cs="Arial"/>
          <w:sz w:val="20"/>
          <w:szCs w:val="20"/>
        </w:rPr>
        <w:t>desarticulación del tejido</w:t>
      </w:r>
      <w:r w:rsidRPr="00D13792">
        <w:rPr>
          <w:rFonts w:eastAsia="Batang" w:cs="Times"/>
          <w:sz w:val="20"/>
          <w:szCs w:val="20"/>
        </w:rPr>
        <w:t xml:space="preserve"> </w:t>
      </w:r>
      <w:r w:rsidRPr="00D13792">
        <w:rPr>
          <w:rFonts w:eastAsia="Calibri" w:cs="Arial"/>
          <w:sz w:val="20"/>
          <w:szCs w:val="20"/>
        </w:rPr>
        <w:t xml:space="preserve">comunitario y </w:t>
      </w:r>
      <w:r w:rsidRPr="00D13792">
        <w:rPr>
          <w:rFonts w:eastAsia="Batang" w:cs="Times"/>
          <w:sz w:val="20"/>
          <w:szCs w:val="20"/>
        </w:rPr>
        <w:t xml:space="preserve">la reducción de </w:t>
      </w:r>
      <w:r w:rsidRPr="00D13792">
        <w:rPr>
          <w:rFonts w:eastAsia="Calibri" w:cs="Arial"/>
          <w:sz w:val="20"/>
          <w:szCs w:val="20"/>
        </w:rPr>
        <w:t xml:space="preserve">la cohesión comunal. </w:t>
      </w:r>
      <w:r w:rsidRPr="00D13792">
        <w:rPr>
          <w:rFonts w:eastAsia="Times"/>
          <w:sz w:val="20"/>
          <w:szCs w:val="20"/>
        </w:rPr>
        <w:t>Todo ello</w:t>
      </w:r>
      <w:r w:rsidRPr="00D13792">
        <w:rPr>
          <w:rFonts w:eastAsia="Batang" w:cs="Times"/>
          <w:sz w:val="20"/>
          <w:szCs w:val="20"/>
        </w:rPr>
        <w:t xml:space="preserve"> ha significado una pérdida de parte de la cultura maya que aún no ha sido evaluada en su totalidad. En este sentido, la Corte destaca el impacto diferenciado que los hechos de violencia y el desplazamiento han tenido en la identidad étnica y cultural de los miembros de la aldea Chichupac y comunidades vecinas del municipio de Rabinal, lo cual los ha colocado </w:t>
      </w:r>
      <w:r w:rsidRPr="00D13792">
        <w:rPr>
          <w:sz w:val="20"/>
          <w:szCs w:val="20"/>
        </w:rPr>
        <w:t>en una situación de especial vulnerabilidad</w:t>
      </w:r>
      <w:r w:rsidRPr="00D13792">
        <w:rPr>
          <w:rFonts w:eastAsia="Batang" w:cs="Times"/>
          <w:sz w:val="20"/>
          <w:szCs w:val="20"/>
        </w:rPr>
        <w:t>.</w:t>
      </w:r>
    </w:p>
    <w:p w:rsidR="006A0E1C" w:rsidRPr="00D13792" w:rsidRDefault="006A0E1C" w:rsidP="006A0E1C">
      <w:pPr>
        <w:pStyle w:val="Prrafodelista2"/>
        <w:tabs>
          <w:tab w:val="left" w:pos="720"/>
        </w:tabs>
        <w:ind w:left="0" w:right="-90"/>
        <w:jc w:val="both"/>
        <w:rPr>
          <w:rFonts w:eastAsia="Batang" w:cs="Times"/>
          <w:lang w:val="es-CR"/>
        </w:rPr>
      </w:pPr>
    </w:p>
    <w:p w:rsidR="006A0E1C" w:rsidRPr="00D13792" w:rsidRDefault="006A0E1C" w:rsidP="006A0E1C">
      <w:pPr>
        <w:numPr>
          <w:ilvl w:val="0"/>
          <w:numId w:val="6"/>
        </w:numPr>
        <w:tabs>
          <w:tab w:val="left" w:pos="567"/>
        </w:tabs>
        <w:spacing w:line="240" w:lineRule="auto"/>
        <w:ind w:right="4"/>
        <w:rPr>
          <w:rFonts w:eastAsia="HiddenHorzOCR"/>
          <w:sz w:val="20"/>
          <w:szCs w:val="20"/>
        </w:rPr>
      </w:pPr>
      <w:r w:rsidRPr="00D13792">
        <w:rPr>
          <w:rFonts w:eastAsia="Times"/>
          <w:spacing w:val="-2"/>
          <w:sz w:val="20"/>
          <w:szCs w:val="20"/>
        </w:rPr>
        <w:t xml:space="preserve">Por otra parte, </w:t>
      </w:r>
      <w:r w:rsidRPr="00D13792">
        <w:rPr>
          <w:rFonts w:eastAsia="Batang" w:cs="Times"/>
          <w:sz w:val="20"/>
          <w:szCs w:val="20"/>
        </w:rPr>
        <w:t xml:space="preserve">la Corte destaca la existencia de claros indicios relacionados con el impacto diferenciado que el desplazamiento forzado y la omisión de garantizar medidas de retorno o reasentamiento tuvo en las mujeres de la aldea Chichupac y comunidades vecinas de Rabinal </w:t>
      </w:r>
      <w:r w:rsidRPr="00D13792">
        <w:rPr>
          <w:sz w:val="20"/>
          <w:szCs w:val="20"/>
        </w:rPr>
        <w:t>a nivel cultural, social, familiar e individual</w:t>
      </w:r>
      <w:r w:rsidRPr="00D13792">
        <w:rPr>
          <w:rFonts w:eastAsia="Batang" w:cs="Times"/>
          <w:sz w:val="20"/>
          <w:szCs w:val="20"/>
        </w:rPr>
        <w:t>. Ellas han tenido que asumir el cargo de sus familias y</w:t>
      </w:r>
      <w:r w:rsidRPr="00D13792">
        <w:rPr>
          <w:sz w:val="20"/>
          <w:szCs w:val="20"/>
        </w:rPr>
        <w:t xml:space="preserve"> junto a sus hijos enfrentar el dolor de la violencia a la que sobrevivieron</w:t>
      </w:r>
      <w:r w:rsidRPr="00D13792">
        <w:rPr>
          <w:rFonts w:eastAsia="Times" w:cs="Arial"/>
          <w:sz w:val="20"/>
          <w:szCs w:val="20"/>
        </w:rPr>
        <w:t>,</w:t>
      </w:r>
      <w:r w:rsidRPr="00D13792">
        <w:rPr>
          <w:sz w:val="20"/>
          <w:szCs w:val="20"/>
        </w:rPr>
        <w:t xml:space="preserve"> </w:t>
      </w:r>
      <w:r w:rsidRPr="00D13792">
        <w:rPr>
          <w:rFonts w:eastAsia="Batang" w:cs="Times"/>
          <w:sz w:val="20"/>
          <w:szCs w:val="20"/>
        </w:rPr>
        <w:t xml:space="preserve">lo cual las colocó en una especial situación de riesgo de sufrir otras formas de violencia. Dichos indicios, los cuales se indican a continuación, </w:t>
      </w:r>
      <w:r w:rsidRPr="00D13792">
        <w:rPr>
          <w:rFonts w:eastAsia="Times"/>
          <w:sz w:val="20"/>
          <w:szCs w:val="20"/>
        </w:rPr>
        <w:t xml:space="preserve">dimensionan el horror vivido y la situación </w:t>
      </w:r>
      <w:r w:rsidRPr="00D13792">
        <w:rPr>
          <w:rFonts w:eastAsia="Times" w:cs="Arial"/>
          <w:color w:val="000000"/>
          <w:sz w:val="20"/>
          <w:szCs w:val="20"/>
          <w:shd w:val="clear" w:color="auto" w:fill="FFFFFF"/>
        </w:rPr>
        <w:t>individual, familiar y colectiva</w:t>
      </w:r>
      <w:r w:rsidRPr="00D13792">
        <w:rPr>
          <w:rFonts w:eastAsia="Times"/>
          <w:sz w:val="20"/>
          <w:szCs w:val="20"/>
        </w:rPr>
        <w:t xml:space="preserve"> de las mujeres desplazadas durante el conflicto armado interno.</w:t>
      </w:r>
    </w:p>
    <w:p w:rsidR="006A0E1C" w:rsidRPr="00D13792" w:rsidRDefault="006A0E1C" w:rsidP="006A0E1C">
      <w:pPr>
        <w:pStyle w:val="ListParagraph"/>
        <w:spacing w:after="0" w:line="240" w:lineRule="auto"/>
        <w:rPr>
          <w:rFonts w:ascii="Verdana" w:eastAsia="Batang" w:hAnsi="Verdana" w:cs="Times"/>
          <w:sz w:val="20"/>
          <w:szCs w:val="20"/>
          <w:lang w:val="es-CR"/>
        </w:rPr>
      </w:pPr>
    </w:p>
    <w:p w:rsidR="006A0E1C" w:rsidRPr="00D13792" w:rsidRDefault="006A0E1C" w:rsidP="006A0E1C">
      <w:pPr>
        <w:numPr>
          <w:ilvl w:val="0"/>
          <w:numId w:val="6"/>
        </w:numPr>
        <w:tabs>
          <w:tab w:val="left" w:pos="567"/>
        </w:tabs>
        <w:spacing w:line="240" w:lineRule="auto"/>
        <w:ind w:right="4"/>
        <w:rPr>
          <w:rFonts w:eastAsia="HiddenHorzOCR"/>
          <w:sz w:val="20"/>
          <w:szCs w:val="20"/>
        </w:rPr>
      </w:pPr>
      <w:r w:rsidRPr="00D13792">
        <w:rPr>
          <w:rFonts w:eastAsia="Batang" w:cs="Times"/>
          <w:sz w:val="20"/>
          <w:szCs w:val="20"/>
        </w:rPr>
        <w:t>Primero</w:t>
      </w:r>
      <w:r w:rsidRPr="00D13792">
        <w:rPr>
          <w:rFonts w:eastAsia="Times"/>
          <w:sz w:val="20"/>
          <w:szCs w:val="20"/>
        </w:rPr>
        <w:t xml:space="preserve">, el perito Alejandro Rodríguez Barilla </w:t>
      </w:r>
      <w:r w:rsidRPr="00D13792">
        <w:rPr>
          <w:rFonts w:eastAsia="Calibri" w:cs="Arial"/>
          <w:sz w:val="20"/>
          <w:szCs w:val="20"/>
        </w:rPr>
        <w:t xml:space="preserve">identificó que “[e]n el presente caso, las denuncias permiten inferir que un número no inferior a 18 mujeres sufrieron agresiones sexuales y fundamentalmente violaciones sexuales masivas por parte de miembros del Ejército y sus grupos </w:t>
      </w:r>
      <w:r w:rsidRPr="00D13792">
        <w:rPr>
          <w:sz w:val="20"/>
          <w:szCs w:val="20"/>
        </w:rPr>
        <w:t>paramilitares</w:t>
      </w:r>
      <w:r w:rsidRPr="00D13792">
        <w:rPr>
          <w:rFonts w:eastAsia="Calibri" w:cs="Arial"/>
          <w:sz w:val="20"/>
          <w:szCs w:val="20"/>
        </w:rPr>
        <w:t xml:space="preserve">” y que algunas de estas fueron perpetradas contra mujeres desplazadas y reubicadas en la “aldea modelo” La Colonia. </w:t>
      </w:r>
      <w:r w:rsidRPr="00D13792">
        <w:rPr>
          <w:rFonts w:eastAsia="Calibri" w:cs="Arial"/>
          <w:color w:val="1E1B1D"/>
          <w:sz w:val="20"/>
          <w:szCs w:val="20"/>
        </w:rPr>
        <w:t xml:space="preserve">A su vez, al menos cinco de las mujeres señaladas por el perito </w:t>
      </w:r>
      <w:r w:rsidRPr="00D13792">
        <w:rPr>
          <w:sz w:val="20"/>
          <w:szCs w:val="20"/>
          <w:lang w:eastAsia="es-MX"/>
        </w:rPr>
        <w:t>fueron víctimas</w:t>
      </w:r>
      <w:r w:rsidRPr="00D13792">
        <w:rPr>
          <w:rFonts w:eastAsia="Calibri" w:cs="Arial"/>
          <w:color w:val="1E1B1D"/>
          <w:sz w:val="20"/>
          <w:szCs w:val="20"/>
        </w:rPr>
        <w:t xml:space="preserve"> de </w:t>
      </w:r>
      <w:r w:rsidRPr="00D13792">
        <w:rPr>
          <w:sz w:val="20"/>
          <w:szCs w:val="20"/>
          <w:lang w:eastAsia="es-MX"/>
        </w:rPr>
        <w:t xml:space="preserve">violaciones sexuales que </w:t>
      </w:r>
      <w:r w:rsidRPr="00D13792">
        <w:rPr>
          <w:rFonts w:eastAsia="Times"/>
          <w:sz w:val="20"/>
          <w:szCs w:val="20"/>
        </w:rPr>
        <w:t>resultaron en embarazos</w:t>
      </w:r>
      <w:r w:rsidRPr="00D13792">
        <w:rPr>
          <w:rFonts w:eastAsia="Times" w:cs="Arial"/>
          <w:sz w:val="20"/>
          <w:szCs w:val="20"/>
        </w:rPr>
        <w:t xml:space="preserve"> y en el nacimiento de sus hijos</w:t>
      </w:r>
      <w:r w:rsidRPr="00D13792">
        <w:rPr>
          <w:rStyle w:val="FootnoteReference"/>
          <w:rFonts w:eastAsia="Times" w:cs="Arial"/>
          <w:sz w:val="20"/>
          <w:szCs w:val="20"/>
        </w:rPr>
        <w:t xml:space="preserve"> </w:t>
      </w:r>
      <w:r w:rsidRPr="00D13792">
        <w:rPr>
          <w:rStyle w:val="FootnoteReference"/>
          <w:rFonts w:eastAsia="Times" w:cs="Arial"/>
          <w:sz w:val="20"/>
          <w:szCs w:val="20"/>
        </w:rPr>
        <w:footnoteReference w:id="206"/>
      </w:r>
      <w:r w:rsidRPr="00D13792">
        <w:rPr>
          <w:rFonts w:eastAsia="Times" w:cs="Arial"/>
          <w:sz w:val="20"/>
          <w:szCs w:val="20"/>
        </w:rPr>
        <w:t>.</w:t>
      </w:r>
      <w:r w:rsidRPr="00D13792">
        <w:rPr>
          <w:rFonts w:eastAsia="Batang" w:cs="Times"/>
          <w:sz w:val="20"/>
          <w:szCs w:val="20"/>
        </w:rPr>
        <w:t xml:space="preserve"> </w:t>
      </w:r>
      <w:r w:rsidRPr="00D13792">
        <w:rPr>
          <w:rFonts w:eastAsia="Times" w:cs="Arial"/>
          <w:sz w:val="20"/>
          <w:szCs w:val="20"/>
        </w:rPr>
        <w:t xml:space="preserve">Segundo, </w:t>
      </w:r>
      <w:r w:rsidRPr="00D13792">
        <w:rPr>
          <w:sz w:val="20"/>
          <w:szCs w:val="20"/>
        </w:rPr>
        <w:t>el Informe de la CEH</w:t>
      </w:r>
      <w:r w:rsidRPr="00D13792">
        <w:rPr>
          <w:i/>
          <w:sz w:val="20"/>
          <w:szCs w:val="20"/>
        </w:rPr>
        <w:t xml:space="preserve"> </w:t>
      </w:r>
      <w:r w:rsidRPr="00D13792">
        <w:rPr>
          <w:sz w:val="20"/>
          <w:szCs w:val="20"/>
        </w:rPr>
        <w:t>reconoció que “</w:t>
      </w:r>
      <w:r w:rsidRPr="00D13792">
        <w:rPr>
          <w:rFonts w:eastAsia="HiddenHorzOCR" w:cs="HiddenHorzOCR"/>
          <w:sz w:val="20"/>
          <w:szCs w:val="20"/>
        </w:rPr>
        <w:t>p</w:t>
      </w:r>
      <w:r w:rsidRPr="00D13792">
        <w:rPr>
          <w:rFonts w:eastAsia="HiddenHorzOCR"/>
          <w:sz w:val="20"/>
          <w:szCs w:val="20"/>
        </w:rPr>
        <w:t xml:space="preserve">or su </w:t>
      </w:r>
      <w:r w:rsidRPr="00D13792">
        <w:rPr>
          <w:rFonts w:eastAsia="HiddenHorzOCR"/>
          <w:i/>
          <w:iCs/>
          <w:sz w:val="20"/>
          <w:szCs w:val="20"/>
        </w:rPr>
        <w:t xml:space="preserve">modus operandi, </w:t>
      </w:r>
      <w:r w:rsidRPr="00D13792">
        <w:rPr>
          <w:rFonts w:eastAsia="HiddenHorzOCR"/>
          <w:sz w:val="20"/>
          <w:szCs w:val="20"/>
        </w:rPr>
        <w:t xml:space="preserve">las violaciones sexuales originaron el éxodo de mujeres y la dispersión de comunidades enteras, rompieron lazos conyugales y sociales, generaron aislamiento social </w:t>
      </w:r>
      <w:r w:rsidRPr="00D13792">
        <w:rPr>
          <w:rFonts w:eastAsia="HiddenHorzOCR" w:cs="Arial"/>
          <w:sz w:val="20"/>
          <w:szCs w:val="20"/>
        </w:rPr>
        <w:t xml:space="preserve">y </w:t>
      </w:r>
      <w:r w:rsidRPr="00D13792">
        <w:rPr>
          <w:rFonts w:eastAsia="HiddenHorzOCR"/>
          <w:sz w:val="20"/>
          <w:szCs w:val="20"/>
        </w:rPr>
        <w:t xml:space="preserve">vergüenza comunitaria, provocaron abortos </w:t>
      </w:r>
      <w:r w:rsidRPr="00D13792">
        <w:rPr>
          <w:rFonts w:eastAsia="HiddenHorzOCR" w:cs="Arial"/>
          <w:sz w:val="20"/>
          <w:szCs w:val="20"/>
        </w:rPr>
        <w:t xml:space="preserve">y </w:t>
      </w:r>
      <w:r w:rsidRPr="00D13792">
        <w:rPr>
          <w:rFonts w:eastAsia="HiddenHorzOCR"/>
          <w:sz w:val="20"/>
          <w:szCs w:val="20"/>
        </w:rPr>
        <w:t xml:space="preserve">filicidios, impidieron matrimonios </w:t>
      </w:r>
      <w:r w:rsidRPr="00D13792">
        <w:rPr>
          <w:rFonts w:eastAsia="HiddenHorzOCR" w:cs="Arial"/>
          <w:sz w:val="20"/>
          <w:szCs w:val="20"/>
        </w:rPr>
        <w:t xml:space="preserve">y </w:t>
      </w:r>
      <w:r w:rsidRPr="00D13792">
        <w:rPr>
          <w:rFonts w:eastAsia="HiddenHorzOCR"/>
          <w:sz w:val="20"/>
          <w:szCs w:val="20"/>
        </w:rPr>
        <w:t>nacimientos</w:t>
      </w:r>
      <w:r w:rsidRPr="00D13792">
        <w:rPr>
          <w:rFonts w:eastAsia="Batang" w:cs="Times"/>
          <w:sz w:val="20"/>
          <w:szCs w:val="20"/>
        </w:rPr>
        <w:t xml:space="preserve"> </w:t>
      </w:r>
      <w:r w:rsidRPr="00D13792">
        <w:rPr>
          <w:rFonts w:eastAsia="HiddenHorzOCR"/>
          <w:sz w:val="20"/>
          <w:szCs w:val="20"/>
        </w:rPr>
        <w:t>dentro del grupo”. Asimismo, señaló que “</w:t>
      </w:r>
      <w:r w:rsidRPr="00D13792">
        <w:rPr>
          <w:sz w:val="20"/>
          <w:szCs w:val="20"/>
        </w:rPr>
        <w:t>[e]l estigma que marca a las mujeres mayas víctimas de violación sexual provoca el horror al rechazo familiar o comunitario. Algunas de las sobrevivientes de agresiones sexuales se desplazaron incluso a otra comunidad precisamente para no vivir la vergüenza de estar marcadas como ‘mujer violada’. Estas mujeres han tenido que sobrevivir al miedo de ‘ser descubiertas’ y al pánico de que otros las culpabilicen”</w:t>
      </w:r>
      <w:r w:rsidRPr="00D13792">
        <w:rPr>
          <w:rStyle w:val="FootnoteReference"/>
          <w:rFonts w:eastAsia="HiddenHorzOCR"/>
          <w:sz w:val="20"/>
          <w:szCs w:val="20"/>
        </w:rPr>
        <w:footnoteReference w:id="207"/>
      </w:r>
      <w:r w:rsidRPr="00D13792">
        <w:rPr>
          <w:rFonts w:eastAsia="HiddenHorzOCR"/>
          <w:sz w:val="20"/>
          <w:szCs w:val="20"/>
        </w:rPr>
        <w:t>.</w:t>
      </w:r>
    </w:p>
    <w:p w:rsidR="006A0E1C" w:rsidRPr="00D13792" w:rsidRDefault="006A0E1C" w:rsidP="006A0E1C">
      <w:pPr>
        <w:pStyle w:val="Prrafodelista2"/>
        <w:tabs>
          <w:tab w:val="left" w:pos="720"/>
        </w:tabs>
        <w:ind w:left="0" w:right="-90"/>
        <w:jc w:val="both"/>
        <w:rPr>
          <w:rFonts w:eastAsia="Batang" w:cs="Times"/>
          <w:lang w:val="es-CR"/>
        </w:rPr>
      </w:pPr>
    </w:p>
    <w:p w:rsidR="006A0E1C" w:rsidRPr="00D13792" w:rsidRDefault="006A0E1C" w:rsidP="006A0E1C">
      <w:pPr>
        <w:numPr>
          <w:ilvl w:val="0"/>
          <w:numId w:val="6"/>
        </w:numPr>
        <w:tabs>
          <w:tab w:val="left" w:pos="567"/>
        </w:tabs>
        <w:spacing w:line="240" w:lineRule="auto"/>
        <w:ind w:right="4"/>
        <w:rPr>
          <w:rFonts w:eastAsia="Batang" w:cs="Times"/>
          <w:sz w:val="20"/>
          <w:szCs w:val="20"/>
        </w:rPr>
      </w:pPr>
      <w:r w:rsidRPr="00D13792">
        <w:rPr>
          <w:rFonts w:eastAsia="Times"/>
          <w:spacing w:val="-2"/>
          <w:sz w:val="20"/>
          <w:szCs w:val="20"/>
        </w:rPr>
        <w:t>Tercero</w:t>
      </w:r>
      <w:r w:rsidRPr="00D13792">
        <w:rPr>
          <w:rFonts w:eastAsia="Calibri" w:cs="Arial"/>
          <w:color w:val="1E1B1D"/>
          <w:sz w:val="20"/>
          <w:szCs w:val="20"/>
        </w:rPr>
        <w:t xml:space="preserve">, la Corte nota el testimonio de vida de la </w:t>
      </w:r>
      <w:r w:rsidRPr="00D13792">
        <w:rPr>
          <w:rFonts w:eastAsia="Batang" w:cs="Times"/>
          <w:sz w:val="20"/>
          <w:szCs w:val="20"/>
        </w:rPr>
        <w:t>señora Juana García Depaz, quien vivió la pérdida de los hombres de su entorno familiar, esto es, la muerte de su esposo, hermano e hijo, la desaparición de su padre, hermano y sobrino, así como la muerte de su hija, entre agosto de 1981 y agosto de 1986</w:t>
      </w:r>
      <w:r w:rsidRPr="00D13792">
        <w:rPr>
          <w:rFonts w:eastAsia="Batang" w:cs="Times"/>
          <w:sz w:val="20"/>
          <w:szCs w:val="20"/>
          <w:vertAlign w:val="superscript"/>
        </w:rPr>
        <w:footnoteReference w:id="208"/>
      </w:r>
      <w:r w:rsidRPr="00D13792">
        <w:rPr>
          <w:rFonts w:eastAsia="Batang" w:cs="Times"/>
          <w:sz w:val="20"/>
          <w:szCs w:val="20"/>
        </w:rPr>
        <w:t>. Fue capturada el 22 de octubre de 1983 por las fuerzas de seguridad del Estado, trasladada al destacamento militar de la cabecera municipal de Rabinal, en donde fue golpeada</w:t>
      </w:r>
      <w:r w:rsidRPr="00D13792">
        <w:rPr>
          <w:rFonts w:eastAsia="Times"/>
          <w:sz w:val="20"/>
          <w:szCs w:val="20"/>
        </w:rPr>
        <w:t xml:space="preserve">, violada sexualmente </w:t>
      </w:r>
      <w:r w:rsidRPr="00D13792">
        <w:rPr>
          <w:rFonts w:eastAsia="Times" w:cs="Arial"/>
          <w:sz w:val="20"/>
          <w:szCs w:val="20"/>
        </w:rPr>
        <w:t>por militares,</w:t>
      </w:r>
      <w:r w:rsidRPr="00D13792">
        <w:rPr>
          <w:rFonts w:eastAsia="Times"/>
          <w:sz w:val="20"/>
          <w:szCs w:val="20"/>
        </w:rPr>
        <w:t xml:space="preserve"> amenazada de muerte, colgada del cuello con un lazo e interrogada sobre la guerrilla. Posteriormente, fue trasladada a la colonia Pacux de Rabinal, y después a la colonia de Chichupac, en donde vivió bajo un fuerte control militar, se le obligó a </w:t>
      </w:r>
      <w:r w:rsidRPr="00D13792">
        <w:rPr>
          <w:iCs/>
          <w:sz w:val="20"/>
          <w:szCs w:val="20"/>
        </w:rPr>
        <w:t xml:space="preserve">trabajar para alimentar a los </w:t>
      </w:r>
      <w:r w:rsidRPr="00D13792">
        <w:rPr>
          <w:sz w:val="20"/>
          <w:szCs w:val="20"/>
        </w:rPr>
        <w:t xml:space="preserve">militares y fue violada sexualmente. Las violaciones sexuales llevadas a cabo </w:t>
      </w:r>
      <w:r w:rsidRPr="00D13792">
        <w:rPr>
          <w:rFonts w:eastAsia="Times"/>
          <w:sz w:val="20"/>
          <w:szCs w:val="20"/>
        </w:rPr>
        <w:t>e</w:t>
      </w:r>
      <w:r w:rsidRPr="00D13792">
        <w:rPr>
          <w:rFonts w:eastAsia="Times" w:cs="Arial"/>
          <w:sz w:val="20"/>
          <w:szCs w:val="20"/>
        </w:rPr>
        <w:t xml:space="preserve">n octubre de </w:t>
      </w:r>
      <w:r w:rsidRPr="00D13792">
        <w:rPr>
          <w:rFonts w:eastAsia="Times"/>
          <w:sz w:val="20"/>
          <w:szCs w:val="20"/>
        </w:rPr>
        <w:t xml:space="preserve">1982 </w:t>
      </w:r>
      <w:r w:rsidRPr="00D13792">
        <w:rPr>
          <w:rFonts w:eastAsia="Times" w:cs="Arial"/>
          <w:sz w:val="20"/>
          <w:szCs w:val="20"/>
        </w:rPr>
        <w:t xml:space="preserve">y junio de </w:t>
      </w:r>
      <w:r w:rsidRPr="00D13792">
        <w:rPr>
          <w:rFonts w:eastAsia="Times"/>
          <w:sz w:val="20"/>
          <w:szCs w:val="20"/>
        </w:rPr>
        <w:t>1985 resultaron en dos embarazos</w:t>
      </w:r>
      <w:r w:rsidRPr="00D13792">
        <w:rPr>
          <w:rFonts w:eastAsia="Times" w:cs="Arial"/>
          <w:sz w:val="20"/>
          <w:szCs w:val="20"/>
        </w:rPr>
        <w:t xml:space="preserve"> de los cuales nacieron sus hijos </w:t>
      </w:r>
      <w:r w:rsidRPr="00D13792">
        <w:rPr>
          <w:rFonts w:eastAsia="Times"/>
          <w:sz w:val="20"/>
          <w:szCs w:val="20"/>
        </w:rPr>
        <w:t>Edgar y Sandra Maribel García (</w:t>
      </w:r>
      <w:r w:rsidRPr="00D13792">
        <w:rPr>
          <w:rFonts w:eastAsia="Times"/>
          <w:i/>
          <w:sz w:val="20"/>
          <w:szCs w:val="20"/>
        </w:rPr>
        <w:t>supra</w:t>
      </w:r>
      <w:r w:rsidRPr="00D13792">
        <w:rPr>
          <w:rFonts w:eastAsia="Times"/>
          <w:sz w:val="20"/>
          <w:szCs w:val="20"/>
        </w:rPr>
        <w:t xml:space="preserve"> párr. 116). Con posterioridad al </w:t>
      </w:r>
      <w:r w:rsidRPr="00D13792">
        <w:rPr>
          <w:rFonts w:eastAsia="Batang" w:cs="Times"/>
          <w:sz w:val="20"/>
          <w:szCs w:val="20"/>
        </w:rPr>
        <w:t xml:space="preserve">9 de marzo 1987, </w:t>
      </w:r>
      <w:r w:rsidRPr="00D13792">
        <w:rPr>
          <w:rFonts w:eastAsia="Times"/>
          <w:sz w:val="20"/>
          <w:szCs w:val="20"/>
        </w:rPr>
        <w:t xml:space="preserve">Juana García vivió el desplazamiento forzado junto a su hija e hijo de aproximadamente 3 años y 1 año de edad, el cual se prolongó hasta la actualidad. Al respecto, durante la audiencia pública Juana García relató a este Tribunal: “nos quedamos sin ropa, sin nada, sin </w:t>
      </w:r>
      <w:r w:rsidRPr="00D13792">
        <w:rPr>
          <w:rFonts w:eastAsia="Batang" w:cs="Times"/>
          <w:sz w:val="20"/>
          <w:szCs w:val="20"/>
        </w:rPr>
        <w:t>vivienda</w:t>
      </w:r>
      <w:r w:rsidRPr="00D13792">
        <w:rPr>
          <w:rFonts w:eastAsia="Times"/>
          <w:sz w:val="20"/>
          <w:szCs w:val="20"/>
        </w:rPr>
        <w:t xml:space="preserve">, nos quedamos como un pájaro volando […]. </w:t>
      </w:r>
      <w:r w:rsidRPr="00D13792">
        <w:rPr>
          <w:rFonts w:eastAsia="Times"/>
          <w:sz w:val="20"/>
          <w:szCs w:val="20"/>
        </w:rPr>
        <w:lastRenderedPageBreak/>
        <w:t xml:space="preserve">Quedamos sin marido, sin esposos […]. Yo perdí mis hijos, no solo a las dos muertes[,] [también] los mayores, esos se desintegraron, se fueron […], durante nueve años perdí mis hijos […]. [V]í la muerte de mis hijos y de todos los vecinos. Yo sufrí mucho y sufrimos grandemente […]. Nos quedamos como afuera peregrinando […]. Hasta la fecha estamos desintegrados de familia”. Sin embrago y bajo estas circunstancias, Juana García inició la </w:t>
      </w:r>
      <w:r w:rsidRPr="00D13792">
        <w:rPr>
          <w:rFonts w:eastAsia="Batang" w:cs="Times"/>
          <w:sz w:val="20"/>
          <w:szCs w:val="20"/>
        </w:rPr>
        <w:t>búsqueda de los seres queridos</w:t>
      </w:r>
      <w:r w:rsidRPr="00D13792">
        <w:rPr>
          <w:rFonts w:eastAsia="Times" w:cs="Arial"/>
          <w:color w:val="000000"/>
          <w:sz w:val="20"/>
          <w:szCs w:val="20"/>
          <w:shd w:val="clear" w:color="auto" w:fill="FFFFFF"/>
        </w:rPr>
        <w:t xml:space="preserve"> que quedaron en los cementerios clandestinos y los que fueron víctimas de desaparición forzada,</w:t>
      </w:r>
      <w:r w:rsidRPr="00D13792">
        <w:rPr>
          <w:rFonts w:eastAsia="Times"/>
          <w:sz w:val="20"/>
          <w:szCs w:val="20"/>
        </w:rPr>
        <w:t xml:space="preserve"> denunció los hechos ocurridos a sus familiares, estuvo involucrada en las investigaciones penales que se siguieron a partir de dichas denuncias, y participó en los procedimientos de exhumación e identificación de sus familiares en 2000, 2002 y 2006. Además, relató a esta Corte que aún mantiene la búsqueda de su padre Adrián García Manuel y de su nieta, hija de Eusebia Grave García, a quien los militares se la llevaron de siete meses de nacida y quien estaría en Suecia actualmente</w:t>
      </w:r>
      <w:r w:rsidRPr="00D13792">
        <w:rPr>
          <w:rFonts w:eastAsia="Times"/>
          <w:sz w:val="20"/>
          <w:szCs w:val="20"/>
          <w:vertAlign w:val="superscript"/>
        </w:rPr>
        <w:footnoteReference w:id="209"/>
      </w:r>
      <w:r w:rsidRPr="00D13792">
        <w:rPr>
          <w:rFonts w:eastAsia="Times"/>
          <w:sz w:val="20"/>
          <w:szCs w:val="20"/>
        </w:rPr>
        <w:t>.</w:t>
      </w:r>
    </w:p>
    <w:p w:rsidR="006A0E1C" w:rsidRPr="00D13792" w:rsidRDefault="006A0E1C" w:rsidP="006A0E1C">
      <w:pPr>
        <w:pStyle w:val="Prrafodelista2"/>
        <w:tabs>
          <w:tab w:val="left" w:pos="720"/>
        </w:tabs>
        <w:ind w:left="0" w:right="-90"/>
        <w:jc w:val="both"/>
        <w:rPr>
          <w:rFonts w:eastAsia="Batang" w:cs="Times"/>
          <w:lang w:val="es-CR"/>
        </w:rPr>
      </w:pPr>
    </w:p>
    <w:p w:rsidR="006A0E1C" w:rsidRPr="00D13792" w:rsidRDefault="006A0E1C" w:rsidP="006A0E1C">
      <w:pPr>
        <w:numPr>
          <w:ilvl w:val="0"/>
          <w:numId w:val="6"/>
        </w:numPr>
        <w:tabs>
          <w:tab w:val="left" w:pos="567"/>
        </w:tabs>
        <w:spacing w:line="240" w:lineRule="auto"/>
        <w:ind w:right="4"/>
        <w:rPr>
          <w:color w:val="000000"/>
          <w:sz w:val="20"/>
          <w:szCs w:val="20"/>
        </w:rPr>
      </w:pPr>
      <w:r w:rsidRPr="00D13792">
        <w:rPr>
          <w:rFonts w:eastAsia="Times"/>
          <w:spacing w:val="-2"/>
          <w:sz w:val="20"/>
          <w:szCs w:val="20"/>
        </w:rPr>
        <w:t>Cuarto</w:t>
      </w:r>
      <w:r w:rsidRPr="00D13792">
        <w:rPr>
          <w:color w:val="000000"/>
          <w:sz w:val="20"/>
          <w:szCs w:val="20"/>
        </w:rPr>
        <w:t xml:space="preserve">, el </w:t>
      </w:r>
      <w:r w:rsidRPr="00D13792">
        <w:rPr>
          <w:sz w:val="20"/>
          <w:szCs w:val="20"/>
        </w:rPr>
        <w:t>Informe REMHI</w:t>
      </w:r>
      <w:r w:rsidRPr="00D13792">
        <w:rPr>
          <w:color w:val="000000"/>
          <w:sz w:val="20"/>
          <w:szCs w:val="20"/>
        </w:rPr>
        <w:t xml:space="preserve"> destacó que “[m]ujeres de todas las edades y etnias, desde diversas condiciones sociales y diferentes puntos geográficos, […] [t]uvieron que dedicarse a buscar a los desaparecidos y preservar la vida de los que quedaron y garantizar la sobrevivencia </w:t>
      </w:r>
      <w:r w:rsidRPr="00D13792">
        <w:rPr>
          <w:sz w:val="20"/>
          <w:szCs w:val="20"/>
        </w:rPr>
        <w:t>personal</w:t>
      </w:r>
      <w:r w:rsidRPr="00D13792">
        <w:rPr>
          <w:color w:val="000000"/>
          <w:sz w:val="20"/>
          <w:szCs w:val="20"/>
        </w:rPr>
        <w:t xml:space="preserve"> y familiar. Y todo ello, añadido al gran desgaste emocional que supone el impacto de la violencia y sus efectos en las mujeres, como la soledad, la sobrecarga y la valoración negativa de sí misma”</w:t>
      </w:r>
      <w:r w:rsidRPr="00D13792">
        <w:rPr>
          <w:rStyle w:val="FootnoteReference"/>
          <w:color w:val="000000"/>
          <w:sz w:val="20"/>
          <w:szCs w:val="20"/>
        </w:rPr>
        <w:footnoteReference w:id="210"/>
      </w:r>
      <w:r w:rsidRPr="00D13792">
        <w:rPr>
          <w:color w:val="000000"/>
          <w:sz w:val="20"/>
          <w:szCs w:val="20"/>
        </w:rPr>
        <w:t>.</w:t>
      </w:r>
    </w:p>
    <w:p w:rsidR="006A0E1C" w:rsidRPr="00D13792" w:rsidRDefault="006A0E1C" w:rsidP="006A0E1C">
      <w:pPr>
        <w:pStyle w:val="Prrafodelista2"/>
        <w:tabs>
          <w:tab w:val="left" w:pos="720"/>
        </w:tabs>
        <w:ind w:left="0" w:right="-90"/>
        <w:jc w:val="both"/>
        <w:rPr>
          <w:rFonts w:eastAsia="Batang" w:cs="Times"/>
          <w:lang w:val="es-CR"/>
        </w:rPr>
      </w:pPr>
    </w:p>
    <w:p w:rsidR="006A0E1C" w:rsidRPr="00D13792" w:rsidRDefault="006A0E1C" w:rsidP="006A0E1C">
      <w:pPr>
        <w:numPr>
          <w:ilvl w:val="0"/>
          <w:numId w:val="6"/>
        </w:numPr>
        <w:tabs>
          <w:tab w:val="left" w:pos="567"/>
        </w:tabs>
        <w:spacing w:line="240" w:lineRule="auto"/>
        <w:ind w:right="4"/>
        <w:rPr>
          <w:rFonts w:eastAsia="Times"/>
          <w:sz w:val="20"/>
          <w:szCs w:val="20"/>
        </w:rPr>
      </w:pPr>
      <w:r w:rsidRPr="00D13792">
        <w:rPr>
          <w:rFonts w:eastAsia="Times"/>
          <w:sz w:val="20"/>
          <w:szCs w:val="20"/>
        </w:rPr>
        <w:t xml:space="preserve">Finalmente, </w:t>
      </w:r>
      <w:r w:rsidRPr="00D13792">
        <w:rPr>
          <w:rFonts w:eastAsia="Times"/>
          <w:spacing w:val="-2"/>
          <w:sz w:val="20"/>
          <w:szCs w:val="20"/>
        </w:rPr>
        <w:t>la Corte entiende que el desplazamiento forzado incluyó una gran parte de niñas y niños</w:t>
      </w:r>
      <w:r w:rsidRPr="00D13792">
        <w:rPr>
          <w:rFonts w:eastAsia="Times"/>
          <w:sz w:val="20"/>
          <w:szCs w:val="20"/>
        </w:rPr>
        <w:t xml:space="preserve">, quienes además del impacto de sobrevivir a los hechos de violencia, se encontraron que su padre y su madre o uno de ellos murieron, se vieron forzados a vivir en una cultura que no era la de ellos, lo cual les causó pérdida de identidad y </w:t>
      </w:r>
      <w:r w:rsidRPr="00D13792">
        <w:rPr>
          <w:rFonts w:eastAsia="Batang" w:cs="Times"/>
          <w:sz w:val="20"/>
          <w:szCs w:val="20"/>
        </w:rPr>
        <w:t>desarraigo</w:t>
      </w:r>
      <w:r w:rsidRPr="00D13792">
        <w:rPr>
          <w:rFonts w:eastAsia="Times"/>
          <w:sz w:val="20"/>
          <w:szCs w:val="20"/>
        </w:rPr>
        <w:t xml:space="preserve"> cultural, y en algunos casos pasaron a hacerse cargo de sus hermanas y hermanos menores.</w:t>
      </w:r>
      <w:r w:rsidRPr="00D13792">
        <w:rPr>
          <w:rFonts w:eastAsia="Batang" w:cs="Times"/>
          <w:sz w:val="20"/>
          <w:szCs w:val="20"/>
        </w:rPr>
        <w:t xml:space="preserve"> La Corte destaca el impacto diferenciado que los hechos de violencia y el desplazamiento han tenido en las personas que eran niños y niñas en esa época, lo cual los colocó </w:t>
      </w:r>
      <w:r w:rsidRPr="00D13792">
        <w:rPr>
          <w:sz w:val="20"/>
          <w:szCs w:val="20"/>
        </w:rPr>
        <w:t>en una situación de especial vulnerabilidad</w:t>
      </w:r>
      <w:r w:rsidRPr="00D13792">
        <w:rPr>
          <w:rFonts w:eastAsia="Batang" w:cs="Times"/>
          <w:sz w:val="20"/>
          <w:szCs w:val="20"/>
        </w:rPr>
        <w:t>. De igual modo,</w:t>
      </w:r>
      <w:r w:rsidRPr="00D13792">
        <w:rPr>
          <w:rFonts w:eastAsia="Times"/>
          <w:sz w:val="20"/>
          <w:szCs w:val="20"/>
        </w:rPr>
        <w:t xml:space="preserve"> n</w:t>
      </w:r>
      <w:r w:rsidRPr="00D13792">
        <w:rPr>
          <w:sz w:val="20"/>
          <w:szCs w:val="20"/>
        </w:rPr>
        <w:t>o escapa al Tribunal las circunstancias de los primeros años de vida de las niñas y niños nacidos de las violaciones sexuales de sus madres en el marco del conflicto armado interno y que a su vez fueron víctimas de la violencia de la época, y quienes han sido especialmente vulnerables debido a las posibilidades de enfrentar la estigmatización, discriminación, abandono, infanticidio u otras formas de violencia</w:t>
      </w:r>
      <w:r w:rsidRPr="00D13792">
        <w:rPr>
          <w:rStyle w:val="FootnoteReference"/>
          <w:sz w:val="20"/>
          <w:szCs w:val="20"/>
        </w:rPr>
        <w:footnoteReference w:id="211"/>
      </w:r>
      <w:r w:rsidRPr="00D13792">
        <w:rPr>
          <w:sz w:val="20"/>
          <w:szCs w:val="20"/>
        </w:rPr>
        <w:t>.</w:t>
      </w:r>
    </w:p>
    <w:p w:rsidR="006A0E1C" w:rsidRPr="00D13792" w:rsidRDefault="006A0E1C" w:rsidP="006A0E1C">
      <w:pPr>
        <w:widowControl/>
        <w:autoSpaceDE w:val="0"/>
        <w:autoSpaceDN w:val="0"/>
        <w:spacing w:line="240" w:lineRule="auto"/>
        <w:jc w:val="left"/>
        <w:textAlignment w:val="auto"/>
        <w:rPr>
          <w:rFonts w:eastAsia="Calibri"/>
          <w:sz w:val="20"/>
          <w:szCs w:val="20"/>
          <w:lang w:eastAsia="en-US"/>
        </w:rPr>
      </w:pPr>
    </w:p>
    <w:p w:rsidR="006A0E1C" w:rsidRPr="00D13792" w:rsidRDefault="006A0E1C" w:rsidP="006A0E1C">
      <w:pPr>
        <w:pStyle w:val="Heading3"/>
        <w:ind w:left="0"/>
        <w:rPr>
          <w:i/>
          <w:lang w:val="es-CR"/>
        </w:rPr>
      </w:pPr>
      <w:bookmarkStart w:id="224" w:name="_Toc460938886"/>
      <w:bookmarkStart w:id="225" w:name="_Toc469670053"/>
      <w:r w:rsidRPr="00D13792">
        <w:rPr>
          <w:i/>
          <w:lang w:val="es-CR"/>
        </w:rPr>
        <w:t>B.4. Conclusión</w:t>
      </w:r>
      <w:bookmarkEnd w:id="224"/>
      <w:bookmarkEnd w:id="225"/>
    </w:p>
    <w:p w:rsidR="006A0E1C" w:rsidRPr="00D13792" w:rsidRDefault="006A0E1C" w:rsidP="006A0E1C">
      <w:pPr>
        <w:widowControl/>
        <w:adjustRightInd/>
        <w:spacing w:line="240" w:lineRule="auto"/>
        <w:textAlignment w:val="auto"/>
        <w:rPr>
          <w:rFonts w:eastAsia="Batang" w:cs="Times"/>
          <w:sz w:val="20"/>
          <w:szCs w:val="20"/>
          <w:lang w:eastAsia="en-US"/>
        </w:rPr>
      </w:pPr>
    </w:p>
    <w:p w:rsidR="006A0E1C" w:rsidRPr="00D13792" w:rsidRDefault="006A0E1C" w:rsidP="006A0E1C">
      <w:pPr>
        <w:numPr>
          <w:ilvl w:val="0"/>
          <w:numId w:val="6"/>
        </w:numPr>
        <w:tabs>
          <w:tab w:val="left" w:pos="567"/>
        </w:tabs>
        <w:spacing w:line="240" w:lineRule="auto"/>
        <w:ind w:right="4"/>
        <w:rPr>
          <w:rFonts w:eastAsia="Times"/>
          <w:spacing w:val="-2"/>
          <w:sz w:val="20"/>
          <w:szCs w:val="20"/>
        </w:rPr>
      </w:pPr>
      <w:r w:rsidRPr="00D13792">
        <w:rPr>
          <w:rFonts w:eastAsia="Times" w:cs="Arial"/>
          <w:color w:val="000000"/>
          <w:sz w:val="20"/>
          <w:szCs w:val="20"/>
          <w:shd w:val="clear" w:color="auto" w:fill="FFFFFF"/>
        </w:rPr>
        <w:t>En</w:t>
      </w:r>
      <w:r w:rsidRPr="00D13792">
        <w:rPr>
          <w:rFonts w:eastAsia="Batang" w:cs="Times"/>
          <w:sz w:val="20"/>
          <w:szCs w:val="20"/>
        </w:rPr>
        <w:t xml:space="preserve"> consecuencia, la Corte considera que el Estado de Guatemala es responsable por la violación de los derechos reconocidos en el artículo 22.1 de la Convención Americana, en relación con el artículo 1.1 de la misma</w:t>
      </w:r>
      <w:r w:rsidRPr="00D13792">
        <w:rPr>
          <w:spacing w:val="-2"/>
          <w:sz w:val="20"/>
          <w:szCs w:val="20"/>
        </w:rPr>
        <w:t>.</w:t>
      </w:r>
      <w:r w:rsidRPr="00D13792">
        <w:rPr>
          <w:rFonts w:eastAsia="Times"/>
          <w:sz w:val="20"/>
          <w:szCs w:val="20"/>
        </w:rPr>
        <w:t xml:space="preserve"> En esta Sentencia la Corte describió los problemas suscitados en la identificación efectiva de todas las presuntas víctimas del caso, lo cual, a su vez, dificulta determinar cuántas personas se vieron desplazadas. El 2 de junio de 2016 los representantes presentaron un listado de “Personas individualizadas y desplazadas”, indicando cuáles personas habrían permanecido en situación de desplazamiento con posterioridad al 9 de marzo de 1987, sin que el Estado presentara oposición a la calidad de víctimas desplazadas de dichas personas (</w:t>
      </w:r>
      <w:r w:rsidRPr="00D13792">
        <w:rPr>
          <w:rFonts w:eastAsia="Times"/>
          <w:i/>
          <w:sz w:val="20"/>
          <w:szCs w:val="20"/>
        </w:rPr>
        <w:t>supra</w:t>
      </w:r>
      <w:r w:rsidRPr="00D13792">
        <w:rPr>
          <w:rFonts w:eastAsia="Times"/>
          <w:sz w:val="20"/>
          <w:szCs w:val="20"/>
        </w:rPr>
        <w:t xml:space="preserve"> párrs. 10, 65 y 69). En aplicación del principio de buena fe y lealtad procesal de las partes en este caso, la Corte entiende que son víctimas de desplazamiento tales personas, las cuales se encuentran </w:t>
      </w:r>
      <w:r w:rsidRPr="00D13792">
        <w:rPr>
          <w:rFonts w:eastAsia="Batang" w:cs="Times"/>
          <w:sz w:val="20"/>
          <w:szCs w:val="20"/>
        </w:rPr>
        <w:t>identificadas en el Anexo II de esta Sentencia</w:t>
      </w:r>
      <w:r w:rsidRPr="00D13792">
        <w:rPr>
          <w:rFonts w:eastAsia="Times"/>
          <w:sz w:val="20"/>
          <w:szCs w:val="20"/>
        </w:rPr>
        <w:t xml:space="preserve">. </w:t>
      </w:r>
    </w:p>
    <w:p w:rsidR="006A0E1C" w:rsidRPr="00D13792" w:rsidRDefault="006A0E1C" w:rsidP="006A0E1C">
      <w:pPr>
        <w:widowControl/>
        <w:adjustRightInd/>
        <w:spacing w:line="240" w:lineRule="auto"/>
        <w:contextualSpacing/>
        <w:textAlignment w:val="auto"/>
        <w:rPr>
          <w:sz w:val="20"/>
          <w:szCs w:val="20"/>
        </w:rPr>
      </w:pPr>
    </w:p>
    <w:p w:rsidR="006A0E1C" w:rsidRPr="00D13792" w:rsidRDefault="006A0E1C" w:rsidP="006A0E1C">
      <w:pPr>
        <w:numPr>
          <w:ilvl w:val="0"/>
          <w:numId w:val="6"/>
        </w:numPr>
        <w:tabs>
          <w:tab w:val="left" w:pos="567"/>
        </w:tabs>
        <w:spacing w:line="240" w:lineRule="auto"/>
        <w:ind w:right="4"/>
        <w:rPr>
          <w:sz w:val="20"/>
          <w:szCs w:val="20"/>
        </w:rPr>
      </w:pPr>
      <w:r w:rsidRPr="00D13792">
        <w:rPr>
          <w:rFonts w:eastAsia="Times"/>
          <w:sz w:val="20"/>
          <w:szCs w:val="20"/>
        </w:rPr>
        <w:t>Por</w:t>
      </w:r>
      <w:r w:rsidRPr="00D13792">
        <w:rPr>
          <w:sz w:val="20"/>
          <w:szCs w:val="20"/>
        </w:rPr>
        <w:t xml:space="preserve"> otro lado, este Tribunal estima que la alegada violación del artículo 12 de la Convención Americana ya fue debidamente considerada en la fundamentación de este Capítulo, sin que sea necesario emitir un pronunciamiento autónomo sobre este particular.</w:t>
      </w:r>
    </w:p>
    <w:p w:rsidR="006A0E1C" w:rsidRPr="00D13792" w:rsidRDefault="006A0E1C" w:rsidP="006A0E1C">
      <w:pPr>
        <w:widowControl/>
        <w:adjustRightInd/>
        <w:spacing w:line="240" w:lineRule="auto"/>
        <w:contextualSpacing/>
        <w:textAlignment w:val="auto"/>
        <w:rPr>
          <w:rFonts w:eastAsia="Times"/>
          <w:spacing w:val="-2"/>
          <w:sz w:val="20"/>
          <w:szCs w:val="20"/>
          <w:lang w:eastAsia="en-US"/>
        </w:rPr>
      </w:pPr>
    </w:p>
    <w:p w:rsidR="006A0E1C" w:rsidRPr="00D13792" w:rsidRDefault="006A0E1C" w:rsidP="006A0E1C">
      <w:pPr>
        <w:numPr>
          <w:ilvl w:val="0"/>
          <w:numId w:val="6"/>
        </w:numPr>
        <w:tabs>
          <w:tab w:val="left" w:pos="567"/>
        </w:tabs>
        <w:spacing w:line="240" w:lineRule="auto"/>
        <w:ind w:right="4"/>
        <w:rPr>
          <w:rFonts w:eastAsia="Times"/>
          <w:spacing w:val="-2"/>
          <w:sz w:val="20"/>
          <w:szCs w:val="20"/>
        </w:rPr>
      </w:pPr>
      <w:r w:rsidRPr="00D13792">
        <w:rPr>
          <w:rFonts w:eastAsia="Times"/>
          <w:sz w:val="20"/>
          <w:szCs w:val="20"/>
        </w:rPr>
        <w:t xml:space="preserve">Finalmente, la Corte observa que la Comisión también alegó que Guatemala violó el artículo 16 de la Convención Americana. El artículo 16.1 de la Convención Americana establece que quienes están bajo la jurisdicción de los Estados Partes tienen el derecho y la libertad de asociarse libremente con otras personas, sin intervención de las autoridades públicas que limiten o entorpezcan el ejercicio del referido derecho. Se trata, pues, del </w:t>
      </w:r>
      <w:r w:rsidRPr="00D13792">
        <w:rPr>
          <w:rFonts w:eastAsia="Batang" w:cs="Times"/>
          <w:sz w:val="20"/>
          <w:szCs w:val="20"/>
        </w:rPr>
        <w:t>derecho</w:t>
      </w:r>
      <w:r w:rsidRPr="00D13792">
        <w:rPr>
          <w:rFonts w:eastAsia="Times"/>
          <w:sz w:val="20"/>
          <w:szCs w:val="20"/>
        </w:rPr>
        <w:t xml:space="preserve"> a agruparse con la finalidad de buscar la realización común de un fin lícito, sin presiones o intromisiones que puedan alterar o desnaturalizar dicha finalidad</w:t>
      </w:r>
      <w:r w:rsidRPr="00D13792">
        <w:rPr>
          <w:rFonts w:eastAsia="Times"/>
          <w:sz w:val="20"/>
          <w:szCs w:val="20"/>
          <w:vertAlign w:val="superscript"/>
        </w:rPr>
        <w:footnoteReference w:id="212"/>
      </w:r>
      <w:r w:rsidRPr="00D13792">
        <w:rPr>
          <w:rFonts w:eastAsia="Times"/>
          <w:sz w:val="20"/>
          <w:szCs w:val="20"/>
        </w:rPr>
        <w:t xml:space="preserve">. </w:t>
      </w:r>
      <w:r w:rsidRPr="00D13792">
        <w:rPr>
          <w:rFonts w:eastAsia="Calibri" w:cs="Verdana"/>
          <w:sz w:val="20"/>
          <w:szCs w:val="20"/>
        </w:rPr>
        <w:t>Asimismo, el artículo 16.2 de dicho</w:t>
      </w:r>
      <w:r w:rsidRPr="00D13792">
        <w:rPr>
          <w:rFonts w:eastAsia="Times"/>
          <w:sz w:val="20"/>
          <w:szCs w:val="20"/>
        </w:rPr>
        <w:t xml:space="preserve"> </w:t>
      </w:r>
      <w:r w:rsidRPr="00D13792">
        <w:rPr>
          <w:rFonts w:eastAsia="Calibri" w:cs="Verdana"/>
          <w:sz w:val="20"/>
          <w:szCs w:val="20"/>
        </w:rPr>
        <w:t xml:space="preserve">tratado establece que el ejercicio del derecho a asociarse libremente “sólo puede estar sujeto a las restricciones </w:t>
      </w:r>
      <w:r w:rsidRPr="00D13792">
        <w:rPr>
          <w:sz w:val="20"/>
          <w:szCs w:val="20"/>
        </w:rPr>
        <w:t>previstas</w:t>
      </w:r>
      <w:r w:rsidRPr="00D13792">
        <w:rPr>
          <w:rFonts w:eastAsia="Calibri" w:cs="Verdana"/>
          <w:sz w:val="20"/>
          <w:szCs w:val="20"/>
        </w:rPr>
        <w:t xml:space="preserve"> por la ley que sean necesarias en una sociedad democrática, en interés de la seguridad nacional, de la seguridad o del orden públicos, o para proteger la salud o la moral públicas o los derechos y libertades de los demás”. </w:t>
      </w:r>
      <w:r w:rsidRPr="00D13792">
        <w:rPr>
          <w:rFonts w:eastAsia="Times"/>
          <w:sz w:val="20"/>
          <w:szCs w:val="20"/>
        </w:rPr>
        <w:t xml:space="preserve">En el presente caso y tal como lo hizo en el </w:t>
      </w:r>
      <w:r w:rsidRPr="00D13792">
        <w:rPr>
          <w:rFonts w:eastAsia="Times"/>
          <w:bCs/>
          <w:i/>
          <w:color w:val="000000"/>
          <w:sz w:val="20"/>
          <w:szCs w:val="20"/>
          <w:shd w:val="clear" w:color="auto" w:fill="FFFFFF"/>
        </w:rPr>
        <w:t>Caso Masacres de Río Negro Vs. Guatemala</w:t>
      </w:r>
      <w:r w:rsidRPr="00D13792">
        <w:rPr>
          <w:rFonts w:eastAsia="Times"/>
          <w:bCs/>
          <w:i/>
          <w:color w:val="000000"/>
          <w:sz w:val="20"/>
          <w:szCs w:val="20"/>
          <w:shd w:val="clear" w:color="auto" w:fill="FFFFFF"/>
          <w:vertAlign w:val="superscript"/>
        </w:rPr>
        <w:footnoteReference w:id="213"/>
      </w:r>
      <w:r w:rsidRPr="00D13792">
        <w:rPr>
          <w:rFonts w:eastAsia="Times"/>
          <w:sz w:val="20"/>
          <w:szCs w:val="20"/>
        </w:rPr>
        <w:t>, la Corte considera que la aldea Chichupac y comunidades vecinas del Rabinal no puede asimilarse necesariamente a una “asociación” en los términos del artículo 16 de la Convención Americana. Al respecto, la Corte destaca que la Comisión no expresó las razones por las cuales dichas comunidades, las cuales tienen un carácter indígena, les asistiría el derecho reconocido en el artículo 16 de la Convención. Por lo tanto, el Tribunal estima que dicha disposición no es aplicable a los hechos del presente caso.</w:t>
      </w:r>
    </w:p>
    <w:p w:rsidR="006A0E1C" w:rsidRPr="00D13792" w:rsidRDefault="006A0E1C" w:rsidP="006A0E1C">
      <w:pPr>
        <w:autoSpaceDE w:val="0"/>
        <w:autoSpaceDN w:val="0"/>
        <w:spacing w:line="240" w:lineRule="auto"/>
        <w:rPr>
          <w:rFonts w:cs="Calibri,Bold"/>
          <w:b/>
          <w:bCs/>
          <w:sz w:val="20"/>
          <w:szCs w:val="20"/>
        </w:rPr>
      </w:pPr>
    </w:p>
    <w:p w:rsidR="006A0E1C" w:rsidRPr="00D13792" w:rsidRDefault="006A0E1C" w:rsidP="006A0E1C">
      <w:pPr>
        <w:pStyle w:val="Heading1"/>
        <w:rPr>
          <w:lang w:val="es-CR"/>
        </w:rPr>
      </w:pPr>
      <w:bookmarkStart w:id="226" w:name="_Toc455631232"/>
      <w:bookmarkStart w:id="227" w:name="_Toc460938887"/>
      <w:bookmarkStart w:id="228" w:name="_Toc469670054"/>
      <w:r w:rsidRPr="00D13792">
        <w:rPr>
          <w:lang w:val="es-CR"/>
        </w:rPr>
        <w:lastRenderedPageBreak/>
        <w:t>IX.III</w:t>
      </w:r>
      <w:bookmarkEnd w:id="226"/>
      <w:bookmarkEnd w:id="227"/>
      <w:bookmarkEnd w:id="228"/>
    </w:p>
    <w:p w:rsidR="006A0E1C" w:rsidRPr="00D13792" w:rsidRDefault="006A0E1C" w:rsidP="006A0E1C">
      <w:pPr>
        <w:pStyle w:val="Heading1"/>
        <w:rPr>
          <w:lang w:val="es-CR"/>
        </w:rPr>
      </w:pPr>
      <w:bookmarkStart w:id="229" w:name="_Toc469670055"/>
      <w:r w:rsidRPr="00D13792">
        <w:rPr>
          <w:lang w:val="es-CR"/>
        </w:rPr>
        <w:t>GARANTÍAS Y PROTECCIÓN JUDICIALES</w:t>
      </w:r>
      <w:r w:rsidRPr="00D13792">
        <w:rPr>
          <w:rFonts w:eastAsia="MS Mincho"/>
          <w:color w:val="000000"/>
          <w:vertAlign w:val="superscript"/>
          <w:lang w:val="es-CR" w:eastAsia="en-US" w:bidi="en-US"/>
        </w:rPr>
        <w:footnoteReference w:id="214"/>
      </w:r>
      <w:r w:rsidRPr="00D13792">
        <w:rPr>
          <w:lang w:val="es-CR"/>
        </w:rPr>
        <w:t xml:space="preserve"> DE LA CONVENCIÓN AMERICANA, e incumplimiento de LOS ARTÍCULOS I.B DE LA CONVENCIÓN INTERAMERICANA SOBRE DESAPARICIÓN FORZADA DE PERSONAS</w:t>
      </w:r>
      <w:r w:rsidRPr="00D13792">
        <w:rPr>
          <w:rStyle w:val="FootnoteReference"/>
          <w:lang w:val="es-CR"/>
        </w:rPr>
        <w:footnoteReference w:id="215"/>
      </w:r>
      <w:r w:rsidRPr="00D13792">
        <w:rPr>
          <w:lang w:val="es-CR"/>
        </w:rPr>
        <w:t>, 1, 6 Y 8 DE LA CONVENCIÓN INTERAMERICANA PARA PREVENIR Y SANCIONAR LA TORTURA</w:t>
      </w:r>
      <w:r w:rsidRPr="00D13792">
        <w:rPr>
          <w:rStyle w:val="FootnoteReference"/>
          <w:lang w:val="es-CR"/>
        </w:rPr>
        <w:footnoteReference w:id="216"/>
      </w:r>
      <w:r w:rsidRPr="00D13792">
        <w:rPr>
          <w:lang w:val="es-CR"/>
        </w:rPr>
        <w:t>, Y 7.B DE LA CONVENCIÓN INTERAMERICANA PARA PREVENIR, SANCIONAR Y ERRADICAR LA VIOLENCIA CONTRA LA MUJER</w:t>
      </w:r>
      <w:r w:rsidRPr="00D13792">
        <w:rPr>
          <w:rStyle w:val="FootnoteReference"/>
          <w:lang w:val="es-CR"/>
        </w:rPr>
        <w:footnoteReference w:id="217"/>
      </w:r>
      <w:bookmarkEnd w:id="229"/>
    </w:p>
    <w:p w:rsidR="006A0E1C" w:rsidRPr="00D13792" w:rsidRDefault="006A0E1C" w:rsidP="006A0E1C">
      <w:pPr>
        <w:pStyle w:val="ListParagraph"/>
        <w:spacing w:after="0" w:line="240" w:lineRule="auto"/>
        <w:jc w:val="both"/>
        <w:rPr>
          <w:rFonts w:ascii="Verdana" w:hAnsi="Verdana" w:cs="Arial"/>
          <w:b/>
          <w:i/>
          <w:color w:val="000000"/>
          <w:sz w:val="20"/>
          <w:szCs w:val="20"/>
          <w:lang w:val="es-CR" w:eastAsia="es-ES"/>
        </w:rPr>
      </w:pPr>
    </w:p>
    <w:p w:rsidR="006A0E1C" w:rsidRPr="00D13792" w:rsidRDefault="006A0E1C" w:rsidP="006A0E1C">
      <w:pPr>
        <w:pStyle w:val="Heading2"/>
        <w:numPr>
          <w:ilvl w:val="0"/>
          <w:numId w:val="40"/>
        </w:numPr>
        <w:tabs>
          <w:tab w:val="clear" w:pos="720"/>
          <w:tab w:val="left" w:pos="0"/>
        </w:tabs>
        <w:ind w:left="0" w:firstLine="0"/>
        <w:rPr>
          <w:lang w:val="es-CR"/>
        </w:rPr>
      </w:pPr>
      <w:bookmarkStart w:id="230" w:name="_Toc469670056"/>
      <w:r w:rsidRPr="00D13792">
        <w:rPr>
          <w:lang w:val="es-CR"/>
        </w:rPr>
        <w:t>Alegatos de la Comisión y las partes</w:t>
      </w:r>
      <w:bookmarkEnd w:id="230"/>
    </w:p>
    <w:p w:rsidR="006A0E1C" w:rsidRPr="00D13792" w:rsidRDefault="006A0E1C" w:rsidP="006A0E1C">
      <w:pPr>
        <w:pStyle w:val="ListParagraph"/>
        <w:spacing w:after="0" w:line="240" w:lineRule="auto"/>
        <w:jc w:val="both"/>
        <w:rPr>
          <w:rFonts w:ascii="Verdana" w:hAnsi="Verdana" w:cs="Arial"/>
          <w:color w:val="000000"/>
          <w:sz w:val="20"/>
          <w:szCs w:val="20"/>
          <w:lang w:val="es-CR" w:eastAsia="es-ES"/>
        </w:rPr>
      </w:pPr>
    </w:p>
    <w:p w:rsidR="006A0E1C" w:rsidRPr="00D13792" w:rsidRDefault="006A0E1C" w:rsidP="006A0E1C">
      <w:pPr>
        <w:numPr>
          <w:ilvl w:val="0"/>
          <w:numId w:val="6"/>
        </w:numPr>
        <w:tabs>
          <w:tab w:val="left" w:pos="567"/>
        </w:tabs>
        <w:spacing w:line="240" w:lineRule="auto"/>
        <w:ind w:right="4"/>
        <w:rPr>
          <w:rFonts w:cs="Arial"/>
          <w:color w:val="000000"/>
          <w:sz w:val="20"/>
          <w:szCs w:val="20"/>
          <w:lang w:eastAsia="es-ES"/>
        </w:rPr>
      </w:pPr>
      <w:r w:rsidRPr="00D13792">
        <w:rPr>
          <w:rFonts w:cs="Arial"/>
          <w:color w:val="000000"/>
          <w:sz w:val="20"/>
          <w:szCs w:val="20"/>
          <w:lang w:eastAsia="es-ES"/>
        </w:rPr>
        <w:t xml:space="preserve">La </w:t>
      </w:r>
      <w:r w:rsidRPr="00D13792">
        <w:rPr>
          <w:rFonts w:cs="Arial"/>
          <w:b/>
          <w:i/>
          <w:color w:val="000000"/>
          <w:sz w:val="20"/>
          <w:szCs w:val="20"/>
          <w:lang w:eastAsia="es-ES"/>
        </w:rPr>
        <w:t xml:space="preserve">Comisión </w:t>
      </w:r>
      <w:r w:rsidRPr="00D13792">
        <w:rPr>
          <w:rFonts w:cs="Arial"/>
          <w:color w:val="000000"/>
          <w:sz w:val="20"/>
          <w:szCs w:val="20"/>
          <w:lang w:eastAsia="es-ES"/>
        </w:rPr>
        <w:t xml:space="preserve">alegó que los hechos del caso forman parte de una situación en que prevalece un alto índice de impunidad. Señaló que han transcurrido más de 32 años desde los hechos y 21 años de presentada la denuncia; no obstante, estos siguen en total impunidad. Sostuvo que este lapso no es razonable, resaltó diversas deficiencias y obstaculizaciones en la investigación, y </w:t>
      </w:r>
      <w:r w:rsidRPr="00D13792">
        <w:rPr>
          <w:sz w:val="20"/>
          <w:szCs w:val="20"/>
        </w:rPr>
        <w:t>argumentó</w:t>
      </w:r>
      <w:r w:rsidRPr="00D13792">
        <w:rPr>
          <w:rFonts w:cs="Arial"/>
          <w:color w:val="000000"/>
          <w:sz w:val="20"/>
          <w:szCs w:val="20"/>
          <w:lang w:eastAsia="es-ES"/>
        </w:rPr>
        <w:t xml:space="preserve"> que Guatemala no ha llevado a cabo una identificación exhaustiva de los restos exhumados ni ha adoptado medidas dirigidas a localizar el paradero de las personas desaparecidas. También señaló que la falta de una adecuada calificación de los hechos de desaparición forzada constituye un factor adicional de impunidad. Sobre este punto, resaltó que la aplicación del tipo penal de desaparición forzada no vulnera el principio de legalidad en aquellos casos en que no se ha determinado el paradero de la persona desaparecida una vez que el delito ha entrado en vigor. </w:t>
      </w:r>
      <w:r w:rsidRPr="00D13792">
        <w:rPr>
          <w:color w:val="000000"/>
          <w:sz w:val="20"/>
          <w:szCs w:val="20"/>
          <w:lang w:eastAsia="es-ES"/>
        </w:rPr>
        <w:t xml:space="preserve">Por lo anterior, concluyó que el Estado violó los artículos 8.1 y 25 de la Convención Americana, en relación con el artículo 1.1 de la misma, así como el artículo I.b) de la CIDFP, en perjuicio de las personas desaparecidas y los familiares de las víctimas señaladas en el “Anexo único” al Informe de Fondo. </w:t>
      </w:r>
      <w:r w:rsidRPr="00D13792">
        <w:rPr>
          <w:rFonts w:cs="Arial"/>
          <w:color w:val="000000"/>
          <w:sz w:val="20"/>
          <w:szCs w:val="20"/>
          <w:lang w:eastAsia="es-ES"/>
        </w:rPr>
        <w:t xml:space="preserve">Por otra parte, la Comisión señaló que los hechos del caso </w:t>
      </w:r>
      <w:r w:rsidRPr="00D13792">
        <w:rPr>
          <w:rFonts w:cs="Arial"/>
          <w:sz w:val="20"/>
          <w:szCs w:val="20"/>
        </w:rPr>
        <w:t>se enmarcan dentro de la figura del genocidio y que</w:t>
      </w:r>
      <w:r w:rsidRPr="00D13792">
        <w:rPr>
          <w:rFonts w:cs="Arial"/>
          <w:color w:val="000000"/>
          <w:sz w:val="20"/>
          <w:szCs w:val="20"/>
          <w:lang w:eastAsia="es-ES"/>
        </w:rPr>
        <w:t xml:space="preserve"> “la verificación del patrón de discriminación racial consistente en señalar y perseguir a los miembros del pueblo indígena maya como simpatizantes de la insurgencia, exigían de Guatemala una especial diligencia en la investigación y juzgamiento de los perpetradores”. Al haberse abstenido de ello, los Tribunales guatemaltecos vulneraron el artículo 24 de la </w:t>
      </w:r>
      <w:r w:rsidRPr="00D13792">
        <w:rPr>
          <w:rFonts w:cs="Arial"/>
          <w:color w:val="000000"/>
          <w:sz w:val="20"/>
          <w:szCs w:val="20"/>
          <w:lang w:eastAsia="es-ES"/>
        </w:rPr>
        <w:lastRenderedPageBreak/>
        <w:t xml:space="preserve">Convención, en relación con el artículo 1.1 de la misma, en perjuicio de los miembros de la aldea Chichupac y comunidades vecinas. </w:t>
      </w:r>
    </w:p>
    <w:p w:rsidR="006A0E1C" w:rsidRPr="00D13792" w:rsidRDefault="006A0E1C" w:rsidP="006A0E1C">
      <w:pPr>
        <w:pStyle w:val="ListParagraph"/>
        <w:spacing w:after="0" w:line="240" w:lineRule="auto"/>
        <w:ind w:left="0"/>
        <w:jc w:val="both"/>
        <w:rPr>
          <w:rFonts w:ascii="Verdana" w:hAnsi="Verdana" w:cs="Arial"/>
          <w:color w:val="000000"/>
          <w:sz w:val="20"/>
          <w:szCs w:val="20"/>
          <w:lang w:val="es-CR" w:eastAsia="es-ES"/>
        </w:rPr>
      </w:pPr>
    </w:p>
    <w:p w:rsidR="006A0E1C" w:rsidRPr="00D13792" w:rsidRDefault="006A0E1C" w:rsidP="006A0E1C">
      <w:pPr>
        <w:pStyle w:val="Prrafodelista2"/>
        <w:numPr>
          <w:ilvl w:val="0"/>
          <w:numId w:val="23"/>
        </w:numPr>
        <w:tabs>
          <w:tab w:val="left" w:pos="720"/>
        </w:tabs>
        <w:ind w:right="-90"/>
        <w:jc w:val="both"/>
        <w:rPr>
          <w:b/>
          <w:color w:val="000000"/>
          <w:lang w:val="es-CR" w:eastAsia="es-ES"/>
        </w:rPr>
      </w:pPr>
      <w:r w:rsidRPr="00D13792">
        <w:rPr>
          <w:rFonts w:cs="Arial"/>
          <w:color w:val="000000"/>
          <w:lang w:val="es-CR" w:eastAsia="es-ES"/>
        </w:rPr>
        <w:t xml:space="preserve">Los </w:t>
      </w:r>
      <w:r w:rsidRPr="00D13792">
        <w:rPr>
          <w:rFonts w:cs="Arial"/>
          <w:b/>
          <w:i/>
          <w:color w:val="000000"/>
          <w:lang w:val="es-CR" w:eastAsia="es-ES"/>
        </w:rPr>
        <w:t>representantes</w:t>
      </w:r>
      <w:r w:rsidRPr="00D13792">
        <w:rPr>
          <w:rFonts w:cs="Arial"/>
          <w:color w:val="000000"/>
          <w:lang w:val="es-CR" w:eastAsia="es-ES"/>
        </w:rPr>
        <w:t xml:space="preserve"> alegaron que en un marco de constante impunidad, </w:t>
      </w:r>
      <w:r w:rsidRPr="00D13792">
        <w:rPr>
          <w:color w:val="000000"/>
          <w:lang w:val="es-CR" w:eastAsia="es-ES"/>
        </w:rPr>
        <w:t>múltiples denuncias han sido presentadas ante el Ministerio Público desde el año 1993. Sin embargo, en ningún proceso penal relacionado con los hechos se ha superado la fase de investigación, a pesar de existir claras líneas de investigación que podrían determinar a los culpables. También señalaron que el plazo que ha transcurrido no es razonable. Destacaron diversos obstáculos en la investigación, manifestaron que esto causa profundo dolor y angustia en la totalidad de las víctimas y concluyeron que Guatemala violó los derechos a las garantías judiciales y la protección judicial respecto de estas.</w:t>
      </w:r>
      <w:r w:rsidRPr="00D13792">
        <w:rPr>
          <w:b/>
          <w:color w:val="000000"/>
          <w:lang w:val="es-CR" w:eastAsia="es-ES"/>
        </w:rPr>
        <w:t xml:space="preserve"> </w:t>
      </w:r>
      <w:r w:rsidRPr="00D13792">
        <w:rPr>
          <w:color w:val="000000"/>
          <w:lang w:val="es-CR" w:eastAsia="es-ES"/>
        </w:rPr>
        <w:t xml:space="preserve">Asimismo, indicaron </w:t>
      </w:r>
      <w:r w:rsidRPr="00D13792">
        <w:rPr>
          <w:lang w:val="es-CR"/>
        </w:rPr>
        <w:t xml:space="preserve">que el conocimiento del paradero de las víctimas es parte del derecho a conocer la verdad que asiste no solo a sus familiares sino a la población guatemalteca entera. </w:t>
      </w:r>
      <w:r w:rsidRPr="00D13792">
        <w:rPr>
          <w:color w:val="000000"/>
          <w:lang w:val="es-CR" w:eastAsia="es-ES"/>
        </w:rPr>
        <w:t xml:space="preserve">Por otra parte, </w:t>
      </w:r>
      <w:r w:rsidRPr="00D13792">
        <w:rPr>
          <w:lang w:val="es-CR"/>
        </w:rPr>
        <w:t xml:space="preserve">alegaron que existen elementos de contexto que evidencian que los actos de miembros del Estado fueron cometidos “con la intención de destruir total o parcialmente” al </w:t>
      </w:r>
      <w:r w:rsidRPr="00D13792">
        <w:rPr>
          <w:rFonts w:cs="Verdana"/>
          <w:lang w:val="es-CR"/>
        </w:rPr>
        <w:t>grupo étnico de la comunidad maya de la aldea Chichupac y</w:t>
      </w:r>
      <w:r w:rsidRPr="00D13792">
        <w:rPr>
          <w:lang w:val="es-CR"/>
        </w:rPr>
        <w:t xml:space="preserve"> </w:t>
      </w:r>
      <w:r w:rsidRPr="00D13792">
        <w:rPr>
          <w:rFonts w:cs="Verdana"/>
          <w:lang w:val="es-CR"/>
        </w:rPr>
        <w:t xml:space="preserve">comunidades vecinas, y </w:t>
      </w:r>
      <w:r w:rsidRPr="00D13792">
        <w:rPr>
          <w:color w:val="000000"/>
          <w:lang w:val="es-CR" w:eastAsia="es-ES"/>
        </w:rPr>
        <w:t xml:space="preserve">señalaron que la falta de investigación de los hechos se relaciona directa y profundamente con el contexto actual de discriminación racial que se vive en Guatemala. </w:t>
      </w:r>
    </w:p>
    <w:p w:rsidR="006A0E1C" w:rsidRPr="00D13792" w:rsidRDefault="006A0E1C" w:rsidP="006A0E1C">
      <w:pPr>
        <w:pStyle w:val="ListParagraph"/>
        <w:spacing w:after="0" w:line="240" w:lineRule="auto"/>
        <w:ind w:left="0"/>
        <w:jc w:val="both"/>
        <w:rPr>
          <w:rFonts w:ascii="Verdana" w:eastAsia="Calibri" w:hAnsi="Verdana"/>
          <w:b/>
          <w:bCs/>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Calibri"/>
          <w:lang w:val="es-CR"/>
        </w:rPr>
      </w:pPr>
      <w:r w:rsidRPr="00D13792">
        <w:rPr>
          <w:rFonts w:eastAsia="Calibri"/>
          <w:lang w:val="es-CR"/>
        </w:rPr>
        <w:t xml:space="preserve">En su </w:t>
      </w:r>
      <w:r w:rsidRPr="00D13792">
        <w:rPr>
          <w:lang w:val="es-CR" w:eastAsia="es-ES"/>
        </w:rPr>
        <w:t>contestación</w:t>
      </w:r>
      <w:r w:rsidRPr="00D13792">
        <w:rPr>
          <w:rFonts w:eastAsia="Calibri"/>
          <w:lang w:val="es-CR"/>
        </w:rPr>
        <w:t xml:space="preserve">, el </w:t>
      </w:r>
      <w:r w:rsidRPr="00D13792">
        <w:rPr>
          <w:rFonts w:eastAsia="Calibri"/>
          <w:b/>
          <w:i/>
          <w:lang w:val="es-CR"/>
        </w:rPr>
        <w:t>Estado</w:t>
      </w:r>
      <w:r w:rsidRPr="00D13792">
        <w:rPr>
          <w:rFonts w:eastAsia="Calibri"/>
          <w:lang w:val="es-CR"/>
        </w:rPr>
        <w:t xml:space="preserve"> sostuvo que ha </w:t>
      </w:r>
      <w:r w:rsidRPr="00D13792">
        <w:rPr>
          <w:lang w:val="es-CR" w:eastAsia="es-ES"/>
        </w:rPr>
        <w:t>realizado</w:t>
      </w:r>
      <w:r w:rsidRPr="00D13792">
        <w:rPr>
          <w:rFonts w:eastAsia="Calibri"/>
          <w:lang w:val="es-CR"/>
        </w:rPr>
        <w:t xml:space="preserve"> lo posible de acuerdo con su capacidad </w:t>
      </w:r>
      <w:r w:rsidRPr="00D13792">
        <w:rPr>
          <w:rFonts w:cs="Verdana"/>
          <w:lang w:val="es-CR"/>
        </w:rPr>
        <w:t>potencial</w:t>
      </w:r>
      <w:r w:rsidRPr="00D13792">
        <w:rPr>
          <w:rFonts w:eastAsia="Calibri"/>
          <w:lang w:val="es-CR"/>
        </w:rPr>
        <w:t xml:space="preserve"> para cumplir con su obligación de investigar</w:t>
      </w:r>
      <w:r w:rsidRPr="00D13792">
        <w:rPr>
          <w:rFonts w:eastAsia="Calibri"/>
          <w:b/>
          <w:lang w:val="es-CR"/>
        </w:rPr>
        <w:t xml:space="preserve"> </w:t>
      </w:r>
      <w:r w:rsidRPr="00D13792">
        <w:rPr>
          <w:rFonts w:eastAsia="Calibri"/>
          <w:lang w:val="es-CR"/>
        </w:rPr>
        <w:t>y que las autoridades encargadas han sido</w:t>
      </w:r>
      <w:r w:rsidRPr="00D13792">
        <w:rPr>
          <w:lang w:val="es-CR"/>
        </w:rPr>
        <w:t xml:space="preserve"> </w:t>
      </w:r>
      <w:r w:rsidRPr="00D13792">
        <w:rPr>
          <w:rFonts w:eastAsia="Calibri"/>
          <w:lang w:val="es-CR"/>
        </w:rPr>
        <w:t>serias y diligentes. Informó sobre la apertura de diversos expedientes y detalló las diligencias realizadas dentro de los mismos</w:t>
      </w:r>
      <w:r w:rsidRPr="00D13792">
        <w:rPr>
          <w:rStyle w:val="FootnoteReference"/>
          <w:rFonts w:eastAsia="Calibri"/>
          <w:lang w:val="es-CR"/>
        </w:rPr>
        <w:footnoteReference w:id="218"/>
      </w:r>
      <w:r w:rsidRPr="00D13792">
        <w:rPr>
          <w:rFonts w:eastAsia="Calibri"/>
          <w:lang w:val="es-CR"/>
        </w:rPr>
        <w:t xml:space="preserve">, entre ellas, la identificación de 30 víctimas. En cuanto al deber de investigar dentro de un plazo razonable, Guatemala se refirió a la complejidad de los hechos, a la “notable inactividad” de las víctimas en la última década y a “las diversas” </w:t>
      </w:r>
      <w:r w:rsidRPr="00D13792">
        <w:rPr>
          <w:rFonts w:cs="Arial"/>
          <w:lang w:val="es-CR" w:eastAsia="es-ES"/>
        </w:rPr>
        <w:t>diligencias</w:t>
      </w:r>
      <w:r w:rsidRPr="00D13792">
        <w:rPr>
          <w:rFonts w:eastAsia="Calibri"/>
          <w:lang w:val="es-CR"/>
        </w:rPr>
        <w:t xml:space="preserve"> de investigación llevadas a cabo. Por otra parte, alegó “la legalidad y procedencia de la Amnistía promulgada” a través de la Ley de Reconciliación Nacional (LRN). Respecto de los delitos a los cuales, según el Estado, no es aplicable la amnistía de conformidad con la LRN, sostuvo que no sería aplicable el delito de genocidio a los hechos del caso, dado que el enfrentamiento guatemalteco no se originó como un conflicto de carácter interétnico, y que los delitos de desaparición forzada y tortura solo pueden ser imputados respecto a hechos acaecidos posteriormente a su tipificación y entrada en vigencia en el año 1996. En cuanto al delito de desaparición forzada, reiteró que este es permanente, mas no continuado (</w:t>
      </w:r>
      <w:r w:rsidRPr="00D13792">
        <w:rPr>
          <w:rFonts w:eastAsia="Calibri"/>
          <w:i/>
          <w:lang w:val="es-CR"/>
        </w:rPr>
        <w:t xml:space="preserve">supra </w:t>
      </w:r>
      <w:r w:rsidRPr="00D13792">
        <w:rPr>
          <w:rFonts w:eastAsia="Calibri"/>
          <w:lang w:val="es-CR"/>
        </w:rPr>
        <w:t>párrs. 15 y 128).</w:t>
      </w:r>
      <w:r w:rsidRPr="00D13792">
        <w:rPr>
          <w:rFonts w:eastAsia="Calibri"/>
          <w:b/>
          <w:lang w:val="es-CR"/>
        </w:rPr>
        <w:t xml:space="preserve"> </w:t>
      </w:r>
      <w:r w:rsidRPr="00D13792">
        <w:rPr>
          <w:rFonts w:eastAsia="Calibri"/>
          <w:lang w:val="es-CR"/>
        </w:rPr>
        <w:t xml:space="preserve">Así, indicó que “aunque no sea posible ejercer la persecución penal respecto a hechos ocurridos en el marco del enfrentamiento armado interno […] el Estado de Guatemala acepta [la] responsabilidad y obligación de investigar la verdad histórica y reparar o resarcir a las víctimas a nivel interno”. Finalmente, refirió que </w:t>
      </w:r>
      <w:r w:rsidRPr="00D13792">
        <w:rPr>
          <w:lang w:val="es-CR"/>
        </w:rPr>
        <w:t xml:space="preserve">el enfrentamiento no fue una forma de discriminación contra el pueblo </w:t>
      </w:r>
      <w:r w:rsidRPr="00D13792">
        <w:rPr>
          <w:rFonts w:eastAsia="Calibri"/>
          <w:lang w:val="es-CR"/>
        </w:rPr>
        <w:t>maya, sino que fue un conflicto que se originó para derrocar al Gobierno, por lo que solicitó a la Corte declarar que no violó el derecho a la igualdad.</w:t>
      </w:r>
    </w:p>
    <w:p w:rsidR="006A0E1C" w:rsidRPr="00D13792" w:rsidRDefault="006A0E1C" w:rsidP="006A0E1C">
      <w:pPr>
        <w:pStyle w:val="ListParagraph"/>
        <w:spacing w:after="0" w:line="240" w:lineRule="auto"/>
        <w:ind w:left="0"/>
        <w:jc w:val="both"/>
        <w:rPr>
          <w:rFonts w:ascii="Verdana" w:eastAsia="Calibri"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Calibri"/>
          <w:color w:val="000000"/>
          <w:lang w:val="es-CR"/>
        </w:rPr>
      </w:pPr>
      <w:r w:rsidRPr="00D13792">
        <w:rPr>
          <w:rFonts w:eastAsia="Calibri"/>
          <w:color w:val="000000"/>
          <w:lang w:val="es-CR"/>
        </w:rPr>
        <w:t>Como ya se señaló, en la audiencia pública el Estado reconoció su responsabilidad internacional por la violación de los artículos 8 y 25 de la Convención (</w:t>
      </w:r>
      <w:r w:rsidRPr="00D13792">
        <w:rPr>
          <w:rFonts w:eastAsia="Calibri"/>
          <w:i/>
          <w:color w:val="000000"/>
          <w:lang w:val="es-CR"/>
        </w:rPr>
        <w:t xml:space="preserve">supra </w:t>
      </w:r>
      <w:r w:rsidRPr="00D13792">
        <w:rPr>
          <w:rFonts w:eastAsia="Calibri"/>
          <w:color w:val="000000"/>
          <w:lang w:val="es-CR"/>
        </w:rPr>
        <w:t>párr. 51, 55 y 56).</w:t>
      </w:r>
    </w:p>
    <w:p w:rsidR="006A0E1C" w:rsidRPr="00D13792" w:rsidRDefault="006A0E1C" w:rsidP="006A0E1C">
      <w:pPr>
        <w:pStyle w:val="Heading2"/>
        <w:rPr>
          <w:rFonts w:eastAsia="Calibri"/>
          <w:lang w:val="es-CR"/>
        </w:rPr>
      </w:pPr>
    </w:p>
    <w:p w:rsidR="006A0E1C" w:rsidRPr="00D13792" w:rsidRDefault="006A0E1C" w:rsidP="006A0E1C">
      <w:pPr>
        <w:pStyle w:val="Heading2"/>
        <w:numPr>
          <w:ilvl w:val="0"/>
          <w:numId w:val="40"/>
        </w:numPr>
        <w:tabs>
          <w:tab w:val="clear" w:pos="720"/>
          <w:tab w:val="left" w:pos="0"/>
        </w:tabs>
        <w:ind w:left="0" w:firstLine="0"/>
        <w:rPr>
          <w:rFonts w:cs="Arial"/>
          <w:lang w:val="es-CR" w:eastAsia="es-ES"/>
        </w:rPr>
      </w:pPr>
      <w:bookmarkStart w:id="231" w:name="_Toc469670057"/>
      <w:r w:rsidRPr="00D13792">
        <w:rPr>
          <w:rFonts w:cs="Arial"/>
          <w:lang w:val="es-CR" w:eastAsia="es-ES"/>
        </w:rPr>
        <w:t>Consideraciones de la Corte</w:t>
      </w:r>
      <w:bookmarkEnd w:id="231"/>
    </w:p>
    <w:p w:rsidR="006A0E1C" w:rsidRPr="00D13792" w:rsidRDefault="006A0E1C" w:rsidP="006A0E1C">
      <w:pPr>
        <w:spacing w:line="240" w:lineRule="auto"/>
        <w:rPr>
          <w:rFonts w:cs="Arial"/>
          <w:b/>
          <w:i/>
          <w:color w:val="000000"/>
          <w:sz w:val="20"/>
          <w:szCs w:val="20"/>
          <w:lang w:eastAsia="es-ES"/>
        </w:rPr>
      </w:pPr>
    </w:p>
    <w:p w:rsidR="006A0E1C" w:rsidRPr="00D13792" w:rsidRDefault="006A0E1C" w:rsidP="006A0E1C">
      <w:pPr>
        <w:pStyle w:val="Prrafodelista2"/>
        <w:numPr>
          <w:ilvl w:val="0"/>
          <w:numId w:val="23"/>
        </w:numPr>
        <w:tabs>
          <w:tab w:val="left" w:pos="720"/>
        </w:tabs>
        <w:ind w:right="-90"/>
        <w:jc w:val="both"/>
        <w:rPr>
          <w:color w:val="000000"/>
          <w:lang w:val="es-CR"/>
        </w:rPr>
      </w:pPr>
      <w:r w:rsidRPr="00D13792">
        <w:rPr>
          <w:color w:val="000000"/>
          <w:lang w:val="es-CR"/>
        </w:rPr>
        <w:t xml:space="preserve">El Estado ha manifestado su reconocimiento de responsabilidad por la violación de los artículos 8 y 25 de la Convención. Sin embargo, como se ha señalado, el Estado no especificó los hechos que generarían dichas violaciones ni en perjuicio de quiénes se configurarían. Dado que este caso versa sobre una </w:t>
      </w:r>
      <w:r w:rsidRPr="00D13792">
        <w:rPr>
          <w:rFonts w:eastAsia="Calibri"/>
          <w:color w:val="000000"/>
          <w:lang w:val="es-CR"/>
        </w:rPr>
        <w:t>pluralidad</w:t>
      </w:r>
      <w:r w:rsidRPr="00D13792">
        <w:rPr>
          <w:color w:val="000000"/>
          <w:lang w:val="es-CR"/>
        </w:rPr>
        <w:t xml:space="preserve"> de violaciones graves de derechos humanos sucedidas en el marco del conflicto armado interno en Guatemala, a continuación la Corte se referirá a su </w:t>
      </w:r>
      <w:r w:rsidRPr="00D13792">
        <w:rPr>
          <w:color w:val="000000"/>
          <w:lang w:val="es-CR"/>
        </w:rPr>
        <w:lastRenderedPageBreak/>
        <w:t xml:space="preserve">jurisprudencia en torno al deber de investigar, juzgar y, en su caso, sancionar a los responsables de tales violaciones cuando son cometidas dentro de un contexto como el del presente caso, y detallará los factores que configuraron un incumplimiento del Estado de dichos deberes. </w:t>
      </w:r>
    </w:p>
    <w:p w:rsidR="006A0E1C" w:rsidRPr="00D13792" w:rsidRDefault="006A0E1C" w:rsidP="006A0E1C">
      <w:pPr>
        <w:pStyle w:val="ListParagraph"/>
        <w:autoSpaceDE w:val="0"/>
        <w:autoSpaceDN w:val="0"/>
        <w:adjustRightInd w:val="0"/>
        <w:spacing w:after="0" w:line="240" w:lineRule="auto"/>
        <w:ind w:left="0"/>
        <w:jc w:val="both"/>
        <w:rPr>
          <w:rFonts w:ascii="Verdana"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color w:val="000000"/>
          <w:lang w:val="es-CR"/>
        </w:rPr>
      </w:pPr>
      <w:r w:rsidRPr="00D13792">
        <w:rPr>
          <w:rFonts w:cs="Verdana"/>
          <w:color w:val="000000"/>
          <w:lang w:val="es-CR"/>
        </w:rPr>
        <w:t xml:space="preserve">La Corte </w:t>
      </w:r>
      <w:r w:rsidRPr="00D13792">
        <w:rPr>
          <w:rFonts w:eastAsia="Calibri" w:cs="Verdana"/>
          <w:color w:val="000000"/>
          <w:lang w:val="es-CR"/>
        </w:rPr>
        <w:t xml:space="preserve">recuerda que, en virtud de la protección otorgada por los artículos 8 y 25 de la Convención, los Estados están obligados a suministrar recursos judiciales efectivos a las víctimas de </w:t>
      </w:r>
      <w:r w:rsidRPr="00D13792">
        <w:rPr>
          <w:rFonts w:eastAsia="Calibri"/>
          <w:color w:val="000000"/>
          <w:lang w:val="es-CR"/>
        </w:rPr>
        <w:t>violaciones</w:t>
      </w:r>
      <w:r w:rsidRPr="00D13792">
        <w:rPr>
          <w:rFonts w:eastAsia="Calibri" w:cs="Verdana"/>
          <w:color w:val="000000"/>
          <w:lang w:val="es-CR"/>
        </w:rPr>
        <w:t xml:space="preserve"> de los derechos humanos, que deben ser sustanciados de conformidad con las reglas del debido proceso legal</w:t>
      </w:r>
      <w:r w:rsidRPr="00D13792">
        <w:rPr>
          <w:rStyle w:val="FootnoteReference"/>
          <w:rFonts w:cs="Verdana"/>
          <w:color w:val="000000"/>
          <w:lang w:val="es-CR"/>
        </w:rPr>
        <w:footnoteReference w:id="219"/>
      </w:r>
      <w:r w:rsidRPr="00D13792">
        <w:rPr>
          <w:rFonts w:cs="Verdana"/>
          <w:color w:val="000000"/>
          <w:lang w:val="es-CR"/>
        </w:rPr>
        <w:t xml:space="preserve">. </w:t>
      </w:r>
    </w:p>
    <w:p w:rsidR="006A0E1C" w:rsidRPr="00D13792" w:rsidRDefault="006A0E1C" w:rsidP="006A0E1C">
      <w:pPr>
        <w:pStyle w:val="ListParagraph"/>
        <w:spacing w:after="0" w:line="240" w:lineRule="auto"/>
        <w:jc w:val="both"/>
        <w:rPr>
          <w:rFonts w:ascii="Verdana"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color w:val="000000"/>
          <w:lang w:val="es-CR"/>
        </w:rPr>
      </w:pPr>
      <w:r w:rsidRPr="00D13792">
        <w:rPr>
          <w:rFonts w:cs="Verdana"/>
          <w:color w:val="000000"/>
          <w:lang w:val="es-CR"/>
        </w:rPr>
        <w:t>Asimismo, este Tribunal ha señalado que en una sociedad democrática se debe conocer la verdad sobre los hechos de graves violaciones de derechos humanos. Esta es una justa expectativa que el Estado debe satisfacer</w:t>
      </w:r>
      <w:r w:rsidRPr="00D13792">
        <w:rPr>
          <w:rStyle w:val="FootnoteReference"/>
          <w:rFonts w:cs="Verdana"/>
          <w:color w:val="000000"/>
          <w:lang w:val="es-CR"/>
        </w:rPr>
        <w:footnoteReference w:id="220"/>
      </w:r>
      <w:r w:rsidRPr="00D13792">
        <w:rPr>
          <w:rFonts w:cs="Verdana"/>
          <w:color w:val="000000"/>
          <w:lang w:val="es-CR"/>
        </w:rPr>
        <w:t xml:space="preserve">, por un lado, mediante la obligación de investigar de oficio y, por el otro, con </w:t>
      </w:r>
      <w:r w:rsidRPr="00D13792">
        <w:rPr>
          <w:rFonts w:cs="Arial"/>
          <w:color w:val="000000"/>
          <w:lang w:val="es-CR" w:eastAsia="es-ES"/>
        </w:rPr>
        <w:t>la</w:t>
      </w:r>
      <w:r w:rsidRPr="00D13792">
        <w:rPr>
          <w:rFonts w:cs="Verdana"/>
          <w:color w:val="000000"/>
          <w:lang w:val="es-CR"/>
        </w:rPr>
        <w:t xml:space="preserve"> divulgación pública de los resultados de los procesos penales e investigativos</w:t>
      </w:r>
      <w:r w:rsidRPr="00D13792">
        <w:rPr>
          <w:rStyle w:val="FootnoteReference"/>
          <w:rFonts w:cs="Verdana"/>
          <w:color w:val="000000"/>
          <w:lang w:val="es-CR"/>
        </w:rPr>
        <w:footnoteReference w:id="221"/>
      </w:r>
      <w:r w:rsidRPr="00D13792">
        <w:rPr>
          <w:rFonts w:cs="Verdana"/>
          <w:color w:val="000000"/>
          <w:lang w:val="es-CR"/>
        </w:rPr>
        <w:t>. Esto exige del Estado la determinación procesal de los patrones de actuación conjunta y de todas las personas que de diversas formas participaron en dichas violaciones y sus correspondientes responsabilidades</w:t>
      </w:r>
      <w:r w:rsidRPr="00D13792">
        <w:rPr>
          <w:rStyle w:val="FootnoteReference"/>
          <w:rFonts w:cs="Verdana"/>
          <w:color w:val="000000"/>
          <w:lang w:val="es-CR"/>
        </w:rPr>
        <w:footnoteReference w:id="222"/>
      </w:r>
      <w:r w:rsidRPr="00D13792">
        <w:rPr>
          <w:rFonts w:cs="Verdana"/>
          <w:color w:val="000000"/>
          <w:lang w:val="es-CR"/>
        </w:rPr>
        <w:t xml:space="preserve"> y reparar a las víctimas del caso. Por ello, en ocasiones anteriores la Corte ha considerado que las autoridades encargadas de las investigaciones tienen el deber de asegurar que en el curso de las mismas se valoren los patrones sistemáticos que permitieron la comisión de graves violaciones de los derechos humanos, como los sucedidos en el presente caso</w:t>
      </w:r>
      <w:r w:rsidRPr="00D13792">
        <w:rPr>
          <w:rStyle w:val="FootnoteReference"/>
          <w:rFonts w:cs="Verdana"/>
          <w:color w:val="000000"/>
          <w:lang w:val="es-CR"/>
        </w:rPr>
        <w:footnoteReference w:id="223"/>
      </w:r>
      <w:r w:rsidRPr="00D13792">
        <w:rPr>
          <w:rFonts w:cs="Verdana"/>
          <w:color w:val="000000"/>
          <w:lang w:val="es-CR"/>
        </w:rPr>
        <w:t>. En aras de garantizar su efectividad, la investigación debe ser conducida tomando en cuenta la complejidad de este tipo de hechos y de la estructura en la cual se ubican las personas probablemente involucradas en los mismos, de acuerdo al contexto en que ocurrieron, particularmente en contextos de ataques masivos y sistemáticos o generalizados hacia algún sector de la población</w:t>
      </w:r>
      <w:r w:rsidRPr="00D13792">
        <w:rPr>
          <w:rFonts w:cs="Verdana"/>
          <w:color w:val="000000"/>
          <w:vertAlign w:val="superscript"/>
          <w:lang w:val="es-CR"/>
        </w:rPr>
        <w:footnoteReference w:id="224"/>
      </w:r>
      <w:r w:rsidRPr="00D13792">
        <w:rPr>
          <w:rFonts w:cs="Verdana"/>
          <w:color w:val="000000"/>
          <w:lang w:val="es-CR"/>
        </w:rPr>
        <w:t>, evitando así omisiones en la recaudación de prueba y en el seguimiento de líneas lógicas de investigación</w:t>
      </w:r>
      <w:r w:rsidRPr="00D13792">
        <w:rPr>
          <w:rStyle w:val="FootnoteReference"/>
          <w:rFonts w:cs="Verdana"/>
          <w:color w:val="000000"/>
          <w:lang w:val="es-CR"/>
        </w:rPr>
        <w:footnoteReference w:id="225"/>
      </w:r>
      <w:r w:rsidRPr="00D13792">
        <w:rPr>
          <w:rFonts w:cs="Verdana"/>
          <w:color w:val="000000"/>
          <w:lang w:val="es-CR"/>
        </w:rPr>
        <w:t xml:space="preserve">. Por ello, las autoridades </w:t>
      </w:r>
      <w:r w:rsidRPr="00D13792">
        <w:rPr>
          <w:rFonts w:eastAsia="Calibri"/>
          <w:color w:val="000000"/>
          <w:lang w:val="es-CR"/>
        </w:rPr>
        <w:t>estatales</w:t>
      </w:r>
      <w:r w:rsidRPr="00D13792">
        <w:rPr>
          <w:rFonts w:cs="Verdana"/>
          <w:color w:val="000000"/>
          <w:lang w:val="es-CR"/>
        </w:rPr>
        <w:t xml:space="preserve"> están obligadas a colaborar en la recaudación de la prueba para alcanzar los objetivos de una investigación y abstenerse de realizar actos que impliquen obstrucciones para la marcha del proceso investigativo</w:t>
      </w:r>
      <w:r w:rsidRPr="00D13792">
        <w:rPr>
          <w:rStyle w:val="FootnoteReference"/>
          <w:rFonts w:cs="Verdana"/>
          <w:color w:val="000000"/>
          <w:lang w:val="es-CR"/>
        </w:rPr>
        <w:footnoteReference w:id="226"/>
      </w:r>
      <w:r w:rsidRPr="00D13792">
        <w:rPr>
          <w:rFonts w:cs="Verdana"/>
          <w:color w:val="000000"/>
          <w:lang w:val="es-CR"/>
        </w:rPr>
        <w:t>.</w:t>
      </w:r>
    </w:p>
    <w:p w:rsidR="006A0E1C" w:rsidRPr="00D13792" w:rsidRDefault="006A0E1C" w:rsidP="006A0E1C">
      <w:pPr>
        <w:pStyle w:val="ListParagraph"/>
        <w:autoSpaceDE w:val="0"/>
        <w:autoSpaceDN w:val="0"/>
        <w:adjustRightInd w:val="0"/>
        <w:spacing w:after="0" w:line="240" w:lineRule="auto"/>
        <w:ind w:left="0"/>
        <w:jc w:val="both"/>
        <w:rPr>
          <w:rFonts w:ascii="Verdana"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color w:val="000000"/>
          <w:lang w:val="es-CR"/>
        </w:rPr>
      </w:pPr>
      <w:r w:rsidRPr="00D13792">
        <w:rPr>
          <w:color w:val="000000"/>
          <w:lang w:val="es-CR"/>
        </w:rPr>
        <w:t xml:space="preserve">Dada su importancia, la obligación de investigar en el presente caso no puede ser ejecutada de </w:t>
      </w:r>
      <w:r w:rsidRPr="00D13792">
        <w:rPr>
          <w:rFonts w:eastAsia="Calibri"/>
          <w:color w:val="000000"/>
          <w:lang w:val="es-CR"/>
        </w:rPr>
        <w:t>cualquier</w:t>
      </w:r>
      <w:r w:rsidRPr="00D13792">
        <w:rPr>
          <w:color w:val="000000"/>
          <w:lang w:val="es-CR"/>
        </w:rPr>
        <w:t xml:space="preserve"> manera, sino que debe realizarse de acuerdo a los estándares establecidos por las normas y la jurisprudencia </w:t>
      </w:r>
      <w:r w:rsidRPr="00D13792">
        <w:rPr>
          <w:rFonts w:cs="Verdana"/>
          <w:color w:val="000000"/>
          <w:lang w:val="es-CR"/>
        </w:rPr>
        <w:t>internacionales</w:t>
      </w:r>
      <w:r w:rsidRPr="00D13792">
        <w:rPr>
          <w:color w:val="000000"/>
          <w:lang w:val="es-CR"/>
        </w:rPr>
        <w:t xml:space="preserve"> que caracterizan a las investigaciones de graves violaciones a los derechos </w:t>
      </w:r>
      <w:r w:rsidRPr="00D13792">
        <w:rPr>
          <w:rFonts w:cs="Arial"/>
          <w:color w:val="000000"/>
          <w:lang w:val="es-CR" w:eastAsia="es-ES"/>
        </w:rPr>
        <w:t>humanos</w:t>
      </w:r>
      <w:r w:rsidRPr="00D13792">
        <w:rPr>
          <w:color w:val="000000"/>
          <w:lang w:val="es-CR"/>
        </w:rPr>
        <w:t xml:space="preserve">, </w:t>
      </w:r>
      <w:r w:rsidRPr="00D13792">
        <w:rPr>
          <w:color w:val="000000"/>
          <w:lang w:val="es-CR" w:eastAsia="es-ES"/>
        </w:rPr>
        <w:t>lo cual supone, en primer término,</w:t>
      </w:r>
      <w:r w:rsidRPr="00D13792">
        <w:rPr>
          <w:color w:val="000000"/>
          <w:lang w:val="es-CR"/>
        </w:rPr>
        <w:t xml:space="preserve"> </w:t>
      </w:r>
      <w:r w:rsidRPr="00D13792">
        <w:rPr>
          <w:rFonts w:eastAsia="Calibri"/>
          <w:color w:val="000000"/>
          <w:lang w:val="es-CR"/>
        </w:rPr>
        <w:t xml:space="preserve">generar un marco normativo interno adecuado y/u organizar el sistema de </w:t>
      </w:r>
      <w:r w:rsidRPr="00D13792">
        <w:rPr>
          <w:rFonts w:eastAsia="Calibri"/>
          <w:color w:val="000000"/>
          <w:lang w:val="es-CR"/>
        </w:rPr>
        <w:lastRenderedPageBreak/>
        <w:t xml:space="preserve">administración de justicia de forma tal que su funcionamiento asegure la realización de investigaciones </w:t>
      </w:r>
      <w:r w:rsidRPr="00D13792">
        <w:rPr>
          <w:rFonts w:eastAsia="Calibri"/>
          <w:i/>
          <w:color w:val="000000"/>
          <w:lang w:val="es-CR"/>
        </w:rPr>
        <w:t xml:space="preserve">ex officio, </w:t>
      </w:r>
      <w:r w:rsidRPr="00D13792">
        <w:rPr>
          <w:rFonts w:eastAsia="Calibri"/>
          <w:color w:val="000000"/>
          <w:lang w:val="es-CR"/>
        </w:rPr>
        <w:t>sin dilación, serias y efectivas</w:t>
      </w:r>
      <w:r w:rsidRPr="00D13792">
        <w:rPr>
          <w:rFonts w:eastAsia="Calibri"/>
          <w:color w:val="000000"/>
          <w:vertAlign w:val="superscript"/>
          <w:lang w:val="es-CR"/>
        </w:rPr>
        <w:footnoteReference w:id="227"/>
      </w:r>
      <w:r w:rsidRPr="00D13792">
        <w:rPr>
          <w:rFonts w:eastAsia="Calibri"/>
          <w:color w:val="000000"/>
          <w:lang w:val="es-CR"/>
        </w:rPr>
        <w:t xml:space="preserve">. </w:t>
      </w:r>
    </w:p>
    <w:p w:rsidR="006A0E1C" w:rsidRPr="00D13792" w:rsidRDefault="006A0E1C" w:rsidP="006A0E1C">
      <w:pPr>
        <w:pStyle w:val="ListParagraph"/>
        <w:autoSpaceDE w:val="0"/>
        <w:autoSpaceDN w:val="0"/>
        <w:adjustRightInd w:val="0"/>
        <w:spacing w:after="0" w:line="240" w:lineRule="auto"/>
        <w:ind w:left="0"/>
        <w:jc w:val="both"/>
        <w:rPr>
          <w:rFonts w:ascii="Verdana" w:hAnsi="Verdana" w:cs="Arial"/>
          <w:b/>
          <w:i/>
          <w:color w:val="000000"/>
          <w:sz w:val="20"/>
          <w:szCs w:val="20"/>
          <w:lang w:val="es-CR" w:eastAsia="es-ES"/>
        </w:rPr>
      </w:pPr>
    </w:p>
    <w:p w:rsidR="006A0E1C" w:rsidRPr="00D13792" w:rsidRDefault="006A0E1C" w:rsidP="006A0E1C">
      <w:pPr>
        <w:pStyle w:val="Prrafodelista2"/>
        <w:numPr>
          <w:ilvl w:val="0"/>
          <w:numId w:val="23"/>
        </w:numPr>
        <w:tabs>
          <w:tab w:val="left" w:pos="720"/>
        </w:tabs>
        <w:ind w:right="-90"/>
        <w:jc w:val="both"/>
        <w:rPr>
          <w:rFonts w:eastAsia="Calibri"/>
          <w:color w:val="000000"/>
          <w:lang w:val="es-CR"/>
        </w:rPr>
      </w:pPr>
      <w:r w:rsidRPr="00D13792">
        <w:rPr>
          <w:color w:val="000000"/>
          <w:lang w:val="es-CR"/>
        </w:rPr>
        <w:t>De</w:t>
      </w:r>
      <w:r w:rsidRPr="00D13792">
        <w:rPr>
          <w:rFonts w:eastAsia="Calibri"/>
          <w:color w:val="000000"/>
          <w:lang w:val="es-CR"/>
        </w:rPr>
        <w:t xml:space="preserve"> igual modo, dicho deber impone </w:t>
      </w:r>
      <w:r w:rsidRPr="00D13792">
        <w:rPr>
          <w:rFonts w:eastAsia="Times"/>
          <w:color w:val="000000"/>
          <w:lang w:val="es-CR" w:eastAsia="es-ES"/>
        </w:rPr>
        <w:t xml:space="preserve">la remoción de todo obstáculo </w:t>
      </w:r>
      <w:r w:rsidRPr="00D13792">
        <w:rPr>
          <w:rFonts w:eastAsia="Times"/>
          <w:i/>
          <w:color w:val="000000"/>
          <w:lang w:val="es-CR" w:eastAsia="es-ES"/>
        </w:rPr>
        <w:t xml:space="preserve">de jure </w:t>
      </w:r>
      <w:r w:rsidRPr="00D13792">
        <w:rPr>
          <w:rFonts w:eastAsia="Times"/>
          <w:color w:val="000000"/>
          <w:lang w:val="es-CR" w:eastAsia="es-ES"/>
        </w:rPr>
        <w:t>y</w:t>
      </w:r>
      <w:r w:rsidRPr="00D13792">
        <w:rPr>
          <w:rFonts w:eastAsia="Times"/>
          <w:i/>
          <w:color w:val="000000"/>
          <w:lang w:val="es-CR" w:eastAsia="es-ES"/>
        </w:rPr>
        <w:t xml:space="preserve"> de facto </w:t>
      </w:r>
      <w:r w:rsidRPr="00D13792">
        <w:rPr>
          <w:rFonts w:eastAsia="Times"/>
          <w:color w:val="000000"/>
          <w:lang w:val="es-CR" w:eastAsia="es-ES"/>
        </w:rPr>
        <w:t xml:space="preserve">que impida la investigación y juzgamiento de los hechos y, en su caso, la sanción de todos los responsables de las </w:t>
      </w:r>
      <w:r w:rsidRPr="00D13792">
        <w:rPr>
          <w:rFonts w:eastAsia="Calibri"/>
          <w:color w:val="000000"/>
          <w:lang w:val="es-CR"/>
        </w:rPr>
        <w:t>violaciones</w:t>
      </w:r>
      <w:r w:rsidRPr="00D13792">
        <w:rPr>
          <w:rFonts w:eastAsia="Times"/>
          <w:color w:val="000000"/>
          <w:lang w:val="es-CR" w:eastAsia="es-ES"/>
        </w:rPr>
        <w:t xml:space="preserve"> declaradas, </w:t>
      </w:r>
      <w:r w:rsidRPr="00D13792">
        <w:rPr>
          <w:rFonts w:cs="Verdana"/>
          <w:color w:val="000000"/>
          <w:lang w:val="es-CR"/>
        </w:rPr>
        <w:t>así</w:t>
      </w:r>
      <w:r w:rsidRPr="00D13792">
        <w:rPr>
          <w:rFonts w:eastAsia="Times"/>
          <w:color w:val="000000"/>
          <w:lang w:val="es-CR" w:eastAsia="es-ES"/>
        </w:rPr>
        <w:t xml:space="preserve"> como la </w:t>
      </w:r>
      <w:r w:rsidRPr="00D13792">
        <w:rPr>
          <w:rFonts w:cs="Arial"/>
          <w:color w:val="000000"/>
          <w:lang w:val="es-CR" w:eastAsia="es-ES"/>
        </w:rPr>
        <w:t>búsqueda</w:t>
      </w:r>
      <w:r w:rsidRPr="00D13792">
        <w:rPr>
          <w:rFonts w:eastAsia="Times"/>
          <w:color w:val="000000"/>
          <w:lang w:val="es-CR" w:eastAsia="es-ES"/>
        </w:rPr>
        <w:t xml:space="preserve"> de la verdad.</w:t>
      </w:r>
      <w:r w:rsidRPr="00D13792">
        <w:rPr>
          <w:rFonts w:eastAsia="Times"/>
          <w:color w:val="000000"/>
          <w:lang w:val="es-CR"/>
        </w:rPr>
        <w:t xml:space="preserve"> </w:t>
      </w:r>
      <w:r w:rsidRPr="00D13792">
        <w:rPr>
          <w:rFonts w:cs="Verdana"/>
          <w:color w:val="000000"/>
          <w:lang w:val="es-CR"/>
        </w:rPr>
        <w:t>Por esta razón, en el presente caso, el cual versa sobre graves violaciones de derechos humanos cometidas dentro de un contexto de violaciones masivas y sistemáticas, la obligación de investigar no puede desecharse o condicionarse por actos o disposiciones normativas internas de ninguna índole</w:t>
      </w:r>
      <w:r w:rsidRPr="00D13792">
        <w:rPr>
          <w:rStyle w:val="FootnoteReference"/>
          <w:rFonts w:cs="Verdana"/>
          <w:color w:val="000000"/>
          <w:lang w:val="es-CR"/>
        </w:rPr>
        <w:footnoteReference w:id="228"/>
      </w:r>
      <w:r w:rsidRPr="00D13792">
        <w:rPr>
          <w:rFonts w:cs="Verdana"/>
          <w:color w:val="000000"/>
          <w:lang w:val="es-CR"/>
        </w:rPr>
        <w:t>.</w:t>
      </w:r>
    </w:p>
    <w:p w:rsidR="006A0E1C" w:rsidRPr="00D13792" w:rsidRDefault="006A0E1C" w:rsidP="006A0E1C">
      <w:pPr>
        <w:pStyle w:val="ListParagraph"/>
        <w:spacing w:after="0" w:line="240" w:lineRule="auto"/>
        <w:jc w:val="both"/>
        <w:rPr>
          <w:rFonts w:ascii="Verdana" w:eastAsia="Calibri"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Calibri"/>
          <w:b/>
          <w:bCs/>
          <w:color w:val="000000"/>
          <w:lang w:val="es-CR"/>
        </w:rPr>
      </w:pPr>
      <w:r w:rsidRPr="00D13792">
        <w:rPr>
          <w:rFonts w:cs="Verdana"/>
          <w:color w:val="000000"/>
          <w:lang w:val="es-CR"/>
        </w:rPr>
        <w:t>Además, la Corte considera pertinente señalar que la obligación de investigar, juzgar y, en su caso, sancionar a los responsables de hechos violatorios de los derechos humanos no se deriva solamente de la Convención Americana. En determinadas circunstancias y dependiendo de la naturaleza de los hechos, esta obligación también se desprende de otros instrumentos interamericanos en la materia que establecen la obligación a cargo de los Estados Partes de investigar las conductas prohibidas por tales tratados</w:t>
      </w:r>
      <w:r w:rsidRPr="00D13792">
        <w:rPr>
          <w:rStyle w:val="FootnoteReference"/>
          <w:rFonts w:cs="Verdana"/>
          <w:color w:val="000000"/>
          <w:lang w:val="es-CR"/>
        </w:rPr>
        <w:footnoteReference w:id="229"/>
      </w:r>
      <w:r w:rsidRPr="00D13792">
        <w:rPr>
          <w:rFonts w:cs="Verdana"/>
          <w:color w:val="000000"/>
          <w:lang w:val="es-CR"/>
        </w:rPr>
        <w:t xml:space="preserve">. </w:t>
      </w:r>
      <w:r w:rsidRPr="00D13792">
        <w:rPr>
          <w:rFonts w:eastAsia="Calibri"/>
          <w:color w:val="000000"/>
          <w:lang w:val="es-CR"/>
        </w:rPr>
        <w:t xml:space="preserve">Al respecto, este Tribunal nota que, en este caso, la obligación de investigar a cargo del Estado contraída a partir de la ratificación de la Convención Americana y que se mantiene vigente en la actualidad, </w:t>
      </w:r>
      <w:r w:rsidRPr="00D13792">
        <w:rPr>
          <w:rFonts w:cs="Arial"/>
          <w:color w:val="000000"/>
          <w:lang w:val="es-CR" w:eastAsia="es-ES"/>
        </w:rPr>
        <w:t>fue</w:t>
      </w:r>
      <w:r w:rsidRPr="00D13792">
        <w:rPr>
          <w:rFonts w:eastAsia="Calibri"/>
          <w:color w:val="000000"/>
          <w:lang w:val="es-CR"/>
        </w:rPr>
        <w:t xml:space="preserve"> reafirmada por Guatemala con motivo del depósito del instrumento de ratificación de: i) la Convención Interamericana para Prevenir y Sancionar la Tortura el</w:t>
      </w:r>
      <w:r w:rsidRPr="00D13792">
        <w:rPr>
          <w:rFonts w:cs="Verdana"/>
          <w:color w:val="000000"/>
          <w:lang w:val="es-CR"/>
        </w:rPr>
        <w:t xml:space="preserve"> </w:t>
      </w:r>
      <w:r w:rsidRPr="00D13792">
        <w:rPr>
          <w:color w:val="000000"/>
          <w:lang w:val="es-CR"/>
        </w:rPr>
        <w:t xml:space="preserve">29 de enero </w:t>
      </w:r>
      <w:r w:rsidRPr="00D13792">
        <w:rPr>
          <w:rFonts w:cs="Verdana"/>
          <w:color w:val="000000"/>
          <w:lang w:val="es-CR"/>
        </w:rPr>
        <w:t>de 1987</w:t>
      </w:r>
      <w:r w:rsidRPr="00D13792">
        <w:rPr>
          <w:rFonts w:eastAsia="Calibri"/>
          <w:color w:val="000000"/>
          <w:lang w:val="es-CR"/>
        </w:rPr>
        <w:t>; ii) la Convención de Belém do Pará el 4 de abril de 1995, y iii) la Convención Interamericana sobre Desaparición Forzada de Personas (CIDFP) el 25 de febrero de 2000, por lo que el Estado debía velar por su cumplimiento a partir de esos momentos</w:t>
      </w:r>
      <w:r w:rsidRPr="00D13792">
        <w:rPr>
          <w:rFonts w:eastAsia="Calibri"/>
          <w:color w:val="000000"/>
          <w:vertAlign w:val="superscript"/>
          <w:lang w:val="es-CR"/>
        </w:rPr>
        <w:footnoteReference w:id="230"/>
      </w:r>
      <w:r w:rsidRPr="00D13792">
        <w:rPr>
          <w:rFonts w:eastAsia="Calibri"/>
          <w:color w:val="000000"/>
          <w:lang w:val="es-CR"/>
        </w:rPr>
        <w:t xml:space="preserve">, aun cuando estas no habían sido adoptadas por Guatemala al momento de los hechos del caso. </w:t>
      </w:r>
    </w:p>
    <w:p w:rsidR="006A0E1C" w:rsidRPr="00D13792" w:rsidRDefault="006A0E1C" w:rsidP="006A0E1C">
      <w:pPr>
        <w:pStyle w:val="ListParagraph"/>
        <w:spacing w:after="0" w:line="240" w:lineRule="auto"/>
        <w:jc w:val="both"/>
        <w:rPr>
          <w:rFonts w:ascii="Verdana" w:eastAsia="Calibri" w:hAnsi="Verdana"/>
          <w:b/>
          <w:bCs/>
          <w:color w:val="000000"/>
          <w:sz w:val="20"/>
          <w:szCs w:val="20"/>
          <w:lang w:val="es-CR"/>
        </w:rPr>
      </w:pPr>
    </w:p>
    <w:p w:rsidR="006A0E1C" w:rsidRPr="00B07943" w:rsidRDefault="006A0E1C" w:rsidP="006A0E1C">
      <w:pPr>
        <w:pStyle w:val="Prrafodelista2"/>
        <w:numPr>
          <w:ilvl w:val="0"/>
          <w:numId w:val="23"/>
        </w:numPr>
        <w:tabs>
          <w:tab w:val="left" w:pos="720"/>
        </w:tabs>
        <w:ind w:right="-90"/>
        <w:jc w:val="both"/>
        <w:rPr>
          <w:color w:val="000000"/>
          <w:lang w:val="es-CR"/>
        </w:rPr>
      </w:pPr>
      <w:r w:rsidRPr="00B07943">
        <w:rPr>
          <w:color w:val="000000"/>
          <w:spacing w:val="-3"/>
          <w:lang w:val="es-CR"/>
        </w:rPr>
        <w:t>Además, debido a que en el presente caso algunas personas fueron obligadas a trabajar contra su voluntad (</w:t>
      </w:r>
      <w:r w:rsidRPr="00B07943">
        <w:rPr>
          <w:i/>
          <w:color w:val="000000"/>
          <w:spacing w:val="-3"/>
          <w:lang w:val="es-CR"/>
        </w:rPr>
        <w:t xml:space="preserve">supra </w:t>
      </w:r>
      <w:r w:rsidRPr="00B07943">
        <w:rPr>
          <w:color w:val="000000"/>
          <w:spacing w:val="-3"/>
          <w:lang w:val="es-CR"/>
        </w:rPr>
        <w:t xml:space="preserve">párrs. 97 y 116), la Corte recuerda que la protección contra la esclavitud y servidumbre es una obligación internacional </w:t>
      </w:r>
      <w:r w:rsidRPr="00B07943">
        <w:rPr>
          <w:i/>
          <w:iCs/>
          <w:color w:val="000000"/>
          <w:spacing w:val="-3"/>
          <w:lang w:val="es-CR"/>
        </w:rPr>
        <w:t xml:space="preserve">erga omnes, </w:t>
      </w:r>
      <w:r w:rsidRPr="00B07943">
        <w:rPr>
          <w:color w:val="000000"/>
          <w:spacing w:val="-3"/>
          <w:lang w:val="es-CR"/>
        </w:rPr>
        <w:t xml:space="preserve">constitutiva de delito internacional y de carácter imprescriptible, </w:t>
      </w:r>
      <w:r w:rsidRPr="00B07943">
        <w:rPr>
          <w:rFonts w:cs="Arial"/>
          <w:iCs/>
          <w:lang w:val="es-CR"/>
        </w:rPr>
        <w:t xml:space="preserve">cuya prohibición alcanzó el estatus de </w:t>
      </w:r>
      <w:r w:rsidRPr="00B07943">
        <w:rPr>
          <w:rFonts w:cs="Arial"/>
          <w:i/>
          <w:iCs/>
          <w:lang w:val="es-CR"/>
        </w:rPr>
        <w:t>jus cogens</w:t>
      </w:r>
      <w:r w:rsidRPr="00D13792">
        <w:rPr>
          <w:rStyle w:val="FootnoteReference"/>
          <w:color w:val="000000"/>
          <w:spacing w:val="-3"/>
          <w:lang w:val="es-CR"/>
        </w:rPr>
        <w:footnoteReference w:id="231"/>
      </w:r>
      <w:r w:rsidRPr="00B07943">
        <w:rPr>
          <w:color w:val="000000"/>
          <w:spacing w:val="-3"/>
          <w:lang w:val="es-CR"/>
        </w:rPr>
        <w:t xml:space="preserve">. Por estos motivos, cuando </w:t>
      </w:r>
      <w:r w:rsidRPr="00B07943">
        <w:rPr>
          <w:rFonts w:cs="Verdana"/>
          <w:color w:val="000000"/>
          <w:lang w:val="es-CR"/>
        </w:rPr>
        <w:t>los</w:t>
      </w:r>
      <w:r w:rsidRPr="00B07943">
        <w:rPr>
          <w:color w:val="000000"/>
          <w:spacing w:val="-3"/>
          <w:lang w:val="es-CR"/>
        </w:rPr>
        <w:t xml:space="preserve"> Estados tengan conocimiento de un acto que pudiese ser constitutivo de esclavitud o servidumbre, en los términos de lo dispuesto por el artículo 6 de la Convención Americana, deben iniciar </w:t>
      </w:r>
      <w:r w:rsidRPr="00B07943">
        <w:rPr>
          <w:i/>
          <w:color w:val="000000"/>
          <w:spacing w:val="-3"/>
          <w:lang w:val="es-CR"/>
        </w:rPr>
        <w:t>ex officio</w:t>
      </w:r>
      <w:r w:rsidRPr="00B07943">
        <w:rPr>
          <w:color w:val="000000"/>
          <w:spacing w:val="-3"/>
          <w:lang w:val="es-CR"/>
        </w:rPr>
        <w:t xml:space="preserve"> la investigación pertinente a efecto</w:t>
      </w:r>
      <w:r>
        <w:rPr>
          <w:color w:val="000000"/>
          <w:spacing w:val="-3"/>
          <w:lang w:val="es-CR"/>
        </w:rPr>
        <w:t>s</w:t>
      </w:r>
      <w:r w:rsidRPr="00B07943">
        <w:rPr>
          <w:color w:val="000000"/>
          <w:spacing w:val="-3"/>
          <w:lang w:val="es-CR"/>
        </w:rPr>
        <w:t xml:space="preserve"> de establecer las responsabilidades individuales que correspondan</w:t>
      </w:r>
      <w:r w:rsidRPr="00D13792">
        <w:rPr>
          <w:rStyle w:val="FootnoteReference"/>
          <w:color w:val="000000"/>
          <w:spacing w:val="-3"/>
          <w:lang w:val="es-CR"/>
        </w:rPr>
        <w:footnoteReference w:id="232"/>
      </w:r>
      <w:r w:rsidRPr="00B07943">
        <w:rPr>
          <w:color w:val="000000"/>
          <w:spacing w:val="-3"/>
          <w:lang w:val="es-CR"/>
        </w:rPr>
        <w:t xml:space="preserve">. </w:t>
      </w:r>
    </w:p>
    <w:p w:rsidR="006A0E1C" w:rsidRPr="00B07943" w:rsidRDefault="006A0E1C" w:rsidP="006A0E1C">
      <w:pPr>
        <w:pStyle w:val="Prrafodelista2"/>
        <w:tabs>
          <w:tab w:val="left" w:pos="720"/>
        </w:tabs>
        <w:ind w:left="0" w:right="-90"/>
        <w:jc w:val="both"/>
        <w:rPr>
          <w:rFonts w:eastAsia="Calibri"/>
          <w:color w:val="000000"/>
          <w:lang w:val="es-CR"/>
        </w:rPr>
      </w:pPr>
    </w:p>
    <w:p w:rsidR="006A0E1C" w:rsidRPr="00605BAC" w:rsidRDefault="006A0E1C" w:rsidP="006A0E1C">
      <w:pPr>
        <w:pStyle w:val="Prrafodelista2"/>
        <w:numPr>
          <w:ilvl w:val="0"/>
          <w:numId w:val="23"/>
        </w:numPr>
        <w:tabs>
          <w:tab w:val="left" w:pos="720"/>
        </w:tabs>
        <w:ind w:right="-90"/>
        <w:jc w:val="both"/>
        <w:rPr>
          <w:rFonts w:eastAsia="Calibri"/>
          <w:color w:val="000000"/>
        </w:rPr>
      </w:pPr>
      <w:r w:rsidRPr="00605BAC">
        <w:rPr>
          <w:rFonts w:eastAsia="Calibri"/>
          <w:color w:val="000000"/>
          <w:lang w:val="es-CR"/>
        </w:rPr>
        <w:t xml:space="preserve">Como se ha </w:t>
      </w:r>
      <w:r w:rsidRPr="00605BAC">
        <w:rPr>
          <w:color w:val="000000"/>
          <w:spacing w:val="-3"/>
          <w:lang w:val="es-CR"/>
        </w:rPr>
        <w:t>señalado</w:t>
      </w:r>
      <w:r w:rsidRPr="00605BAC">
        <w:rPr>
          <w:rFonts w:eastAsia="Calibri"/>
          <w:color w:val="000000"/>
          <w:lang w:val="es-CR"/>
        </w:rPr>
        <w:t xml:space="preserve"> (</w:t>
      </w:r>
      <w:r w:rsidRPr="00605BAC">
        <w:rPr>
          <w:rFonts w:eastAsia="Calibri"/>
          <w:i/>
          <w:color w:val="000000"/>
          <w:lang w:val="es-CR"/>
        </w:rPr>
        <w:t xml:space="preserve">supra </w:t>
      </w:r>
      <w:r w:rsidRPr="00605BAC">
        <w:rPr>
          <w:rFonts w:eastAsia="Calibri"/>
          <w:color w:val="000000"/>
          <w:lang w:val="es-CR"/>
        </w:rPr>
        <w:t xml:space="preserve">párrs. 121 y 122), consta en el acervo probatorio que en este caso se abrieron, por un lado, una investigación ante la Unidad de Casos Especiales y Violaciones a los Derechos Humanos del Ministerio Público y otra ante el Procurador de los Derechos Humanos en relación con la masacre de 8 de enero de 1982 y, por otro lado, nueve expedientes relacionados con los hechos del caso cometidos antes y después de dicha masacre. </w:t>
      </w:r>
    </w:p>
    <w:p w:rsidR="006A0E1C" w:rsidRPr="00D13792" w:rsidRDefault="006A0E1C" w:rsidP="006A0E1C">
      <w:pPr>
        <w:pStyle w:val="Prrafodelista2"/>
        <w:tabs>
          <w:tab w:val="left" w:pos="720"/>
        </w:tabs>
        <w:ind w:left="0" w:right="-90"/>
        <w:jc w:val="both"/>
        <w:rPr>
          <w:rFonts w:eastAsia="Calibri"/>
          <w:color w:val="000000"/>
          <w:lang w:val="es-CR"/>
        </w:rPr>
      </w:pPr>
      <w:r w:rsidRPr="00D13792">
        <w:rPr>
          <w:rFonts w:eastAsia="Calibri"/>
          <w:color w:val="000000"/>
          <w:lang w:val="es-CR"/>
        </w:rPr>
        <w:t xml:space="preserve">A continuación, el Tribunal constatará lo pertinente en torno a estas investigaciones, a la luz de los estándares expuestos. </w:t>
      </w:r>
    </w:p>
    <w:p w:rsidR="006A0E1C" w:rsidRDefault="006A0E1C" w:rsidP="006A0E1C">
      <w:pPr>
        <w:widowControl/>
        <w:adjustRightInd/>
        <w:spacing w:line="240" w:lineRule="auto"/>
        <w:textAlignment w:val="auto"/>
        <w:rPr>
          <w:rFonts w:eastAsia="Calibri"/>
          <w:color w:val="000000"/>
          <w:sz w:val="20"/>
          <w:szCs w:val="20"/>
          <w:lang w:eastAsia="es-MX"/>
        </w:rPr>
      </w:pPr>
      <w:r>
        <w:rPr>
          <w:rFonts w:eastAsia="Calibri"/>
          <w:color w:val="000000"/>
          <w:sz w:val="20"/>
          <w:szCs w:val="20"/>
        </w:rPr>
        <w:br w:type="page"/>
      </w:r>
    </w:p>
    <w:p w:rsidR="006A0E1C" w:rsidRPr="00D13792" w:rsidRDefault="006A0E1C" w:rsidP="006A0E1C">
      <w:pPr>
        <w:pStyle w:val="ListParagraph"/>
        <w:autoSpaceDE w:val="0"/>
        <w:autoSpaceDN w:val="0"/>
        <w:adjustRightInd w:val="0"/>
        <w:spacing w:after="0" w:line="240" w:lineRule="auto"/>
        <w:ind w:left="0"/>
        <w:jc w:val="both"/>
        <w:rPr>
          <w:rFonts w:ascii="Verdana" w:eastAsia="Calibri" w:hAnsi="Verdana"/>
          <w:color w:val="000000"/>
          <w:sz w:val="20"/>
          <w:szCs w:val="20"/>
          <w:lang w:val="es-CR"/>
        </w:rPr>
      </w:pPr>
    </w:p>
    <w:p w:rsidR="006A0E1C" w:rsidRPr="00D13792" w:rsidRDefault="006A0E1C" w:rsidP="006A0E1C">
      <w:pPr>
        <w:pStyle w:val="Heading3"/>
        <w:ind w:left="0"/>
        <w:rPr>
          <w:i/>
          <w:lang w:val="es-CR"/>
        </w:rPr>
      </w:pPr>
      <w:bookmarkStart w:id="232" w:name="_Toc460938891"/>
      <w:bookmarkStart w:id="233" w:name="_Toc469670058"/>
      <w:r w:rsidRPr="00D13792">
        <w:rPr>
          <w:i/>
          <w:lang w:val="es-CR"/>
        </w:rPr>
        <w:t>B.1. Falta de debida diligencia y obstaculización</w:t>
      </w:r>
      <w:bookmarkEnd w:id="232"/>
      <w:bookmarkEnd w:id="233"/>
      <w:r w:rsidRPr="00D13792">
        <w:rPr>
          <w:i/>
          <w:lang w:val="es-CR"/>
        </w:rPr>
        <w:t xml:space="preserve"> </w:t>
      </w:r>
    </w:p>
    <w:p w:rsidR="006A0E1C" w:rsidRPr="00D13792" w:rsidRDefault="006A0E1C" w:rsidP="006A0E1C">
      <w:pPr>
        <w:pStyle w:val="ListParagraph"/>
        <w:spacing w:after="0" w:line="240" w:lineRule="auto"/>
        <w:ind w:left="0"/>
        <w:jc w:val="both"/>
        <w:rPr>
          <w:rFonts w:ascii="Verdana" w:eastAsia="Calibri" w:hAnsi="Verdana"/>
          <w:b/>
          <w:i/>
          <w:color w:val="000000"/>
          <w:sz w:val="20"/>
          <w:szCs w:val="20"/>
          <w:lang w:val="es-CR"/>
        </w:rPr>
      </w:pPr>
    </w:p>
    <w:p w:rsidR="006A0E1C" w:rsidRPr="00D13792" w:rsidRDefault="006A0E1C" w:rsidP="006A0E1C">
      <w:pPr>
        <w:autoSpaceDE w:val="0"/>
        <w:autoSpaceDN w:val="0"/>
        <w:spacing w:line="240" w:lineRule="auto"/>
        <w:rPr>
          <w:rFonts w:eastAsia="Calibri"/>
          <w:b/>
          <w:i/>
          <w:color w:val="000000"/>
          <w:sz w:val="20"/>
          <w:szCs w:val="20"/>
        </w:rPr>
      </w:pPr>
      <w:r w:rsidRPr="00D13792">
        <w:rPr>
          <w:rFonts w:eastAsia="Calibri"/>
          <w:b/>
          <w:i/>
          <w:color w:val="000000"/>
          <w:sz w:val="20"/>
          <w:szCs w:val="20"/>
        </w:rPr>
        <w:t>B.1.1. Expediente No. 001-2005-95839, abierto en relación con la masacre de 8 de enero de 1982</w:t>
      </w:r>
    </w:p>
    <w:p w:rsidR="006A0E1C" w:rsidRPr="00D13792" w:rsidRDefault="006A0E1C" w:rsidP="006A0E1C">
      <w:pPr>
        <w:pStyle w:val="ListParagraph"/>
        <w:autoSpaceDE w:val="0"/>
        <w:autoSpaceDN w:val="0"/>
        <w:adjustRightInd w:val="0"/>
        <w:spacing w:after="0" w:line="240" w:lineRule="auto"/>
        <w:ind w:left="0"/>
        <w:jc w:val="both"/>
        <w:rPr>
          <w:rFonts w:ascii="Verdana" w:eastAsia="Calibri" w:hAnsi="Verdana"/>
          <w:b/>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Calibri"/>
          <w:b/>
          <w:color w:val="000000"/>
          <w:lang w:val="es-CR"/>
        </w:rPr>
      </w:pPr>
      <w:r w:rsidRPr="00D13792">
        <w:rPr>
          <w:rFonts w:eastAsia="Calibri"/>
          <w:color w:val="000000"/>
          <w:lang w:val="es-CR"/>
        </w:rPr>
        <w:t>A partir de una evaluación del Expediente No. 001-2005-95839 ante la Unidad de Casos Especiales y Violaciones a los Derechos Humanos del Ministerio Público, abierto en el año 1993 a raíz de una denuncia interpuesta en relación con la masacre de 8 de enero de 1982</w:t>
      </w:r>
      <w:r w:rsidRPr="00D13792">
        <w:rPr>
          <w:rStyle w:val="FootnoteReference"/>
          <w:rFonts w:cs="Arial"/>
          <w:lang w:val="es-CR"/>
        </w:rPr>
        <w:footnoteReference w:id="233"/>
      </w:r>
      <w:r w:rsidRPr="00D13792">
        <w:rPr>
          <w:rFonts w:eastAsia="Calibri"/>
          <w:color w:val="000000"/>
          <w:lang w:val="es-CR"/>
        </w:rPr>
        <w:t>, el Tribunal constató lo siguiente.</w:t>
      </w:r>
    </w:p>
    <w:p w:rsidR="006A0E1C" w:rsidRPr="00D13792" w:rsidRDefault="006A0E1C" w:rsidP="006A0E1C">
      <w:pPr>
        <w:pStyle w:val="ListParagraph"/>
        <w:autoSpaceDE w:val="0"/>
        <w:autoSpaceDN w:val="0"/>
        <w:adjustRightInd w:val="0"/>
        <w:spacing w:after="0" w:line="240" w:lineRule="auto"/>
        <w:ind w:left="0"/>
        <w:jc w:val="both"/>
        <w:rPr>
          <w:rFonts w:ascii="Verdana" w:eastAsia="Calibri" w:hAnsi="Verdana"/>
          <w:b/>
          <w:color w:val="000000"/>
          <w:sz w:val="20"/>
          <w:szCs w:val="20"/>
          <w:lang w:val="es-CR"/>
        </w:rPr>
      </w:pPr>
    </w:p>
    <w:p w:rsidR="006A0E1C" w:rsidRPr="00D13792" w:rsidRDefault="006A0E1C" w:rsidP="006A0E1C">
      <w:pPr>
        <w:autoSpaceDE w:val="0"/>
        <w:autoSpaceDN w:val="0"/>
        <w:spacing w:line="240" w:lineRule="auto"/>
        <w:rPr>
          <w:rFonts w:eastAsia="Calibri"/>
          <w:i/>
          <w:color w:val="000000"/>
          <w:sz w:val="20"/>
          <w:szCs w:val="20"/>
        </w:rPr>
      </w:pPr>
      <w:r w:rsidRPr="00D13792">
        <w:rPr>
          <w:rFonts w:eastAsia="Calibri"/>
          <w:i/>
          <w:color w:val="000000"/>
          <w:sz w:val="20"/>
          <w:szCs w:val="20"/>
        </w:rPr>
        <w:t xml:space="preserve">B.1.1.1. Falta de actividad investigativa seria y oportuna </w:t>
      </w:r>
    </w:p>
    <w:p w:rsidR="006A0E1C" w:rsidRPr="00D13792" w:rsidRDefault="006A0E1C" w:rsidP="006A0E1C">
      <w:pPr>
        <w:pStyle w:val="ListParagraph"/>
        <w:autoSpaceDE w:val="0"/>
        <w:autoSpaceDN w:val="0"/>
        <w:adjustRightInd w:val="0"/>
        <w:spacing w:after="0" w:line="240" w:lineRule="auto"/>
        <w:ind w:left="1440"/>
        <w:jc w:val="both"/>
        <w:rPr>
          <w:rFonts w:ascii="Verdana" w:eastAsia="Calibri" w:hAnsi="Verdana"/>
          <w:i/>
          <w:color w:val="000000"/>
          <w:sz w:val="20"/>
          <w:szCs w:val="20"/>
          <w:lang w:val="es-CR"/>
        </w:rPr>
      </w:pPr>
      <w:r w:rsidRPr="00D13792">
        <w:rPr>
          <w:rFonts w:ascii="Verdana" w:eastAsia="Calibri" w:hAnsi="Verdana"/>
          <w:i/>
          <w:color w:val="000000"/>
          <w:sz w:val="20"/>
          <w:szCs w:val="20"/>
          <w:lang w:val="es-CR"/>
        </w:rPr>
        <w:t xml:space="preserve"> </w:t>
      </w:r>
    </w:p>
    <w:p w:rsidR="006A0E1C" w:rsidRPr="00D13792" w:rsidRDefault="006A0E1C" w:rsidP="006A0E1C">
      <w:pPr>
        <w:pStyle w:val="Prrafodelista2"/>
        <w:numPr>
          <w:ilvl w:val="0"/>
          <w:numId w:val="23"/>
        </w:numPr>
        <w:tabs>
          <w:tab w:val="left" w:pos="720"/>
        </w:tabs>
        <w:ind w:right="-90"/>
        <w:jc w:val="both"/>
        <w:rPr>
          <w:rFonts w:eastAsia="Calibri"/>
          <w:b/>
          <w:color w:val="000000"/>
          <w:lang w:val="es-CR"/>
        </w:rPr>
      </w:pPr>
      <w:r w:rsidRPr="00D13792">
        <w:rPr>
          <w:color w:val="000000"/>
          <w:lang w:val="es-CR"/>
        </w:rPr>
        <w:t xml:space="preserve">Si bien se constata cierta actividad investigativa de las autoridades encargadas, no se agotaron todas las medidas que debían realizarse a fin de esclarecer los hechos e identificar a los posibles autores de </w:t>
      </w:r>
      <w:r w:rsidRPr="00D13792">
        <w:rPr>
          <w:rFonts w:eastAsia="Calibri"/>
          <w:color w:val="000000"/>
          <w:lang w:val="es-CR"/>
        </w:rPr>
        <w:t>los</w:t>
      </w:r>
      <w:r w:rsidRPr="00D13792">
        <w:rPr>
          <w:color w:val="000000"/>
          <w:lang w:val="es-CR"/>
        </w:rPr>
        <w:t xml:space="preserve"> mismos, y varias de las diligencias realizadas se debieron al impulso procesal de los familiares de las víctimas. Asimismo, el Tribunal ha constatado que en diversas ocasiones cesó la actividad investigativa durante largos períodos de tiempo o se registraron demoras en la realización de las diligencias. </w:t>
      </w:r>
    </w:p>
    <w:p w:rsidR="006A0E1C" w:rsidRPr="00D13792" w:rsidRDefault="006A0E1C" w:rsidP="006A0E1C">
      <w:pPr>
        <w:pStyle w:val="ListParagraph"/>
        <w:spacing w:after="0" w:line="240" w:lineRule="auto"/>
        <w:jc w:val="both"/>
        <w:rPr>
          <w:rFonts w:ascii="Verdana"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Calibri"/>
          <w:b/>
          <w:color w:val="000000"/>
          <w:lang w:val="es-CR"/>
        </w:rPr>
      </w:pPr>
      <w:r w:rsidRPr="00D13792">
        <w:rPr>
          <w:color w:val="000000"/>
          <w:lang w:val="es-CR"/>
        </w:rPr>
        <w:t xml:space="preserve">En este sentido, el Tribunal destaca, en primer lugar, que el 10 de agosto de 1993 el Médico Forense Departamental entregó al Juzgado de Primera </w:t>
      </w:r>
      <w:r w:rsidRPr="00D13792">
        <w:rPr>
          <w:rFonts w:eastAsia="Calibri"/>
          <w:color w:val="000000"/>
          <w:lang w:val="es-CR"/>
        </w:rPr>
        <w:t xml:space="preserve">Instancia </w:t>
      </w:r>
      <w:r w:rsidRPr="00D13792">
        <w:rPr>
          <w:rFonts w:cs="Arial"/>
          <w:color w:val="000000"/>
          <w:lang w:val="es-CR"/>
        </w:rPr>
        <w:t>Penal, Narcoactividad y Delitos contra el Ambiente de Salamá</w:t>
      </w:r>
      <w:r w:rsidRPr="00D13792">
        <w:rPr>
          <w:color w:val="000000"/>
          <w:lang w:val="es-CR"/>
        </w:rPr>
        <w:t>, una caja con objetos asociados a los restos óseos exhumados ese año</w:t>
      </w:r>
      <w:r w:rsidRPr="00D13792">
        <w:rPr>
          <w:rStyle w:val="FootnoteReference"/>
          <w:rFonts w:cs="Arial"/>
          <w:lang w:val="es-CR"/>
        </w:rPr>
        <w:footnoteReference w:id="234"/>
      </w:r>
      <w:r w:rsidRPr="00D13792">
        <w:rPr>
          <w:color w:val="000000"/>
          <w:lang w:val="es-CR"/>
        </w:rPr>
        <w:t>. Sin embargo, no se registra actividad alguna de seguimiento sino hasta el 5 de febrero de 1998, cuando el Juez de Primera Instancia solicitó al Juez de Paz de Rabinal, quien había sido comisionado para practicar la diligencia de exhumación, que informara sobre las actuaciones realizadas</w:t>
      </w:r>
      <w:r w:rsidRPr="00D13792">
        <w:rPr>
          <w:rStyle w:val="FootnoteReference"/>
          <w:rFonts w:cs="Arial"/>
          <w:lang w:val="es-CR"/>
        </w:rPr>
        <w:footnoteReference w:id="235"/>
      </w:r>
      <w:r w:rsidRPr="00D13792">
        <w:rPr>
          <w:color w:val="000000"/>
          <w:lang w:val="es-CR"/>
        </w:rPr>
        <w:t>. Luego de aproximadamente cuatro años y medio, esta última acción se realizó por el impuso procesal de los familiares de las víctimas, quienes solicitaron en diciembre de 1997 que se continuara la investigación</w:t>
      </w:r>
      <w:r w:rsidRPr="00D13792">
        <w:rPr>
          <w:rStyle w:val="FootnoteReference"/>
          <w:rFonts w:cs="Arial"/>
          <w:lang w:val="es-CR"/>
        </w:rPr>
        <w:footnoteReference w:id="236"/>
      </w:r>
      <w:r w:rsidRPr="00D13792">
        <w:rPr>
          <w:color w:val="000000"/>
          <w:lang w:val="es-CR"/>
        </w:rPr>
        <w:t xml:space="preserve"> y en enero de 1998 que se solicitara al Juez de Paz el expediente en el que se practicó la exhumación</w:t>
      </w:r>
      <w:r w:rsidRPr="00D13792">
        <w:rPr>
          <w:rStyle w:val="FootnoteReference"/>
          <w:rFonts w:cs="Arial"/>
          <w:lang w:val="es-CR"/>
        </w:rPr>
        <w:footnoteReference w:id="237"/>
      </w:r>
      <w:r w:rsidRPr="00D13792">
        <w:rPr>
          <w:color w:val="000000"/>
          <w:lang w:val="es-CR"/>
        </w:rPr>
        <w:t>.</w:t>
      </w:r>
      <w:r w:rsidRPr="00D13792">
        <w:rPr>
          <w:rFonts w:eastAsia="Calibri"/>
          <w:b/>
          <w:color w:val="000000"/>
          <w:lang w:val="es-CR"/>
        </w:rPr>
        <w:t xml:space="preserve"> </w:t>
      </w:r>
    </w:p>
    <w:p w:rsidR="006A0E1C" w:rsidRPr="00D13792" w:rsidRDefault="006A0E1C" w:rsidP="006A0E1C">
      <w:pPr>
        <w:pStyle w:val="ListParagraph"/>
        <w:spacing w:after="0" w:line="240" w:lineRule="auto"/>
        <w:jc w:val="both"/>
        <w:rPr>
          <w:rFonts w:ascii="Verdana" w:eastAsia="Calibri" w:hAnsi="Verdana"/>
          <w:b/>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color w:val="000000"/>
          <w:lang w:val="es-CR"/>
        </w:rPr>
      </w:pPr>
      <w:r w:rsidRPr="00D13792">
        <w:rPr>
          <w:rFonts w:eastAsia="Calibri"/>
          <w:color w:val="000000"/>
          <w:lang w:val="es-CR"/>
        </w:rPr>
        <w:t xml:space="preserve">En segundo lugar, el Tribunal advierte que solo fueron identificadas siete personas de un </w:t>
      </w:r>
      <w:r w:rsidRPr="00D13792">
        <w:rPr>
          <w:rFonts w:cs="Arial"/>
          <w:lang w:val="es-CR"/>
        </w:rPr>
        <w:t>número mínimo de 31 individuos</w:t>
      </w:r>
      <w:r w:rsidRPr="00D13792">
        <w:rPr>
          <w:rFonts w:eastAsia="Calibri"/>
          <w:color w:val="000000"/>
          <w:lang w:val="es-CR"/>
        </w:rPr>
        <w:t>, cuyos restos fueron exhumados en mayo de 1993 (</w:t>
      </w:r>
      <w:r w:rsidRPr="00D13792">
        <w:rPr>
          <w:rFonts w:eastAsia="Calibri"/>
          <w:i/>
          <w:color w:val="000000"/>
          <w:lang w:val="es-CR"/>
        </w:rPr>
        <w:t xml:space="preserve">supra </w:t>
      </w:r>
      <w:r w:rsidRPr="00D13792">
        <w:rPr>
          <w:rFonts w:eastAsia="Calibri"/>
          <w:color w:val="000000"/>
          <w:lang w:val="es-CR"/>
        </w:rPr>
        <w:t>párrs. 91 y 105)</w:t>
      </w:r>
      <w:r w:rsidRPr="00D13792">
        <w:rPr>
          <w:rStyle w:val="FootnoteReference"/>
          <w:rFonts w:cs="Arial"/>
          <w:lang w:val="es-CR"/>
        </w:rPr>
        <w:footnoteReference w:id="238"/>
      </w:r>
      <w:r w:rsidRPr="00D13792">
        <w:rPr>
          <w:rFonts w:eastAsia="Calibri"/>
          <w:color w:val="000000"/>
          <w:lang w:val="es-CR"/>
        </w:rPr>
        <w:t xml:space="preserve">. No se desprende del expediente que se haya realizado </w:t>
      </w:r>
      <w:r w:rsidRPr="00D13792">
        <w:rPr>
          <w:color w:val="000000"/>
          <w:lang w:val="es-CR"/>
        </w:rPr>
        <w:t>alguna</w:t>
      </w:r>
      <w:r w:rsidRPr="00D13792">
        <w:rPr>
          <w:rFonts w:eastAsia="Calibri"/>
          <w:color w:val="000000"/>
          <w:lang w:val="es-CR"/>
        </w:rPr>
        <w:t xml:space="preserve"> actividad posterior dirigida a identificar a las personas restantes. En cuanto a este punto, la Corte</w:t>
      </w:r>
      <w:r w:rsidRPr="00D13792">
        <w:rPr>
          <w:rFonts w:cs="Verdana"/>
          <w:color w:val="000000"/>
          <w:lang w:val="es-CR"/>
        </w:rPr>
        <w:t xml:space="preserve"> ha señalado que, en </w:t>
      </w:r>
      <w:r w:rsidRPr="00D13792">
        <w:rPr>
          <w:color w:val="000000"/>
          <w:lang w:val="es-CR"/>
        </w:rPr>
        <w:t xml:space="preserve">casos de graves violaciones de derechos humanos, como las de </w:t>
      </w:r>
      <w:r w:rsidRPr="00D13792">
        <w:rPr>
          <w:rFonts w:eastAsia="Calibri"/>
          <w:color w:val="000000"/>
          <w:lang w:val="es-CR"/>
        </w:rPr>
        <w:t>este</w:t>
      </w:r>
      <w:r w:rsidRPr="00D13792">
        <w:rPr>
          <w:color w:val="000000"/>
          <w:lang w:val="es-CR"/>
        </w:rPr>
        <w:t xml:space="preserve"> caso, la exhumación e identificación de las víctimas fallecidas forma parte de la obligación de investigar a cargo del Estado. Por lo tanto, se trata de un deber que debe ser realizado </w:t>
      </w:r>
      <w:r w:rsidRPr="00D13792">
        <w:rPr>
          <w:i/>
          <w:color w:val="000000"/>
          <w:lang w:val="es-CR"/>
        </w:rPr>
        <w:t>ex officio,</w:t>
      </w:r>
      <w:r w:rsidRPr="00D13792">
        <w:rPr>
          <w:color w:val="000000"/>
          <w:lang w:val="es-CR"/>
        </w:rPr>
        <w:t xml:space="preserve"> ya que “dentro del deber de investigar subsiste el derecho de los familiares de la víctima a conocer cuál </w:t>
      </w:r>
      <w:r w:rsidRPr="00D13792">
        <w:rPr>
          <w:color w:val="000000"/>
          <w:lang w:val="es-CR"/>
        </w:rPr>
        <w:lastRenderedPageBreak/>
        <w:t>fue el destino de esta y, en su caso, dónde se encuentran sus restos”</w:t>
      </w:r>
      <w:r w:rsidRPr="00D13792">
        <w:rPr>
          <w:rStyle w:val="FootnoteReference"/>
          <w:color w:val="000000"/>
          <w:lang w:val="es-CR"/>
        </w:rPr>
        <w:footnoteReference w:id="239"/>
      </w:r>
      <w:r w:rsidRPr="00D13792">
        <w:rPr>
          <w:color w:val="000000"/>
          <w:lang w:val="es-CR"/>
        </w:rPr>
        <w:t>. En esa medida, corresponde al Estado satisfacer esas justas expectativas con los medios a su alcance.</w:t>
      </w:r>
    </w:p>
    <w:p w:rsidR="006A0E1C" w:rsidRPr="00D13792" w:rsidRDefault="006A0E1C" w:rsidP="006A0E1C">
      <w:pPr>
        <w:pStyle w:val="ListParagraph"/>
        <w:spacing w:after="0" w:line="240" w:lineRule="auto"/>
        <w:jc w:val="both"/>
        <w:rPr>
          <w:rFonts w:ascii="Verdana"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Calibri"/>
          <w:b/>
          <w:color w:val="000000"/>
          <w:lang w:val="es-CR"/>
        </w:rPr>
      </w:pPr>
      <w:r w:rsidRPr="00D13792">
        <w:rPr>
          <w:color w:val="000000"/>
          <w:lang w:val="es-CR"/>
        </w:rPr>
        <w:t>En tercer lugar, en diciembre de 1997</w:t>
      </w:r>
      <w:r w:rsidRPr="00D13792">
        <w:rPr>
          <w:rStyle w:val="FootnoteReference"/>
          <w:color w:val="000000"/>
          <w:lang w:val="es-CR"/>
        </w:rPr>
        <w:footnoteReference w:id="240"/>
      </w:r>
      <w:r w:rsidRPr="00D13792">
        <w:rPr>
          <w:color w:val="000000"/>
          <w:lang w:val="es-CR"/>
        </w:rPr>
        <w:t>, así como abril</w:t>
      </w:r>
      <w:r w:rsidRPr="00D13792">
        <w:rPr>
          <w:rStyle w:val="FootnoteReference"/>
          <w:rFonts w:cs="Arial"/>
          <w:lang w:val="es-CR"/>
        </w:rPr>
        <w:footnoteReference w:id="241"/>
      </w:r>
      <w:r w:rsidRPr="00D13792">
        <w:rPr>
          <w:color w:val="000000"/>
          <w:lang w:val="es-CR"/>
        </w:rPr>
        <w:t xml:space="preserve"> y junio de 1999</w:t>
      </w:r>
      <w:r w:rsidRPr="00D13792">
        <w:rPr>
          <w:rStyle w:val="FootnoteReference"/>
          <w:rFonts w:cs="Arial"/>
          <w:lang w:val="es-CR"/>
        </w:rPr>
        <w:footnoteReference w:id="242"/>
      </w:r>
      <w:r w:rsidRPr="00D13792">
        <w:rPr>
          <w:color w:val="000000"/>
          <w:lang w:val="es-CR"/>
        </w:rPr>
        <w:t xml:space="preserve"> la Fiscalía Distrital </w:t>
      </w:r>
      <w:r w:rsidRPr="00D13792">
        <w:rPr>
          <w:rFonts w:cs="Arial"/>
          <w:lang w:val="es-CR"/>
        </w:rPr>
        <w:t>del Ministerio Público de Salamá</w:t>
      </w:r>
      <w:r w:rsidRPr="00D13792">
        <w:rPr>
          <w:color w:val="000000"/>
          <w:lang w:val="es-CR"/>
        </w:rPr>
        <w:t xml:space="preserve"> recibió, a través de las declaraciones de al menos tres </w:t>
      </w:r>
      <w:r w:rsidRPr="00D13792">
        <w:rPr>
          <w:rFonts w:eastAsia="Calibri"/>
          <w:color w:val="000000"/>
          <w:lang w:val="es-CR"/>
        </w:rPr>
        <w:t>personas</w:t>
      </w:r>
      <w:r w:rsidRPr="00D13792">
        <w:rPr>
          <w:color w:val="000000"/>
          <w:lang w:val="es-CR"/>
        </w:rPr>
        <w:t>, los nombres de al menos 18 de los presuntos responsables de la masacre. Los declarantes solicitaron la aprehensión de estos en abril y junio de 1999, denunciaron que seguían robando, violando a mujeres y amenazando a los pobladores (</w:t>
      </w:r>
      <w:r w:rsidRPr="00D13792">
        <w:rPr>
          <w:i/>
          <w:color w:val="000000"/>
          <w:lang w:val="es-CR"/>
        </w:rPr>
        <w:t>supra</w:t>
      </w:r>
      <w:r w:rsidRPr="00D13792">
        <w:rPr>
          <w:color w:val="000000"/>
          <w:lang w:val="es-CR"/>
        </w:rPr>
        <w:t xml:space="preserve"> párrs. 98 y 183), y también aportaron las direcciones donde dichas personas podrían ser localizadas. Si bien en junio de 2000, es decir, un año después, el Auxiliar Fiscal solicitó </w:t>
      </w:r>
      <w:r w:rsidRPr="00D13792">
        <w:rPr>
          <w:rFonts w:cs="Arial"/>
          <w:lang w:val="es-CR"/>
        </w:rPr>
        <w:t xml:space="preserve">al Jefe del Departamento de Cédulas de Vecindad de Rabinal, </w:t>
      </w:r>
      <w:r w:rsidRPr="00D13792">
        <w:rPr>
          <w:color w:val="000000"/>
          <w:lang w:val="es-CR"/>
        </w:rPr>
        <w:t>las cédulas de 14 de las personas señaladas</w:t>
      </w:r>
      <w:r w:rsidRPr="00D13792">
        <w:rPr>
          <w:rStyle w:val="FootnoteReference"/>
          <w:rFonts w:cs="Arial"/>
          <w:lang w:val="es-CR"/>
        </w:rPr>
        <w:footnoteReference w:id="243"/>
      </w:r>
      <w:r w:rsidRPr="00D13792">
        <w:rPr>
          <w:color w:val="000000"/>
          <w:lang w:val="es-CR"/>
        </w:rPr>
        <w:t>, solo recibió 13 pues uno no fue localizado</w:t>
      </w:r>
      <w:r w:rsidRPr="00D13792">
        <w:rPr>
          <w:rStyle w:val="FootnoteReference"/>
          <w:rFonts w:cs="Arial"/>
          <w:lang w:val="es-CR"/>
        </w:rPr>
        <w:footnoteReference w:id="244"/>
      </w:r>
      <w:r w:rsidRPr="00D13792">
        <w:rPr>
          <w:color w:val="000000"/>
          <w:lang w:val="es-CR"/>
        </w:rPr>
        <w:t xml:space="preserve"> y no se registra ninguna actuación posterior respecto de estas personas.</w:t>
      </w:r>
      <w:r w:rsidRPr="00D13792">
        <w:rPr>
          <w:rFonts w:eastAsia="Calibri"/>
          <w:b/>
          <w:color w:val="000000"/>
          <w:lang w:val="es-CR"/>
        </w:rPr>
        <w:t xml:space="preserve"> </w:t>
      </w:r>
      <w:r w:rsidRPr="00D13792">
        <w:rPr>
          <w:rFonts w:eastAsia="Calibri"/>
          <w:color w:val="000000"/>
          <w:lang w:val="es-CR"/>
        </w:rPr>
        <w:t>Posteriormente, en julio</w:t>
      </w:r>
      <w:r w:rsidRPr="00D13792">
        <w:rPr>
          <w:rFonts w:eastAsia="Calibri"/>
          <w:color w:val="000000"/>
          <w:vertAlign w:val="superscript"/>
          <w:lang w:val="es-CR"/>
        </w:rPr>
        <w:footnoteReference w:id="245"/>
      </w:r>
      <w:r w:rsidRPr="00D13792">
        <w:rPr>
          <w:rFonts w:eastAsia="Calibri"/>
          <w:color w:val="000000"/>
          <w:lang w:val="es-CR"/>
        </w:rPr>
        <w:t xml:space="preserve"> y agosto</w:t>
      </w:r>
      <w:r w:rsidRPr="00D13792">
        <w:rPr>
          <w:rFonts w:eastAsia="Calibri"/>
          <w:color w:val="000000"/>
          <w:vertAlign w:val="superscript"/>
          <w:lang w:val="es-CR"/>
        </w:rPr>
        <w:footnoteReference w:id="246"/>
      </w:r>
      <w:r w:rsidRPr="00D13792">
        <w:rPr>
          <w:rFonts w:eastAsia="Calibri"/>
          <w:color w:val="000000"/>
          <w:lang w:val="es-CR"/>
        </w:rPr>
        <w:t xml:space="preserve"> de 2005 la “Fiscalía Especial del Ministerio Público” recibió quince declaraciones, en las cuales se describen los hechos del 8 de enero de 1982, así como otros hechos ocurridos antes y después de esa fecha, entre lo cual se destaca la muerte de familiares, el desplazamiento forzado, trabajos forzosos, violaciones sexuales, necesidades y persecución que sufrieron, la quema de casas y sembríos, y el robo de animales, así como se señalaron a algunos de los presuntos responsables</w:t>
      </w:r>
      <w:r w:rsidRPr="00D13792">
        <w:rPr>
          <w:rFonts w:eastAsia="Calibri"/>
          <w:color w:val="000000"/>
          <w:vertAlign w:val="superscript"/>
          <w:lang w:val="es-CR"/>
        </w:rPr>
        <w:footnoteReference w:id="247"/>
      </w:r>
      <w:r w:rsidRPr="00D13792">
        <w:rPr>
          <w:rFonts w:eastAsia="Calibri"/>
          <w:color w:val="000000"/>
          <w:lang w:val="es-CR"/>
        </w:rPr>
        <w:t>. Sin embargo,</w:t>
      </w:r>
      <w:r w:rsidRPr="00D13792">
        <w:rPr>
          <w:rFonts w:eastAsia="Calibri"/>
          <w:b/>
          <w:color w:val="000000"/>
          <w:lang w:val="es-CR"/>
        </w:rPr>
        <w:t xml:space="preserve"> </w:t>
      </w:r>
      <w:r w:rsidRPr="00D13792">
        <w:rPr>
          <w:color w:val="000000"/>
          <w:lang w:val="es-CR"/>
        </w:rPr>
        <w:t xml:space="preserve">no consta alguna otra diligencia dirigida a esclarecer su responsabilidad por la masacre. No se registra, por ejemplo, que </w:t>
      </w:r>
      <w:r w:rsidRPr="00D13792">
        <w:rPr>
          <w:rFonts w:cs="Arial"/>
          <w:color w:val="000000"/>
          <w:lang w:val="es-CR"/>
        </w:rPr>
        <w:t xml:space="preserve">se haya llamado a declarar a ninguna de las personas mencionadas por los declarantes. Este punto será abordado igualmente en el apartado B.2 </w:t>
      </w:r>
      <w:r w:rsidRPr="00D13792">
        <w:rPr>
          <w:rFonts w:cs="Arial"/>
          <w:i/>
          <w:color w:val="000000"/>
          <w:lang w:val="es-CR"/>
        </w:rPr>
        <w:t>infra.</w:t>
      </w:r>
    </w:p>
    <w:p w:rsidR="006A0E1C" w:rsidRPr="00D13792" w:rsidRDefault="006A0E1C" w:rsidP="006A0E1C">
      <w:pPr>
        <w:pStyle w:val="Prrafodelista2"/>
        <w:tabs>
          <w:tab w:val="left" w:pos="720"/>
        </w:tabs>
        <w:ind w:left="0" w:right="-90"/>
        <w:jc w:val="both"/>
        <w:rPr>
          <w:rFonts w:eastAsia="Calibri"/>
          <w:b/>
          <w:color w:val="000000"/>
          <w:lang w:val="es-CR"/>
        </w:rPr>
      </w:pPr>
    </w:p>
    <w:p w:rsidR="006A0E1C" w:rsidRPr="00D13792" w:rsidRDefault="006A0E1C" w:rsidP="006A0E1C">
      <w:pPr>
        <w:pStyle w:val="Prrafodelista2"/>
        <w:numPr>
          <w:ilvl w:val="0"/>
          <w:numId w:val="23"/>
        </w:numPr>
        <w:tabs>
          <w:tab w:val="left" w:pos="720"/>
        </w:tabs>
        <w:ind w:right="-90"/>
        <w:jc w:val="both"/>
        <w:rPr>
          <w:rFonts w:eastAsia="Calibri"/>
          <w:b/>
          <w:color w:val="000000"/>
          <w:lang w:val="es-CR"/>
        </w:rPr>
      </w:pPr>
      <w:r w:rsidRPr="00D13792">
        <w:rPr>
          <w:rFonts w:eastAsia="Calibri"/>
          <w:color w:val="000000"/>
          <w:lang w:val="es-CR"/>
        </w:rPr>
        <w:t xml:space="preserve">En cuarto lugar, no consta que se haya realizado diligencia alguna a fin de investigar los robos, violaciones y amenazas que, según las mencionadas declaraciones de abril y junio de </w:t>
      </w:r>
      <w:r w:rsidRPr="00D13792">
        <w:rPr>
          <w:rFonts w:eastAsia="Calibri"/>
          <w:color w:val="000000"/>
          <w:lang w:val="es-CR"/>
        </w:rPr>
        <w:lastRenderedPageBreak/>
        <w:t xml:space="preserve">1999, seguirían cometiendo los presuntos responsables de la masacre. </w:t>
      </w:r>
      <w:r w:rsidRPr="00D13792">
        <w:rPr>
          <w:rFonts w:cs="Arial"/>
          <w:color w:val="000000"/>
          <w:lang w:val="es-CR"/>
        </w:rPr>
        <w:t xml:space="preserve">Además, </w:t>
      </w:r>
      <w:r w:rsidRPr="00D13792">
        <w:rPr>
          <w:rFonts w:eastAsia="Calibri"/>
          <w:color w:val="000000"/>
          <w:lang w:val="es-CR"/>
        </w:rPr>
        <w:t xml:space="preserve">el Tribunal observa que, en declaraciones de 14 de septiembre de 2005 </w:t>
      </w:r>
      <w:r w:rsidRPr="00D13792">
        <w:rPr>
          <w:rFonts w:cs="Arial"/>
          <w:lang w:val="es-CR"/>
        </w:rPr>
        <w:t>ante el Auxiliar Fiscal de la Fiscalía Distrital del Ministerio Público de Salamá</w:t>
      </w:r>
      <w:r w:rsidRPr="00D13792">
        <w:rPr>
          <w:rFonts w:eastAsia="Calibri"/>
          <w:color w:val="000000"/>
          <w:lang w:val="es-CR"/>
        </w:rPr>
        <w:t>, tanto la señora Máxima Emiliana García Valey</w:t>
      </w:r>
      <w:r w:rsidRPr="00D13792">
        <w:rPr>
          <w:rStyle w:val="FootnoteReference"/>
          <w:rFonts w:cs="Arial"/>
          <w:lang w:val="es-CR"/>
        </w:rPr>
        <w:footnoteReference w:id="248"/>
      </w:r>
      <w:r w:rsidRPr="00D13792">
        <w:rPr>
          <w:rFonts w:eastAsia="Calibri"/>
          <w:color w:val="000000"/>
          <w:lang w:val="es-CR"/>
        </w:rPr>
        <w:t xml:space="preserve"> como la señora Fabiana Chen Galiego</w:t>
      </w:r>
      <w:r w:rsidRPr="00D13792">
        <w:rPr>
          <w:rStyle w:val="FootnoteReference"/>
          <w:rFonts w:cs="Arial"/>
          <w:lang w:val="es-CR"/>
        </w:rPr>
        <w:footnoteReference w:id="249"/>
      </w:r>
      <w:r w:rsidRPr="00D13792">
        <w:rPr>
          <w:rFonts w:eastAsia="Calibri"/>
          <w:color w:val="000000"/>
          <w:lang w:val="es-CR"/>
        </w:rPr>
        <w:t xml:space="preserve"> se retractaron respecto de la participación de personas que en declaraciones anteriores habían señalado como responsables de la masacre de 8 de enero de 1982. </w:t>
      </w:r>
    </w:p>
    <w:p w:rsidR="006A0E1C" w:rsidRPr="00D13792" w:rsidRDefault="006A0E1C" w:rsidP="006A0E1C">
      <w:pPr>
        <w:pStyle w:val="Prrafodelista2"/>
        <w:tabs>
          <w:tab w:val="left" w:pos="720"/>
        </w:tabs>
        <w:ind w:left="0" w:right="-90"/>
        <w:jc w:val="both"/>
        <w:rPr>
          <w:rFonts w:eastAsia="Calibri"/>
          <w:b/>
          <w:color w:val="000000"/>
          <w:lang w:val="es-CR"/>
        </w:rPr>
      </w:pPr>
    </w:p>
    <w:p w:rsidR="006A0E1C" w:rsidRPr="00D13792" w:rsidRDefault="006A0E1C" w:rsidP="006A0E1C">
      <w:pPr>
        <w:pStyle w:val="Prrafodelista2"/>
        <w:numPr>
          <w:ilvl w:val="0"/>
          <w:numId w:val="23"/>
        </w:numPr>
        <w:tabs>
          <w:tab w:val="left" w:pos="720"/>
        </w:tabs>
        <w:ind w:right="-90"/>
        <w:jc w:val="both"/>
        <w:rPr>
          <w:rFonts w:eastAsia="Calibri"/>
          <w:b/>
          <w:color w:val="000000"/>
          <w:lang w:val="es-CR"/>
        </w:rPr>
      </w:pPr>
      <w:r w:rsidRPr="00D13792">
        <w:rPr>
          <w:rFonts w:eastAsia="Calibri"/>
          <w:color w:val="000000"/>
          <w:lang w:val="es-CR"/>
        </w:rPr>
        <w:t>Al respecto</w:t>
      </w:r>
      <w:r w:rsidRPr="00D13792">
        <w:rPr>
          <w:rFonts w:cs="Arial"/>
          <w:color w:val="000000"/>
          <w:lang w:val="es-CR"/>
        </w:rPr>
        <w:t xml:space="preserve">, </w:t>
      </w:r>
      <w:r w:rsidRPr="00D13792">
        <w:rPr>
          <w:color w:val="000000"/>
          <w:spacing w:val="-2"/>
          <w:lang w:val="es-CR"/>
        </w:rPr>
        <w:t>la Corte recuerda que, para garantizar un debido proceso, el Estado debe facilitar todos los medios necesarios para proteger a los operadores de justicia, investigadores, testigos y familiares de las víctimas de hostigamientos y amenazas que tengan como finalidad entorpecer el proceso, evitar el esclarecimiento de los hechos y encubrir a los responsables de los mismos, pues de lo contrario eso tendría un efecto amedrentador e intimidante en quienes investigan y en quienes podrían ser testigos, afectando seriamente la efectividad de la investigación. En efecto, las amenazas e intimidaciones sufridas por testigos en el proceso interno no pueden verse aisladamente, sino que se deben considerar en el marco de obstaculizaciones de la investigación del caso, ya que</w:t>
      </w:r>
      <w:r w:rsidRPr="00D13792">
        <w:rPr>
          <w:b/>
          <w:color w:val="000000"/>
          <w:spacing w:val="-2"/>
          <w:lang w:val="es-CR"/>
        </w:rPr>
        <w:t xml:space="preserve"> </w:t>
      </w:r>
      <w:r w:rsidRPr="00D13792">
        <w:rPr>
          <w:color w:val="000000"/>
          <w:spacing w:val="-2"/>
          <w:lang w:val="es-CR"/>
        </w:rPr>
        <w:t>tales hechos se convierten en otro medio para perpetuar la impunidad e impedir que se conozca la verdad de lo ocurrido</w:t>
      </w:r>
      <w:r w:rsidRPr="00D13792">
        <w:rPr>
          <w:color w:val="000000"/>
          <w:spacing w:val="-2"/>
          <w:vertAlign w:val="superscript"/>
          <w:lang w:val="es-CR"/>
        </w:rPr>
        <w:footnoteReference w:id="250"/>
      </w:r>
      <w:r w:rsidRPr="00D13792">
        <w:rPr>
          <w:color w:val="000000"/>
          <w:spacing w:val="-2"/>
          <w:lang w:val="es-CR"/>
        </w:rPr>
        <w:t>.</w:t>
      </w:r>
    </w:p>
    <w:p w:rsidR="006A0E1C" w:rsidRPr="00D13792" w:rsidRDefault="006A0E1C" w:rsidP="006A0E1C">
      <w:pPr>
        <w:pStyle w:val="ListParagraph"/>
        <w:autoSpaceDE w:val="0"/>
        <w:autoSpaceDN w:val="0"/>
        <w:adjustRightInd w:val="0"/>
        <w:spacing w:after="0" w:line="240" w:lineRule="auto"/>
        <w:ind w:left="0"/>
        <w:jc w:val="both"/>
        <w:rPr>
          <w:rFonts w:ascii="Verdana" w:eastAsia="Calibri" w:hAnsi="Verdana"/>
          <w:b/>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Calibri"/>
          <w:color w:val="000000"/>
          <w:lang w:val="es-CR"/>
        </w:rPr>
      </w:pPr>
      <w:r w:rsidRPr="00D13792">
        <w:rPr>
          <w:color w:val="000000"/>
          <w:lang w:val="es-CR"/>
        </w:rPr>
        <w:t xml:space="preserve">En quinto lugar, los días 5 de diciembre de 1997 y 21 de enero y 12 de mayo de 2000 </w:t>
      </w:r>
      <w:r w:rsidRPr="00D13792">
        <w:rPr>
          <w:rFonts w:cs="Arial"/>
          <w:color w:val="000000"/>
          <w:lang w:val="es-CR"/>
        </w:rPr>
        <w:t xml:space="preserve">Miguel Sic Osorio, Fabiana Chen Galiego y Teresa </w:t>
      </w:r>
      <w:r w:rsidRPr="00D13792">
        <w:rPr>
          <w:color w:val="000000"/>
          <w:lang w:val="es-CR"/>
        </w:rPr>
        <w:t>Cacaj</w:t>
      </w:r>
      <w:r w:rsidRPr="00D13792">
        <w:rPr>
          <w:rFonts w:cs="Arial"/>
          <w:color w:val="000000"/>
          <w:lang w:val="es-CR"/>
        </w:rPr>
        <w:t xml:space="preserve"> Cahuec solicitaron al</w:t>
      </w:r>
      <w:r w:rsidRPr="00D13792">
        <w:rPr>
          <w:rFonts w:cs="Arial"/>
          <w:lang w:val="es-CR"/>
        </w:rPr>
        <w:t xml:space="preserve"> Juez de Primera Instancia del Ramo Penal de Salamá y a</w:t>
      </w:r>
      <w:r w:rsidRPr="00D13792">
        <w:rPr>
          <w:rFonts w:cs="Arial"/>
          <w:color w:val="000000"/>
          <w:lang w:val="es-CR"/>
        </w:rPr>
        <w:t xml:space="preserve"> la Fiscalía Distrital de Baja Verapaz, respectivamente, que </w:t>
      </w:r>
      <w:r w:rsidRPr="00D13792">
        <w:rPr>
          <w:color w:val="000000"/>
          <w:spacing w:val="-2"/>
          <w:lang w:val="es-CR"/>
        </w:rPr>
        <w:t>ordenaran</w:t>
      </w:r>
      <w:r w:rsidRPr="00D13792">
        <w:rPr>
          <w:rFonts w:cs="Arial"/>
          <w:color w:val="000000"/>
          <w:lang w:val="es-CR"/>
        </w:rPr>
        <w:t xml:space="preserve"> un peritaje sobre el material balístico encontrado en un cementerio clandestino durante la exhumación de mayo de 1993</w:t>
      </w:r>
      <w:r w:rsidRPr="00D13792">
        <w:rPr>
          <w:rStyle w:val="FootnoteReference"/>
          <w:rFonts w:cs="Arial"/>
          <w:lang w:val="es-CR"/>
        </w:rPr>
        <w:footnoteReference w:id="251"/>
      </w:r>
      <w:r w:rsidRPr="00D13792">
        <w:rPr>
          <w:rFonts w:cs="Arial"/>
          <w:color w:val="000000"/>
          <w:lang w:val="es-CR"/>
        </w:rPr>
        <w:t xml:space="preserve">. El Auxiliar Fiscal de la Fiscalía Distrital remitió las evidencias recolectadas a </w:t>
      </w:r>
      <w:r w:rsidRPr="00D13792">
        <w:rPr>
          <w:rFonts w:cs="Arial"/>
          <w:lang w:val="es-CR"/>
        </w:rPr>
        <w:t>la Sub-dirección Técnico Científica del Ministerio Público para el peritaje correspondiente recién el 21 de junio de 2000</w:t>
      </w:r>
      <w:r w:rsidRPr="00D13792">
        <w:rPr>
          <w:rStyle w:val="FootnoteReference"/>
          <w:rFonts w:cs="Arial"/>
          <w:lang w:val="es-CR"/>
        </w:rPr>
        <w:footnoteReference w:id="252"/>
      </w:r>
      <w:r w:rsidRPr="00D13792">
        <w:rPr>
          <w:rFonts w:cs="Arial"/>
          <w:color w:val="000000"/>
          <w:lang w:val="es-CR"/>
        </w:rPr>
        <w:t xml:space="preserve">, es decir, siete años después de que fueron encontrados dichos objetos y dos años y medio luego de la solicitud inicial de los familiares mencionados. </w:t>
      </w:r>
      <w:r w:rsidRPr="00D13792">
        <w:rPr>
          <w:rFonts w:eastAsia="Calibri"/>
          <w:color w:val="000000"/>
          <w:lang w:val="es-CR"/>
        </w:rPr>
        <w:t>Aunado a ello, no consta que se haya realizado diligencia de seguimiento alguna en relación con el informe pericial elaborado por el Técnico de Investigaciones Criminalísticas de la Sección de Balística del Ministerio Público y remitido a la Fiscalía Distrital de Salamá el 5 de julio de 2000</w:t>
      </w:r>
      <w:r w:rsidRPr="00D13792">
        <w:rPr>
          <w:rStyle w:val="FootnoteReference"/>
          <w:rFonts w:cs="Arial"/>
          <w:lang w:val="es-CR"/>
        </w:rPr>
        <w:footnoteReference w:id="253"/>
      </w:r>
      <w:r w:rsidRPr="00D13792">
        <w:rPr>
          <w:rFonts w:eastAsia="Calibri"/>
          <w:color w:val="000000"/>
          <w:lang w:val="es-CR"/>
        </w:rPr>
        <w:t xml:space="preserve">. </w:t>
      </w:r>
    </w:p>
    <w:p w:rsidR="006A0E1C" w:rsidRPr="00D13792" w:rsidRDefault="006A0E1C" w:rsidP="006A0E1C">
      <w:pPr>
        <w:pStyle w:val="ListParagraph"/>
        <w:spacing w:after="0" w:line="240" w:lineRule="auto"/>
        <w:jc w:val="both"/>
        <w:rPr>
          <w:rFonts w:ascii="Verdana" w:eastAsia="Calibri"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cs="Arial"/>
          <w:lang w:val="es-CR"/>
        </w:rPr>
      </w:pPr>
      <w:r w:rsidRPr="00D13792">
        <w:rPr>
          <w:rFonts w:eastAsia="Calibri"/>
          <w:color w:val="000000"/>
          <w:lang w:val="es-CR"/>
        </w:rPr>
        <w:t xml:space="preserve">En sexto lugar, en junio de 1999, enero y mayo de 2000, y diciembre de 2005, dichas personas requirieron a la Fiscalía Distrital de Baja Verapaz que solicitara al Ministerio de Defensa Nacional, un informe </w:t>
      </w:r>
      <w:r w:rsidRPr="00D13792">
        <w:rPr>
          <w:rFonts w:cs="Arial"/>
          <w:lang w:val="es-CR"/>
        </w:rPr>
        <w:t xml:space="preserve">acerca de los nombres del Ministro de la Defensa Nacional, Jefe del Estado Mayor General y demás autoridades militares asignadas a la zona de Baja Verapaz </w:t>
      </w:r>
      <w:r w:rsidRPr="00D13792">
        <w:rPr>
          <w:rFonts w:cs="Arial"/>
          <w:lang w:val="es-CR"/>
        </w:rPr>
        <w:lastRenderedPageBreak/>
        <w:t>en el año 1982</w:t>
      </w:r>
      <w:r w:rsidRPr="00D13792">
        <w:rPr>
          <w:rStyle w:val="FootnoteReference"/>
          <w:rFonts w:cs="Arial"/>
          <w:lang w:val="es-CR"/>
        </w:rPr>
        <w:footnoteReference w:id="254"/>
      </w:r>
      <w:r w:rsidRPr="00D13792">
        <w:rPr>
          <w:rFonts w:eastAsia="Calibri"/>
          <w:color w:val="000000"/>
          <w:lang w:val="es-CR"/>
        </w:rPr>
        <w:t xml:space="preserve">; sin embargo, no hay registro de que se haya dado respuesta alguna a estas cuatro solicitudes, interpuestas durante el curso de seis años. </w:t>
      </w:r>
    </w:p>
    <w:p w:rsidR="006A0E1C" w:rsidRPr="00D13792" w:rsidRDefault="006A0E1C" w:rsidP="006A0E1C">
      <w:pPr>
        <w:pStyle w:val="ListParagraph"/>
        <w:spacing w:after="0" w:line="240" w:lineRule="auto"/>
        <w:jc w:val="both"/>
        <w:rPr>
          <w:rFonts w:ascii="Verdana" w:eastAsia="Calibri"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Calibri"/>
          <w:color w:val="000000"/>
          <w:lang w:val="es-CR"/>
        </w:rPr>
      </w:pPr>
      <w:r w:rsidRPr="00D13792">
        <w:rPr>
          <w:rFonts w:eastAsia="Calibri"/>
          <w:color w:val="000000"/>
          <w:lang w:val="es-CR"/>
        </w:rPr>
        <w:t xml:space="preserve">En séptimo lugar, el Tribunal nota que el 9 de septiembre de 2002 el Auxiliar Fiscal de la Fiscalía Especial del Ministerio Público solicitó al Registro Civil de la Municipalidad de Rabinal, las certificaciones de las partidas de defunción de 34 personas “cuyas osamentas fueron </w:t>
      </w:r>
      <w:r w:rsidRPr="00D13792">
        <w:rPr>
          <w:rFonts w:cs="Arial"/>
          <w:color w:val="000000"/>
          <w:lang w:val="es-CR"/>
        </w:rPr>
        <w:t>encontradas en Chichupac [en la] exhumación del 06 de junio al 07 de julio de 1993 practicada por […la FAFG]”</w:t>
      </w:r>
      <w:r w:rsidRPr="00D13792">
        <w:rPr>
          <w:rStyle w:val="FootnoteReference"/>
          <w:rFonts w:cs="Arial"/>
          <w:lang w:val="es-CR"/>
        </w:rPr>
        <w:footnoteReference w:id="255"/>
      </w:r>
      <w:r w:rsidRPr="00D13792">
        <w:rPr>
          <w:rFonts w:cs="Arial"/>
          <w:color w:val="000000"/>
          <w:lang w:val="es-CR"/>
        </w:rPr>
        <w:t xml:space="preserve">. Al respecto, la Corte nota </w:t>
      </w:r>
      <w:r w:rsidRPr="00D13792">
        <w:rPr>
          <w:rFonts w:eastAsia="Calibri"/>
          <w:color w:val="000000"/>
          <w:lang w:val="es-CR"/>
        </w:rPr>
        <w:t>que</w:t>
      </w:r>
      <w:r w:rsidRPr="00D13792">
        <w:rPr>
          <w:rFonts w:cs="Arial"/>
          <w:color w:val="000000"/>
          <w:lang w:val="es-CR"/>
        </w:rPr>
        <w:t>: i) la exhumación inició el 6 de mayo de 1993 y no el 6 de junio como indica la solicitud</w:t>
      </w:r>
      <w:r w:rsidRPr="00D13792">
        <w:rPr>
          <w:rStyle w:val="FootnoteReference"/>
          <w:rFonts w:cs="Arial"/>
          <w:lang w:val="es-CR"/>
        </w:rPr>
        <w:footnoteReference w:id="256"/>
      </w:r>
      <w:r w:rsidRPr="00D13792">
        <w:rPr>
          <w:rFonts w:cs="Arial"/>
          <w:color w:val="000000"/>
          <w:lang w:val="es-CR"/>
        </w:rPr>
        <w:t xml:space="preserve">; ii) </w:t>
      </w:r>
      <w:r w:rsidRPr="00D13792">
        <w:rPr>
          <w:color w:val="000000"/>
          <w:lang w:val="es-CR"/>
        </w:rPr>
        <w:t>el listado de personas remitido por el Auxiliar Fiscal al Registro Civil contiene los nombres de 34 personas, pese a que en la exhumación mencionada solo se recuperaron las osamentas de 31 personas, de las cuales solo se identificaron siete (</w:t>
      </w:r>
      <w:r w:rsidRPr="00D13792">
        <w:rPr>
          <w:i/>
          <w:color w:val="000000"/>
          <w:lang w:val="es-CR"/>
        </w:rPr>
        <w:t xml:space="preserve">supra </w:t>
      </w:r>
      <w:r w:rsidRPr="00D13792">
        <w:rPr>
          <w:color w:val="000000"/>
          <w:lang w:val="es-CR"/>
        </w:rPr>
        <w:t>párrs. 91 y 105), y iii) algunos de los nombres que aparecen en el listado remitido por el Auxiliar Fiscal al Registro Civil no aparecen en las declaraciones recabadas dentro de este proceso</w:t>
      </w:r>
      <w:r w:rsidRPr="00D13792">
        <w:rPr>
          <w:rStyle w:val="FootnoteReference"/>
          <w:color w:val="000000"/>
          <w:lang w:val="es-CR"/>
        </w:rPr>
        <w:footnoteReference w:id="257"/>
      </w:r>
      <w:r w:rsidRPr="00D13792">
        <w:rPr>
          <w:color w:val="000000"/>
          <w:lang w:val="es-CR"/>
        </w:rPr>
        <w:t xml:space="preserve"> y no es claro para el Tribunal el motivo por el cual fueron incluidos. Asimismo, </w:t>
      </w:r>
      <w:r w:rsidRPr="00D13792">
        <w:rPr>
          <w:rFonts w:cs="Arial"/>
          <w:lang w:val="es-CR"/>
        </w:rPr>
        <w:t>el 11 de noviembre de 2002 la Registradora Civil envió las certificaciones de las Partidas de Defunciones solicitadas, indicando que “la mayoría no se encontraron en los libros respectivos”</w:t>
      </w:r>
      <w:r w:rsidRPr="00D13792">
        <w:rPr>
          <w:rStyle w:val="FootnoteReference"/>
          <w:rFonts w:cs="Arial"/>
          <w:lang w:val="es-CR"/>
        </w:rPr>
        <w:footnoteReference w:id="258"/>
      </w:r>
      <w:r w:rsidRPr="00D13792">
        <w:rPr>
          <w:rFonts w:cs="Arial"/>
          <w:lang w:val="es-CR"/>
        </w:rPr>
        <w:t xml:space="preserve">, sin embargo, no consta alguna actuación posterior al respecto. </w:t>
      </w:r>
      <w:r w:rsidRPr="00D13792">
        <w:rPr>
          <w:color w:val="000000"/>
          <w:lang w:val="es-CR"/>
        </w:rPr>
        <w:t xml:space="preserve">Todo ello demuestra una falta de rigurosidad en la investigación. </w:t>
      </w:r>
    </w:p>
    <w:p w:rsidR="006A0E1C" w:rsidRPr="00D13792" w:rsidRDefault="006A0E1C" w:rsidP="006A0E1C">
      <w:pPr>
        <w:pStyle w:val="ListParagraph"/>
        <w:spacing w:after="0" w:line="240" w:lineRule="auto"/>
        <w:jc w:val="both"/>
        <w:rPr>
          <w:rFonts w:ascii="Verdana" w:eastAsia="Calibri"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Calibri"/>
          <w:color w:val="000000"/>
          <w:lang w:val="es-CR"/>
        </w:rPr>
      </w:pPr>
      <w:r w:rsidRPr="00D13792">
        <w:rPr>
          <w:rFonts w:eastAsia="Calibri"/>
          <w:color w:val="000000"/>
          <w:lang w:val="es-CR"/>
        </w:rPr>
        <w:t>Como punto octavo, en los meses de octubre de 2000</w:t>
      </w:r>
      <w:r w:rsidRPr="00D13792">
        <w:rPr>
          <w:rStyle w:val="FootnoteReference"/>
          <w:rFonts w:cs="Arial"/>
          <w:lang w:val="es-CR"/>
        </w:rPr>
        <w:footnoteReference w:id="259"/>
      </w:r>
      <w:r w:rsidRPr="00D13792">
        <w:rPr>
          <w:rFonts w:eastAsia="Calibri"/>
          <w:color w:val="000000"/>
          <w:lang w:val="es-CR"/>
        </w:rPr>
        <w:t>, noviembre de 2002</w:t>
      </w:r>
      <w:r w:rsidRPr="00D13792">
        <w:rPr>
          <w:rStyle w:val="FootnoteReference"/>
          <w:rFonts w:cs="Arial"/>
          <w:lang w:val="es-CR"/>
        </w:rPr>
        <w:footnoteReference w:id="260"/>
      </w:r>
      <w:r w:rsidRPr="00D13792">
        <w:rPr>
          <w:rFonts w:eastAsia="Calibri"/>
          <w:color w:val="000000"/>
          <w:lang w:val="es-CR"/>
        </w:rPr>
        <w:t>, así como julio y agosto de 2005</w:t>
      </w:r>
      <w:r w:rsidRPr="00D13792">
        <w:rPr>
          <w:rFonts w:eastAsia="Calibri"/>
          <w:color w:val="000000"/>
          <w:vertAlign w:val="superscript"/>
          <w:lang w:val="es-CR"/>
        </w:rPr>
        <w:footnoteReference w:id="261"/>
      </w:r>
      <w:r w:rsidRPr="00D13792">
        <w:rPr>
          <w:rFonts w:eastAsia="Calibri"/>
          <w:color w:val="000000"/>
          <w:lang w:val="es-CR"/>
        </w:rPr>
        <w:t xml:space="preserve">, al menos 18 personas declararon dentro del proceso y denunciaron, </w:t>
      </w:r>
      <w:r w:rsidRPr="00D13792">
        <w:rPr>
          <w:rFonts w:eastAsia="Calibri"/>
          <w:color w:val="000000"/>
          <w:lang w:val="es-CR"/>
        </w:rPr>
        <w:lastRenderedPageBreak/>
        <w:t xml:space="preserve">entre otros, </w:t>
      </w:r>
      <w:r w:rsidRPr="00D13792">
        <w:rPr>
          <w:rFonts w:cs="Arial"/>
          <w:color w:val="000000"/>
          <w:lang w:val="es-CR"/>
        </w:rPr>
        <w:t xml:space="preserve">la muerte y desaparición de familiares, el desplazamiento forzado, trabajos forzosos, violencia y violación sexual, necesidades y persecución que sufrieron, torturas, la quema de casas y sembradíos, y el robo de animales. No consta que se haya realizado diligencia investigativa alguna en relación con los hechos denunciados. Este punto será abordado en el apartado B.2 </w:t>
      </w:r>
      <w:r w:rsidRPr="00D13792">
        <w:rPr>
          <w:rFonts w:cs="Arial"/>
          <w:i/>
          <w:color w:val="000000"/>
          <w:lang w:val="es-CR"/>
        </w:rPr>
        <w:t>infra.</w:t>
      </w:r>
    </w:p>
    <w:p w:rsidR="006A0E1C" w:rsidRPr="00D13792" w:rsidRDefault="006A0E1C" w:rsidP="006A0E1C">
      <w:pPr>
        <w:pStyle w:val="Prrafodelista2"/>
        <w:tabs>
          <w:tab w:val="left" w:pos="720"/>
        </w:tabs>
        <w:ind w:left="0" w:right="-90"/>
        <w:jc w:val="both"/>
        <w:rPr>
          <w:rFonts w:eastAsia="Calibri"/>
          <w:color w:val="000000"/>
          <w:lang w:val="es-CR"/>
        </w:rPr>
      </w:pPr>
    </w:p>
    <w:p w:rsidR="006A0E1C" w:rsidRPr="00D13792" w:rsidRDefault="006A0E1C" w:rsidP="006A0E1C">
      <w:pPr>
        <w:pStyle w:val="Prrafodelista2"/>
        <w:numPr>
          <w:ilvl w:val="0"/>
          <w:numId w:val="23"/>
        </w:numPr>
        <w:tabs>
          <w:tab w:val="left" w:pos="720"/>
        </w:tabs>
        <w:ind w:right="-90"/>
        <w:jc w:val="both"/>
        <w:rPr>
          <w:rFonts w:eastAsia="Calibri"/>
          <w:color w:val="000000"/>
          <w:lang w:val="es-CR"/>
        </w:rPr>
      </w:pPr>
      <w:r w:rsidRPr="00D13792">
        <w:rPr>
          <w:rFonts w:eastAsia="Calibri"/>
          <w:color w:val="000000"/>
          <w:lang w:val="es-CR"/>
        </w:rPr>
        <w:t>Por último y como noveno punto, no consta actividad investigativa con posterioridad a septiembre de 2005</w:t>
      </w:r>
      <w:r w:rsidRPr="00D13792">
        <w:rPr>
          <w:rStyle w:val="FootnoteReference"/>
          <w:rFonts w:cs="Arial"/>
          <w:lang w:val="es-CR"/>
        </w:rPr>
        <w:footnoteReference w:id="262"/>
      </w:r>
      <w:r w:rsidRPr="00D13792">
        <w:rPr>
          <w:rFonts w:eastAsia="Calibri"/>
          <w:color w:val="000000"/>
          <w:lang w:val="es-CR"/>
        </w:rPr>
        <w:t>, fecha en que se recibieron diversas declaraciones, y hasta marzo de 2011, fecha a partir de la cual se recibieron diversas declaraciones en calidad de anticipo de prueba</w:t>
      </w:r>
      <w:r w:rsidRPr="00D13792">
        <w:rPr>
          <w:rStyle w:val="FootnoteReference"/>
          <w:rFonts w:cs="Arial"/>
          <w:lang w:val="es-CR"/>
        </w:rPr>
        <w:footnoteReference w:id="263"/>
      </w:r>
      <w:r w:rsidRPr="00D13792">
        <w:rPr>
          <w:rFonts w:cs="Arial"/>
          <w:color w:val="000000"/>
          <w:lang w:val="es-CR"/>
        </w:rPr>
        <w:t xml:space="preserve">. Tampoco consta que se haya dado seguimiento alguno a la información recabada en dichas oportunidades. </w:t>
      </w:r>
    </w:p>
    <w:p w:rsidR="006A0E1C" w:rsidRPr="00D13792" w:rsidRDefault="006A0E1C" w:rsidP="006A0E1C">
      <w:pPr>
        <w:pStyle w:val="ListParagraph"/>
        <w:autoSpaceDE w:val="0"/>
        <w:autoSpaceDN w:val="0"/>
        <w:adjustRightInd w:val="0"/>
        <w:spacing w:after="0" w:line="240" w:lineRule="auto"/>
        <w:jc w:val="both"/>
        <w:rPr>
          <w:rFonts w:ascii="Verdana" w:eastAsia="Calibri" w:hAnsi="Verdana"/>
          <w:i/>
          <w:color w:val="000000"/>
          <w:sz w:val="20"/>
          <w:szCs w:val="20"/>
          <w:lang w:val="es-CR"/>
        </w:rPr>
      </w:pPr>
    </w:p>
    <w:p w:rsidR="006A0E1C" w:rsidRPr="00D13792" w:rsidRDefault="006A0E1C" w:rsidP="006A0E1C">
      <w:pPr>
        <w:autoSpaceDE w:val="0"/>
        <w:autoSpaceDN w:val="0"/>
        <w:spacing w:line="240" w:lineRule="auto"/>
        <w:rPr>
          <w:rFonts w:eastAsia="Calibri"/>
          <w:i/>
          <w:color w:val="000000"/>
          <w:sz w:val="20"/>
          <w:szCs w:val="20"/>
        </w:rPr>
      </w:pPr>
      <w:r w:rsidRPr="00D13792">
        <w:rPr>
          <w:rFonts w:eastAsia="Calibri"/>
          <w:i/>
          <w:color w:val="000000"/>
          <w:sz w:val="20"/>
          <w:szCs w:val="20"/>
        </w:rPr>
        <w:t>B.1.1.2. Incumplimiento del deber de garantizar la participación de los familiares</w:t>
      </w:r>
    </w:p>
    <w:p w:rsidR="006A0E1C" w:rsidRPr="00D13792" w:rsidRDefault="006A0E1C" w:rsidP="006A0E1C">
      <w:pPr>
        <w:autoSpaceDE w:val="0"/>
        <w:autoSpaceDN w:val="0"/>
        <w:spacing w:line="240" w:lineRule="auto"/>
        <w:ind w:left="360"/>
        <w:rPr>
          <w:color w:val="000000"/>
          <w:sz w:val="20"/>
          <w:szCs w:val="20"/>
        </w:rPr>
      </w:pPr>
    </w:p>
    <w:p w:rsidR="006A0E1C" w:rsidRPr="00D13792" w:rsidRDefault="006A0E1C" w:rsidP="006A0E1C">
      <w:pPr>
        <w:pStyle w:val="Prrafodelista2"/>
        <w:numPr>
          <w:ilvl w:val="0"/>
          <w:numId w:val="23"/>
        </w:numPr>
        <w:tabs>
          <w:tab w:val="left" w:pos="720"/>
        </w:tabs>
        <w:ind w:right="-90"/>
        <w:jc w:val="both"/>
        <w:rPr>
          <w:rFonts w:eastAsia="Calibri"/>
          <w:b/>
          <w:color w:val="000000"/>
          <w:lang w:val="es-CR"/>
        </w:rPr>
      </w:pPr>
      <w:r w:rsidRPr="00D13792">
        <w:rPr>
          <w:color w:val="000000"/>
          <w:lang w:val="es-CR"/>
        </w:rPr>
        <w:t xml:space="preserve">Por otra parte, </w:t>
      </w:r>
      <w:r w:rsidRPr="00D13792">
        <w:rPr>
          <w:rFonts w:cs="Arial"/>
          <w:color w:val="000000"/>
          <w:lang w:val="es-CR"/>
        </w:rPr>
        <w:t xml:space="preserve">este Tribunal </w:t>
      </w:r>
      <w:r w:rsidRPr="00D13792">
        <w:rPr>
          <w:rFonts w:eastAsia="Calibri" w:cs="Verdana"/>
          <w:color w:val="000000"/>
          <w:lang w:val="es-CR"/>
        </w:rPr>
        <w:t xml:space="preserve">recuerda que, de conformidad con el derecho reconocido en el artículo 8.1 de la </w:t>
      </w:r>
      <w:r w:rsidRPr="00D13792">
        <w:rPr>
          <w:rFonts w:eastAsia="Calibri"/>
          <w:color w:val="000000"/>
          <w:lang w:val="es-CR"/>
        </w:rPr>
        <w:t>Convención</w:t>
      </w:r>
      <w:r w:rsidRPr="00D13792">
        <w:rPr>
          <w:rFonts w:eastAsia="Calibri" w:cs="Verdana"/>
          <w:color w:val="000000"/>
          <w:lang w:val="es-CR"/>
        </w:rPr>
        <w:t xml:space="preserve"> Americana, en relación con el artículo 1.1 de la misma, los Estados tienen la obligación de garantizar el derecho de las víctimas o sus familiares de participar en todas las etapas de los respectivos procesos, de manera que puedan hacer planteamientos, recibir informaciones, aportar pruebas, formular alegaciones y, en síntesis, hacer valer sus derechos. Dicha participación deberá tener como finalidad el acceso a la justicia, el conocimiento de la verdad de lo ocurrido y el otorgamiento de una justa </w:t>
      </w:r>
      <w:r w:rsidRPr="00D13792">
        <w:rPr>
          <w:color w:val="000000"/>
          <w:spacing w:val="-2"/>
          <w:lang w:val="es-CR"/>
        </w:rPr>
        <w:t>reparación</w:t>
      </w:r>
      <w:r w:rsidRPr="00D13792">
        <w:rPr>
          <w:rStyle w:val="FootnoteReference"/>
          <w:rFonts w:eastAsia="Calibri"/>
          <w:color w:val="000000"/>
          <w:lang w:val="es-CR"/>
        </w:rPr>
        <w:footnoteReference w:id="264"/>
      </w:r>
      <w:r w:rsidRPr="00D13792">
        <w:rPr>
          <w:rFonts w:eastAsia="Calibri" w:cs="Verdana"/>
          <w:color w:val="000000"/>
          <w:lang w:val="es-CR"/>
        </w:rPr>
        <w:t xml:space="preserve">. En cuanto a este punto, la Corte constata que </w:t>
      </w:r>
      <w:r w:rsidRPr="00D13792">
        <w:rPr>
          <w:rFonts w:eastAsia="Calibri"/>
          <w:color w:val="000000"/>
          <w:lang w:val="es-CR"/>
        </w:rPr>
        <w:t>los días 5 de diciembre de 1997</w:t>
      </w:r>
      <w:r w:rsidRPr="00D13792">
        <w:rPr>
          <w:rStyle w:val="FootnoteReference"/>
          <w:rFonts w:cs="Arial"/>
          <w:lang w:val="es-CR"/>
        </w:rPr>
        <w:footnoteReference w:id="265"/>
      </w:r>
      <w:r w:rsidRPr="00D13792">
        <w:rPr>
          <w:rFonts w:eastAsia="Calibri"/>
          <w:color w:val="000000"/>
          <w:lang w:val="es-CR"/>
        </w:rPr>
        <w:t xml:space="preserve"> y</w:t>
      </w:r>
      <w:r w:rsidRPr="00D13792">
        <w:rPr>
          <w:rFonts w:cs="Arial"/>
          <w:color w:val="000000"/>
          <w:lang w:val="es-CR"/>
        </w:rPr>
        <w:t xml:space="preserve"> 29 de enero de 1998</w:t>
      </w:r>
      <w:r w:rsidRPr="00D13792">
        <w:rPr>
          <w:rStyle w:val="FootnoteReference"/>
          <w:rFonts w:cs="Arial"/>
          <w:lang w:val="es-CR"/>
        </w:rPr>
        <w:footnoteReference w:id="266"/>
      </w:r>
      <w:r w:rsidRPr="00D13792">
        <w:rPr>
          <w:rFonts w:cs="Arial"/>
          <w:color w:val="000000"/>
          <w:lang w:val="es-CR"/>
        </w:rPr>
        <w:t xml:space="preserve"> Miguel Sic Osorio, Fabiana Chen Galiego y Teresa </w:t>
      </w:r>
      <w:r w:rsidRPr="00D13792">
        <w:rPr>
          <w:color w:val="000000"/>
          <w:lang w:val="es-CR"/>
        </w:rPr>
        <w:t>Cacaj</w:t>
      </w:r>
      <w:r w:rsidRPr="00D13792">
        <w:rPr>
          <w:rFonts w:cs="Arial"/>
          <w:color w:val="000000"/>
          <w:lang w:val="es-CR"/>
        </w:rPr>
        <w:t xml:space="preserve"> Cahuec solicitaron al Juzgado de Primera Instancia, adherirse al proceso como </w:t>
      </w:r>
      <w:r w:rsidRPr="00D13792">
        <w:rPr>
          <w:color w:val="000000"/>
          <w:lang w:val="es-CR"/>
        </w:rPr>
        <w:t>querellantes</w:t>
      </w:r>
      <w:r w:rsidRPr="00D13792">
        <w:rPr>
          <w:rFonts w:cs="Arial"/>
          <w:color w:val="000000"/>
          <w:lang w:val="es-CR"/>
        </w:rPr>
        <w:t>. Sin embargo, fue recién en marzo de 1999, es decir, más de un año después de la primera solicitud, que esta fue resuelta, debido a que se había extraviado el expediente No. 255-93, dentro del cual se practicó la diligencia de exhumación de 1993</w:t>
      </w:r>
      <w:r w:rsidRPr="00D13792">
        <w:rPr>
          <w:rStyle w:val="FootnoteReference"/>
          <w:rFonts w:cs="Arial"/>
          <w:lang w:val="es-CR"/>
        </w:rPr>
        <w:footnoteReference w:id="267"/>
      </w:r>
      <w:r w:rsidRPr="00D13792">
        <w:rPr>
          <w:rFonts w:cs="Arial"/>
          <w:color w:val="000000"/>
          <w:lang w:val="es-CR"/>
        </w:rPr>
        <w:t xml:space="preserve">. Al respecto, </w:t>
      </w:r>
      <w:r w:rsidRPr="00D13792">
        <w:rPr>
          <w:rFonts w:eastAsia="Calibri" w:cs="Verdana"/>
          <w:color w:val="000000"/>
          <w:lang w:val="es-CR"/>
        </w:rPr>
        <w:t xml:space="preserve">la Corte considera que la demora de más de un año en resolver la solicitud de adherirse al proceso vulneró el derecho de participar en el mismo de dichos familiares. Por otra parte, esta Corte considera que el “extravío” del expediente No. 255-93 Of. 4to denota por sí mismo una falta de debida diligencia en la investigación. </w:t>
      </w:r>
    </w:p>
    <w:p w:rsidR="006A0E1C" w:rsidRPr="00D13792" w:rsidRDefault="006A0E1C" w:rsidP="006A0E1C">
      <w:pPr>
        <w:autoSpaceDE w:val="0"/>
        <w:autoSpaceDN w:val="0"/>
        <w:spacing w:line="240" w:lineRule="auto"/>
        <w:rPr>
          <w:rFonts w:eastAsia="Calibri"/>
          <w:color w:val="000000"/>
          <w:sz w:val="20"/>
          <w:szCs w:val="20"/>
        </w:rPr>
      </w:pPr>
    </w:p>
    <w:p w:rsidR="006A0E1C" w:rsidRPr="00D13792" w:rsidRDefault="006A0E1C" w:rsidP="006A0E1C">
      <w:pPr>
        <w:autoSpaceDE w:val="0"/>
        <w:autoSpaceDN w:val="0"/>
        <w:spacing w:line="240" w:lineRule="auto"/>
        <w:rPr>
          <w:rFonts w:eastAsia="Calibri"/>
          <w:i/>
          <w:color w:val="000000"/>
          <w:sz w:val="20"/>
          <w:szCs w:val="20"/>
        </w:rPr>
      </w:pPr>
      <w:r w:rsidRPr="00D13792">
        <w:rPr>
          <w:rFonts w:eastAsia="Calibri"/>
          <w:i/>
          <w:color w:val="000000"/>
          <w:sz w:val="20"/>
          <w:szCs w:val="20"/>
        </w:rPr>
        <w:t>B.1.1.3. Obstaculización</w:t>
      </w:r>
    </w:p>
    <w:p w:rsidR="006A0E1C" w:rsidRPr="00D13792" w:rsidRDefault="006A0E1C" w:rsidP="006A0E1C">
      <w:pPr>
        <w:autoSpaceDE w:val="0"/>
        <w:autoSpaceDN w:val="0"/>
        <w:spacing w:line="240" w:lineRule="auto"/>
        <w:ind w:left="720"/>
        <w:rPr>
          <w:rFonts w:eastAsia="Calibri"/>
          <w:color w:val="000000"/>
          <w:sz w:val="20"/>
          <w:szCs w:val="20"/>
        </w:rPr>
      </w:pPr>
    </w:p>
    <w:p w:rsidR="006A0E1C" w:rsidRPr="00D13792" w:rsidRDefault="006A0E1C" w:rsidP="006A0E1C">
      <w:pPr>
        <w:pStyle w:val="Prrafodelista2"/>
        <w:numPr>
          <w:ilvl w:val="0"/>
          <w:numId w:val="23"/>
        </w:numPr>
        <w:tabs>
          <w:tab w:val="left" w:pos="720"/>
        </w:tabs>
        <w:ind w:right="-90"/>
        <w:jc w:val="both"/>
        <w:rPr>
          <w:rFonts w:eastAsia="Calibri"/>
          <w:b/>
          <w:color w:val="000000"/>
          <w:lang w:val="es-CR"/>
        </w:rPr>
      </w:pPr>
      <w:r w:rsidRPr="00D13792">
        <w:rPr>
          <w:rFonts w:eastAsia="Calibri"/>
          <w:color w:val="000000"/>
          <w:lang w:val="es-CR"/>
        </w:rPr>
        <w:t>Por último,</w:t>
      </w:r>
      <w:r w:rsidRPr="00D13792">
        <w:rPr>
          <w:color w:val="000000"/>
          <w:spacing w:val="-2"/>
          <w:lang w:val="es-CR"/>
        </w:rPr>
        <w:t xml:space="preserve"> esta Corte ha señalado que las autoridades estatales están</w:t>
      </w:r>
      <w:r w:rsidRPr="00D13792">
        <w:rPr>
          <w:rFonts w:eastAsia="Batang" w:cs="Verdana"/>
          <w:color w:val="000000"/>
          <w:lang w:val="es-CR"/>
        </w:rPr>
        <w:t xml:space="preserve"> obligadas a colaborar en la obtención de la prueba para alcanzar los objetivos de una investigación y abstenerse de </w:t>
      </w:r>
      <w:r w:rsidRPr="00D13792">
        <w:rPr>
          <w:rFonts w:eastAsia="Batang" w:cs="Verdana"/>
          <w:color w:val="000000"/>
          <w:lang w:val="es-CR"/>
        </w:rPr>
        <w:lastRenderedPageBreak/>
        <w:t>realizar actos que impliquen obstrucciones para la marcha del proceso investigativo</w:t>
      </w:r>
      <w:r w:rsidRPr="00D13792">
        <w:rPr>
          <w:color w:val="000000"/>
          <w:vertAlign w:val="superscript"/>
          <w:lang w:val="es-CR"/>
        </w:rPr>
        <w:footnoteReference w:id="268"/>
      </w:r>
      <w:r w:rsidRPr="00D13792">
        <w:rPr>
          <w:rFonts w:eastAsia="Batang" w:cs="Verdana"/>
          <w:color w:val="000000"/>
          <w:lang w:val="es-CR"/>
        </w:rPr>
        <w:t xml:space="preserve">. </w:t>
      </w:r>
      <w:r w:rsidRPr="00D13792">
        <w:rPr>
          <w:color w:val="000000"/>
          <w:spacing w:val="-2"/>
          <w:lang w:val="es-CR"/>
        </w:rPr>
        <w:t xml:space="preserve">Al </w:t>
      </w:r>
      <w:r w:rsidRPr="00D13792">
        <w:rPr>
          <w:rFonts w:cs="Arial"/>
          <w:color w:val="000000"/>
          <w:lang w:val="es-CR"/>
        </w:rPr>
        <w:t>respecto</w:t>
      </w:r>
      <w:r w:rsidRPr="00D13792">
        <w:rPr>
          <w:color w:val="000000"/>
          <w:spacing w:val="-2"/>
          <w:lang w:val="es-CR"/>
        </w:rPr>
        <w:t xml:space="preserve">, </w:t>
      </w:r>
      <w:r w:rsidRPr="00D13792">
        <w:rPr>
          <w:rFonts w:eastAsia="Calibri"/>
          <w:color w:val="000000"/>
          <w:lang w:val="es-CR"/>
        </w:rPr>
        <w:t xml:space="preserve">el Tribunal constató que, ante la solicitud del Juez de Primera Instancia de </w:t>
      </w:r>
      <w:r w:rsidRPr="00D13792">
        <w:rPr>
          <w:rFonts w:cs="Arial"/>
          <w:lang w:val="es-CR"/>
        </w:rPr>
        <w:t>7 de mayo de 1993</w:t>
      </w:r>
      <w:r w:rsidRPr="00D13792">
        <w:rPr>
          <w:rStyle w:val="FootnoteReference"/>
          <w:rFonts w:cs="Arial"/>
          <w:lang w:val="es-CR"/>
        </w:rPr>
        <w:footnoteReference w:id="269"/>
      </w:r>
      <w:r w:rsidRPr="00D13792">
        <w:rPr>
          <w:rFonts w:cs="Arial"/>
          <w:lang w:val="es-CR"/>
        </w:rPr>
        <w:t xml:space="preserve"> de</w:t>
      </w:r>
      <w:r w:rsidRPr="00D13792">
        <w:rPr>
          <w:rFonts w:eastAsia="Calibri"/>
          <w:color w:val="000000"/>
          <w:lang w:val="es-CR"/>
        </w:rPr>
        <w:t xml:space="preserve"> los nombres de las personas que se desempeñaban como comisionados militares y ayudantes de comisionados en el municipio de Rabinal en 1982, así como información sobre si se les </w:t>
      </w:r>
      <w:r w:rsidRPr="00D13792">
        <w:rPr>
          <w:rFonts w:cs="Arial"/>
          <w:lang w:val="es-CR"/>
        </w:rPr>
        <w:t>asignó alguna comisión el 8 de enero de ese año,</w:t>
      </w:r>
      <w:r w:rsidRPr="00D13792">
        <w:rPr>
          <w:rFonts w:eastAsia="Calibri"/>
          <w:color w:val="000000"/>
          <w:lang w:val="es-CR"/>
        </w:rPr>
        <w:t xml:space="preserve"> el Comandante de Reservas Militares respondió el 9 de mayo de 1993, que </w:t>
      </w:r>
      <w:r w:rsidRPr="00D13792">
        <w:rPr>
          <w:color w:val="000000"/>
          <w:lang w:val="es-CR"/>
        </w:rPr>
        <w:t>“durante el año 1982 no existían comisionados militares en dicha aldea ya que esa área era tomada como zona de operaciones de la delincuencia terrorista</w:t>
      </w:r>
      <w:r w:rsidRPr="00D13792">
        <w:rPr>
          <w:lang w:val="es-CR"/>
        </w:rPr>
        <w:t>[,…] así […] no pudo nombrarse ninguna comisión el 8 de enero de 1982”</w:t>
      </w:r>
      <w:r w:rsidRPr="00D13792">
        <w:rPr>
          <w:rStyle w:val="FootnoteReference"/>
          <w:lang w:val="es-CR"/>
        </w:rPr>
        <w:footnoteReference w:id="270"/>
      </w:r>
      <w:r w:rsidRPr="00D13792">
        <w:rPr>
          <w:lang w:val="es-CR"/>
        </w:rPr>
        <w:t>.</w:t>
      </w:r>
      <w:r w:rsidRPr="00D13792">
        <w:rPr>
          <w:color w:val="000000"/>
          <w:lang w:val="es-CR"/>
        </w:rPr>
        <w:t xml:space="preserve"> </w:t>
      </w:r>
      <w:r w:rsidRPr="00D13792">
        <w:rPr>
          <w:rFonts w:eastAsia="Calibri"/>
          <w:color w:val="000000"/>
          <w:lang w:val="es-CR"/>
        </w:rPr>
        <w:t xml:space="preserve">Como se ha señalado, según la CEH, el municipio de Rabinal fue considerado por el Ejército como un área estratégica durante el conflicto armado interno, y entre los años 1981 y 1983 </w:t>
      </w:r>
      <w:r w:rsidRPr="00D13792">
        <w:rPr>
          <w:color w:val="000000"/>
          <w:lang w:val="es-CR"/>
        </w:rPr>
        <w:t>grupos militares o paramilitares asesinaron por lo menos un 20% de la población del municipio (</w:t>
      </w:r>
      <w:r w:rsidRPr="00D13792">
        <w:rPr>
          <w:i/>
          <w:color w:val="000000"/>
          <w:lang w:val="es-CR"/>
        </w:rPr>
        <w:t xml:space="preserve">supra </w:t>
      </w:r>
      <w:r w:rsidRPr="00D13792">
        <w:rPr>
          <w:color w:val="000000"/>
          <w:lang w:val="es-CR"/>
        </w:rPr>
        <w:t>párr. 84). Además, fueron miembros del Ejército de Guatemala asignados al destacamento de Rabinal, policías judiciales y comisionados militares quienes perpetraron la masacre en la clínica de la aldea Chichupac el 8 de enero de 1982 (</w:t>
      </w:r>
      <w:r w:rsidRPr="00D13792">
        <w:rPr>
          <w:i/>
          <w:color w:val="000000"/>
          <w:lang w:val="es-CR"/>
        </w:rPr>
        <w:t xml:space="preserve">supra </w:t>
      </w:r>
      <w:r w:rsidRPr="00D13792">
        <w:rPr>
          <w:color w:val="000000"/>
          <w:lang w:val="es-CR"/>
        </w:rPr>
        <w:t xml:space="preserve">párrs. 89 y 90). Así, esta negación de la existencia de comisionados miliares en la zona en el año 1982, y </w:t>
      </w:r>
      <w:r w:rsidRPr="00D13792">
        <w:rPr>
          <w:lang w:val="es-CR"/>
        </w:rPr>
        <w:t>de la presencia y participación de militares en operaciones,</w:t>
      </w:r>
      <w:r w:rsidRPr="00D13792">
        <w:rPr>
          <w:color w:val="000000"/>
          <w:lang w:val="es-CR"/>
        </w:rPr>
        <w:t xml:space="preserve"> constituyó un claro intento de ocultar los nombres de las personas posiblemente responsables de la masacre. </w:t>
      </w:r>
    </w:p>
    <w:p w:rsidR="006A0E1C" w:rsidRPr="00D13792" w:rsidRDefault="006A0E1C" w:rsidP="006A0E1C">
      <w:pPr>
        <w:pStyle w:val="ListParagraph"/>
        <w:autoSpaceDE w:val="0"/>
        <w:autoSpaceDN w:val="0"/>
        <w:adjustRightInd w:val="0"/>
        <w:spacing w:after="0" w:line="240" w:lineRule="auto"/>
        <w:ind w:left="0"/>
        <w:jc w:val="both"/>
        <w:rPr>
          <w:rFonts w:ascii="Verdana" w:eastAsia="Calibri" w:hAnsi="Verdana"/>
          <w:b/>
          <w:color w:val="000000"/>
          <w:sz w:val="20"/>
          <w:szCs w:val="20"/>
          <w:lang w:val="es-CR"/>
        </w:rPr>
      </w:pPr>
    </w:p>
    <w:p w:rsidR="006A0E1C" w:rsidRPr="00D13792" w:rsidRDefault="006A0E1C" w:rsidP="006A0E1C">
      <w:pPr>
        <w:autoSpaceDE w:val="0"/>
        <w:autoSpaceDN w:val="0"/>
        <w:spacing w:line="240" w:lineRule="auto"/>
        <w:rPr>
          <w:rFonts w:eastAsia="Calibri"/>
          <w:i/>
          <w:color w:val="000000"/>
          <w:sz w:val="20"/>
          <w:szCs w:val="20"/>
        </w:rPr>
      </w:pPr>
      <w:r w:rsidRPr="00D13792">
        <w:rPr>
          <w:rFonts w:eastAsia="Calibri"/>
          <w:i/>
          <w:color w:val="000000"/>
          <w:sz w:val="20"/>
          <w:szCs w:val="20"/>
        </w:rPr>
        <w:t xml:space="preserve">B.1.1.4. Conclusión en cuanto al Expediente </w:t>
      </w:r>
      <w:r w:rsidRPr="00D13792">
        <w:rPr>
          <w:rFonts w:eastAsia="Calibri"/>
          <w:color w:val="000000"/>
          <w:sz w:val="20"/>
          <w:szCs w:val="20"/>
        </w:rPr>
        <w:t xml:space="preserve">No. 001-2005-95839 </w:t>
      </w:r>
    </w:p>
    <w:p w:rsidR="006A0E1C" w:rsidRPr="00D13792" w:rsidRDefault="006A0E1C" w:rsidP="006A0E1C">
      <w:pPr>
        <w:pStyle w:val="ListParagraph"/>
        <w:autoSpaceDE w:val="0"/>
        <w:autoSpaceDN w:val="0"/>
        <w:adjustRightInd w:val="0"/>
        <w:spacing w:after="0" w:line="240" w:lineRule="auto"/>
        <w:jc w:val="both"/>
        <w:rPr>
          <w:rFonts w:ascii="Verdana" w:eastAsia="Calibri" w:hAnsi="Verdana"/>
          <w:b/>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Calibri"/>
          <w:b/>
          <w:color w:val="000000"/>
          <w:lang w:val="es-CR"/>
        </w:rPr>
      </w:pPr>
      <w:r w:rsidRPr="00D13792">
        <w:rPr>
          <w:rFonts w:eastAsia="Calibri"/>
          <w:color w:val="000000"/>
          <w:lang w:val="es-CR"/>
        </w:rPr>
        <w:t xml:space="preserve">De lo anterior se desprende que, en el marco de la investigación de la masacre de 8 de enero de 1982, el Estado incurrió en una serie de faltas de debida diligencia y al menos una obstaculización que han impedido la investigación efectiva, juzgamiento y eventual sanción de los responsables. </w:t>
      </w:r>
    </w:p>
    <w:p w:rsidR="006A0E1C" w:rsidRPr="00D13792" w:rsidRDefault="006A0E1C" w:rsidP="006A0E1C">
      <w:pPr>
        <w:pStyle w:val="ListParagraph"/>
        <w:autoSpaceDE w:val="0"/>
        <w:autoSpaceDN w:val="0"/>
        <w:adjustRightInd w:val="0"/>
        <w:spacing w:after="0" w:line="240" w:lineRule="auto"/>
        <w:ind w:left="0"/>
        <w:jc w:val="both"/>
        <w:rPr>
          <w:rFonts w:ascii="Verdana" w:eastAsia="Calibri" w:hAnsi="Verdana"/>
          <w:b/>
          <w:color w:val="000000"/>
          <w:sz w:val="20"/>
          <w:szCs w:val="20"/>
          <w:lang w:val="es-CR"/>
        </w:rPr>
      </w:pPr>
    </w:p>
    <w:p w:rsidR="006A0E1C" w:rsidRPr="00D13792" w:rsidRDefault="006A0E1C" w:rsidP="006A0E1C">
      <w:pPr>
        <w:autoSpaceDE w:val="0"/>
        <w:autoSpaceDN w:val="0"/>
        <w:spacing w:line="240" w:lineRule="auto"/>
        <w:rPr>
          <w:rFonts w:eastAsia="Calibri"/>
          <w:b/>
          <w:i/>
          <w:color w:val="000000"/>
          <w:sz w:val="20"/>
          <w:szCs w:val="20"/>
        </w:rPr>
      </w:pPr>
      <w:r w:rsidRPr="00D13792">
        <w:rPr>
          <w:rFonts w:eastAsia="Calibri"/>
          <w:b/>
          <w:i/>
          <w:color w:val="000000"/>
          <w:sz w:val="20"/>
          <w:szCs w:val="20"/>
        </w:rPr>
        <w:t>B.1.2. Expedientes abiertos en relación con hechos ocurridos antes y después de la masacre de 8 de enero de 1982</w:t>
      </w:r>
    </w:p>
    <w:p w:rsidR="006A0E1C" w:rsidRPr="00D13792" w:rsidRDefault="006A0E1C" w:rsidP="006A0E1C">
      <w:pPr>
        <w:pStyle w:val="ListParagraph"/>
        <w:autoSpaceDE w:val="0"/>
        <w:autoSpaceDN w:val="0"/>
        <w:adjustRightInd w:val="0"/>
        <w:spacing w:after="0" w:line="240" w:lineRule="auto"/>
        <w:ind w:left="0"/>
        <w:jc w:val="both"/>
        <w:rPr>
          <w:rFonts w:ascii="Verdana" w:eastAsia="Calibri" w:hAnsi="Verdana"/>
          <w:i/>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Calibri"/>
          <w:b/>
          <w:color w:val="000000"/>
          <w:lang w:val="es-CR"/>
        </w:rPr>
      </w:pPr>
      <w:r w:rsidRPr="00D13792">
        <w:rPr>
          <w:rFonts w:eastAsia="Calibri"/>
          <w:color w:val="000000"/>
          <w:lang w:val="es-CR"/>
        </w:rPr>
        <w:t>A partir de una evaluación de los</w:t>
      </w:r>
      <w:r w:rsidRPr="00D13792">
        <w:rPr>
          <w:rFonts w:cs="Arial"/>
          <w:color w:val="000000"/>
          <w:lang w:val="es-CR"/>
        </w:rPr>
        <w:t xml:space="preserve"> nueve expedientes abiertos en relación con los hechos</w:t>
      </w:r>
      <w:r w:rsidRPr="00D13792">
        <w:rPr>
          <w:lang w:val="es-CR"/>
        </w:rPr>
        <w:t xml:space="preserve"> </w:t>
      </w:r>
      <w:r w:rsidRPr="00D13792">
        <w:rPr>
          <w:rFonts w:cs="Arial"/>
          <w:color w:val="000000"/>
          <w:lang w:val="es-CR"/>
        </w:rPr>
        <w:t>ocurridos antes y después de la masacre de 8 de enero de 1982,</w:t>
      </w:r>
      <w:r w:rsidRPr="00D13792">
        <w:rPr>
          <w:rFonts w:eastAsia="Calibri"/>
          <w:color w:val="000000"/>
          <w:lang w:val="es-CR"/>
        </w:rPr>
        <w:t xml:space="preserve"> el Tribunal ha verificado lo siguiente. </w:t>
      </w:r>
    </w:p>
    <w:p w:rsidR="006A0E1C" w:rsidRPr="00D13792" w:rsidRDefault="006A0E1C" w:rsidP="006A0E1C">
      <w:pPr>
        <w:pStyle w:val="ListParagraph"/>
        <w:autoSpaceDE w:val="0"/>
        <w:autoSpaceDN w:val="0"/>
        <w:adjustRightInd w:val="0"/>
        <w:spacing w:after="0" w:line="240" w:lineRule="auto"/>
        <w:jc w:val="both"/>
        <w:rPr>
          <w:rFonts w:ascii="Verdana" w:eastAsia="Calibri"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Calibri"/>
          <w:color w:val="000000"/>
          <w:lang w:val="es-CR"/>
        </w:rPr>
      </w:pPr>
      <w:r w:rsidRPr="00D13792">
        <w:rPr>
          <w:rFonts w:eastAsia="Calibri"/>
          <w:color w:val="000000"/>
          <w:lang w:val="es-CR"/>
        </w:rPr>
        <w:t xml:space="preserve">En primer lugar, en siete expedientes </w:t>
      </w:r>
      <w:r w:rsidRPr="00D13792">
        <w:rPr>
          <w:rFonts w:eastAsia="Calibri"/>
          <w:lang w:val="es-CR"/>
        </w:rPr>
        <w:t>no se advierten acciones</w:t>
      </w:r>
      <w:r w:rsidRPr="00D13792">
        <w:rPr>
          <w:color w:val="000000"/>
          <w:lang w:val="es-CR"/>
        </w:rPr>
        <w:t xml:space="preserve"> dirigidas a la determinación de los responsables de los hechos. En dos de estos - el expediente</w:t>
      </w:r>
      <w:r w:rsidRPr="00D13792">
        <w:rPr>
          <w:rFonts w:cs="Arial"/>
          <w:lang w:val="es-CR"/>
        </w:rPr>
        <w:t xml:space="preserve"> No. 811-95 Of. 1ro ante la Fiscalía Distrital del Ministerio Público de Salamá, </w:t>
      </w:r>
      <w:r w:rsidRPr="00D13792">
        <w:rPr>
          <w:rFonts w:cs="Verdana"/>
          <w:color w:val="000000"/>
          <w:lang w:val="es-CR"/>
        </w:rPr>
        <w:t>en el cual se denunció la desaparición de familiares de María Teresa Sic Osorio, Albertina Sic Cuxum y Alejandra Galiego Mendoza</w:t>
      </w:r>
      <w:r w:rsidRPr="00D13792">
        <w:rPr>
          <w:rStyle w:val="FootnoteReference"/>
          <w:rFonts w:cs="Verdana"/>
          <w:color w:val="000000"/>
          <w:lang w:val="es-CR"/>
        </w:rPr>
        <w:footnoteReference w:id="271"/>
      </w:r>
      <w:r w:rsidRPr="00D13792">
        <w:rPr>
          <w:rFonts w:cs="Verdana"/>
          <w:color w:val="000000"/>
          <w:lang w:val="es-CR"/>
        </w:rPr>
        <w:t xml:space="preserve">, entre otros, </w:t>
      </w:r>
      <w:r w:rsidRPr="00D13792">
        <w:rPr>
          <w:lang w:val="es-CR"/>
        </w:rPr>
        <w:t>y el expediente No. 248-2006-169 ante la Fiscalía Municipal del Ministerio Público de Rabinal, en el que se denunció el desplazamiento forzado de la familia del señor Chen Tahuico y la muerte de su hijo</w:t>
      </w:r>
      <w:r w:rsidRPr="00D13792">
        <w:rPr>
          <w:rStyle w:val="FootnoteReference"/>
          <w:lang w:val="es-CR"/>
        </w:rPr>
        <w:footnoteReference w:id="272"/>
      </w:r>
      <w:r w:rsidRPr="00D13792">
        <w:rPr>
          <w:lang w:val="es-CR"/>
        </w:rPr>
        <w:t xml:space="preserve">- </w:t>
      </w:r>
      <w:r w:rsidRPr="00D13792">
        <w:rPr>
          <w:color w:val="000000"/>
          <w:lang w:val="es-CR"/>
        </w:rPr>
        <w:t>no se registra actividad investigativa alguna. Este Tribunal ha señalado que</w:t>
      </w:r>
      <w:r w:rsidRPr="00D13792" w:rsidDel="00EF5150">
        <w:rPr>
          <w:color w:val="000000"/>
          <w:lang w:val="es-CR"/>
        </w:rPr>
        <w:t xml:space="preserve"> la búsqueda efectiva de la verdad corresponde al Estado y no </w:t>
      </w:r>
      <w:r w:rsidRPr="00D13792" w:rsidDel="00EF5150">
        <w:rPr>
          <w:rFonts w:eastAsia="Calibri"/>
          <w:color w:val="000000"/>
          <w:lang w:val="es-CR"/>
        </w:rPr>
        <w:t>depende</w:t>
      </w:r>
      <w:r w:rsidRPr="00D13792" w:rsidDel="00EF5150">
        <w:rPr>
          <w:color w:val="000000"/>
          <w:lang w:val="es-CR"/>
        </w:rPr>
        <w:t xml:space="preserve"> de la </w:t>
      </w:r>
      <w:r w:rsidRPr="00D13792" w:rsidDel="00EF5150">
        <w:rPr>
          <w:color w:val="000000"/>
          <w:lang w:val="es-CR"/>
        </w:rPr>
        <w:lastRenderedPageBreak/>
        <w:t>iniciativa procesal de la víctima o de sus familiares</w:t>
      </w:r>
      <w:r w:rsidRPr="00D13792">
        <w:rPr>
          <w:color w:val="000000"/>
          <w:lang w:val="es-CR"/>
        </w:rPr>
        <w:t>,</w:t>
      </w:r>
      <w:r w:rsidRPr="00D13792" w:rsidDel="00EF5150">
        <w:rPr>
          <w:color w:val="000000"/>
          <w:lang w:val="es-CR"/>
        </w:rPr>
        <w:t xml:space="preserve"> o de la aportación privada de elementos probatorio</w:t>
      </w:r>
      <w:r w:rsidRPr="00D13792">
        <w:rPr>
          <w:color w:val="000000"/>
          <w:lang w:val="es-CR"/>
        </w:rPr>
        <w:t>s</w:t>
      </w:r>
      <w:r w:rsidRPr="00D13792">
        <w:rPr>
          <w:rStyle w:val="FootnoteReference"/>
          <w:rFonts w:cs="Verdana"/>
          <w:color w:val="000000"/>
          <w:lang w:val="es-CR"/>
        </w:rPr>
        <w:footnoteReference w:id="273"/>
      </w:r>
      <w:r w:rsidRPr="00D13792">
        <w:rPr>
          <w:color w:val="000000"/>
          <w:lang w:val="es-CR"/>
        </w:rPr>
        <w:t>. P</w:t>
      </w:r>
      <w:r w:rsidRPr="00D13792">
        <w:rPr>
          <w:rFonts w:cs="Verdana"/>
          <w:color w:val="000000"/>
          <w:lang w:val="es-CR"/>
        </w:rPr>
        <w:t>or ello, la Corte considera particularmente problemático que el 15 de agosto de 1995 el Fiscal Distrital de Salamá ordenó el archivo del expediente No. 811-95 Of. 1ro debido a que “no aparec[ía] individualizado el imputado”</w:t>
      </w:r>
      <w:r w:rsidRPr="00D13792">
        <w:rPr>
          <w:rStyle w:val="FootnoteReference"/>
          <w:rFonts w:cs="Calibri,Bold"/>
          <w:bCs/>
          <w:lang w:val="es-CR"/>
        </w:rPr>
        <w:footnoteReference w:id="274"/>
      </w:r>
      <w:r w:rsidRPr="00D13792">
        <w:rPr>
          <w:rFonts w:cs="Verdana"/>
          <w:color w:val="000000"/>
          <w:lang w:val="es-CR"/>
        </w:rPr>
        <w:t>. El caso fue archivado solamente un mes después de la denuncia interpuesta el 12 de julio de 1995, sin que se ordenara una investigación a fin de determinar a los responsables ni localizar a las personas desaparecidas, entre ellas, Lorenzo Depaz Siprian, Leonardo Cahuec Gonzalez, Juan Mendoza Alvarado y José Cruz Mendoza Sucup.</w:t>
      </w:r>
      <w:r w:rsidRPr="00D13792">
        <w:rPr>
          <w:rFonts w:eastAsia="Calibri"/>
          <w:color w:val="000000"/>
          <w:lang w:val="es-CR"/>
        </w:rPr>
        <w:t xml:space="preserve"> Por otra parte</w:t>
      </w:r>
      <w:r w:rsidRPr="00D13792">
        <w:rPr>
          <w:color w:val="000000"/>
          <w:lang w:val="es-CR"/>
        </w:rPr>
        <w:t>, en otros cinco expedientes</w:t>
      </w:r>
      <w:r w:rsidRPr="00D13792">
        <w:rPr>
          <w:rStyle w:val="FootnoteReference"/>
          <w:color w:val="000000"/>
          <w:lang w:val="es-CR"/>
        </w:rPr>
        <w:footnoteReference w:id="275"/>
      </w:r>
      <w:r w:rsidRPr="00D13792">
        <w:rPr>
          <w:color w:val="000000"/>
          <w:lang w:val="es-CR"/>
        </w:rPr>
        <w:t xml:space="preserve">, las actuaciones se limitaron a la exhumación y, en </w:t>
      </w:r>
      <w:r w:rsidRPr="00D13792">
        <w:rPr>
          <w:rFonts w:eastAsia="Calibri"/>
          <w:color w:val="000000"/>
          <w:lang w:val="es-CR"/>
        </w:rPr>
        <w:t>algunos</w:t>
      </w:r>
      <w:r w:rsidRPr="00D13792">
        <w:rPr>
          <w:color w:val="000000"/>
          <w:lang w:val="es-CR"/>
        </w:rPr>
        <w:t xml:space="preserve"> casos, a la entrega de restos a sus familiares, pese a que los familiares solicitaron otras medidas de investigación</w:t>
      </w:r>
      <w:r w:rsidRPr="00D13792">
        <w:rPr>
          <w:rStyle w:val="FootnoteReference"/>
          <w:color w:val="000000"/>
          <w:lang w:val="es-CR"/>
        </w:rPr>
        <w:footnoteReference w:id="276"/>
      </w:r>
      <w:r w:rsidRPr="00D13792">
        <w:rPr>
          <w:color w:val="000000"/>
          <w:lang w:val="es-CR"/>
        </w:rPr>
        <w:t>. No escapa a la Corte que entre los años 1995 y 2010 se denunciaron en estos cinco expedientes</w:t>
      </w:r>
      <w:r w:rsidRPr="00D13792">
        <w:rPr>
          <w:rStyle w:val="FootnoteReference"/>
          <w:color w:val="000000"/>
          <w:lang w:val="es-CR"/>
        </w:rPr>
        <w:footnoteReference w:id="277"/>
      </w:r>
      <w:r w:rsidRPr="00D13792">
        <w:rPr>
          <w:color w:val="000000"/>
          <w:lang w:val="es-CR"/>
        </w:rPr>
        <w:t xml:space="preserve">, ejecuciones, torturas, violación sexual, desplazamiento forzado, trabajos forzosos y desapariciones. El Tribunal se referirá a este punto </w:t>
      </w:r>
      <w:r w:rsidRPr="00D13792">
        <w:rPr>
          <w:rFonts w:cs="Arial"/>
          <w:color w:val="000000"/>
          <w:lang w:val="es-CR"/>
        </w:rPr>
        <w:t xml:space="preserve">en el apartado B.2 </w:t>
      </w:r>
      <w:r w:rsidRPr="00D13792">
        <w:rPr>
          <w:rFonts w:cs="Arial"/>
          <w:i/>
          <w:color w:val="000000"/>
          <w:lang w:val="es-CR"/>
        </w:rPr>
        <w:t>infra.</w:t>
      </w:r>
      <w:r w:rsidRPr="00D13792">
        <w:rPr>
          <w:i/>
          <w:color w:val="000000"/>
          <w:lang w:val="es-CR"/>
        </w:rPr>
        <w:t xml:space="preserve"> </w:t>
      </w:r>
    </w:p>
    <w:p w:rsidR="006A0E1C" w:rsidRPr="00D13792" w:rsidRDefault="006A0E1C" w:rsidP="006A0E1C">
      <w:pPr>
        <w:pStyle w:val="Prrafodelista2"/>
        <w:tabs>
          <w:tab w:val="left" w:pos="720"/>
        </w:tabs>
        <w:ind w:left="0" w:right="-90"/>
        <w:jc w:val="both"/>
        <w:rPr>
          <w:rFonts w:eastAsia="Calibri"/>
          <w:color w:val="000000"/>
          <w:lang w:val="es-CR"/>
        </w:rPr>
      </w:pPr>
    </w:p>
    <w:p w:rsidR="006A0E1C" w:rsidRPr="00D13792" w:rsidRDefault="006A0E1C" w:rsidP="006A0E1C">
      <w:pPr>
        <w:pStyle w:val="Prrafodelista2"/>
        <w:numPr>
          <w:ilvl w:val="0"/>
          <w:numId w:val="23"/>
        </w:numPr>
        <w:tabs>
          <w:tab w:val="left" w:pos="720"/>
        </w:tabs>
        <w:ind w:right="-90"/>
        <w:jc w:val="both"/>
        <w:rPr>
          <w:rFonts w:eastAsia="Calibri"/>
          <w:color w:val="000000"/>
          <w:lang w:val="es-CR"/>
        </w:rPr>
      </w:pPr>
      <w:r w:rsidRPr="00D13792">
        <w:rPr>
          <w:rFonts w:eastAsia="Calibri"/>
          <w:color w:val="000000"/>
          <w:lang w:val="es-CR"/>
        </w:rPr>
        <w:t xml:space="preserve">En segundo lugar, este Tribunal ha registrado demoras de cinco a diez años en la realización de las exhumaciones en cementerios clandestinos solicitadas por los familiares </w:t>
      </w:r>
      <w:r w:rsidRPr="00D13792">
        <w:rPr>
          <w:rFonts w:cs="Arial"/>
          <w:color w:val="000000"/>
          <w:lang w:val="es-CR"/>
        </w:rPr>
        <w:t>de</w:t>
      </w:r>
      <w:r w:rsidRPr="00D13792">
        <w:rPr>
          <w:rFonts w:eastAsia="Calibri"/>
          <w:color w:val="000000"/>
          <w:lang w:val="es-CR"/>
        </w:rPr>
        <w:t xml:space="preserve"> las víctimas</w:t>
      </w:r>
      <w:r w:rsidRPr="00D13792">
        <w:rPr>
          <w:rStyle w:val="FootnoteReference"/>
          <w:rFonts w:eastAsia="Calibri"/>
          <w:color w:val="000000"/>
          <w:lang w:val="es-CR"/>
        </w:rPr>
        <w:footnoteReference w:id="278"/>
      </w:r>
      <w:r w:rsidRPr="00D13792">
        <w:rPr>
          <w:rFonts w:cs="Arial"/>
          <w:color w:val="000000"/>
          <w:lang w:val="es-CR"/>
        </w:rPr>
        <w:t xml:space="preserve">. Lo anterior, pese a que los familiares señalaron los lugares donde se encontrarían </w:t>
      </w:r>
      <w:r w:rsidRPr="00D13792">
        <w:rPr>
          <w:rFonts w:cs="Arial"/>
          <w:color w:val="000000"/>
          <w:lang w:val="es-CR"/>
        </w:rPr>
        <w:lastRenderedPageBreak/>
        <w:t xml:space="preserve">enterradas dichas personas. Asimismo, </w:t>
      </w:r>
      <w:r w:rsidRPr="00D13792">
        <w:rPr>
          <w:rFonts w:eastAsia="Calibri"/>
          <w:color w:val="000000"/>
          <w:lang w:val="es-CR"/>
        </w:rPr>
        <w:t xml:space="preserve">los restos del señor Elías </w:t>
      </w:r>
      <w:r w:rsidRPr="00D13792">
        <w:rPr>
          <w:rStyle w:val="CommentReference"/>
          <w:rFonts w:cs="Arial"/>
          <w:color w:val="000000"/>
          <w:sz w:val="20"/>
          <w:szCs w:val="20"/>
          <w:lang w:val="es-CR"/>
        </w:rPr>
        <w:t xml:space="preserve">Milián Gonzalez fueron entregados a su hija, la señora Tarcila Milián, por el Auxiliar </w:t>
      </w:r>
      <w:r w:rsidRPr="00D13792">
        <w:rPr>
          <w:rFonts w:cs="Arial"/>
          <w:lang w:val="es-CR"/>
        </w:rPr>
        <w:t>Fiscal de la Fiscalía Municipal del Ministerio Público de Rabinal</w:t>
      </w:r>
      <w:r w:rsidRPr="00D13792">
        <w:rPr>
          <w:rStyle w:val="CommentReference"/>
          <w:rFonts w:cs="Arial"/>
          <w:color w:val="000000"/>
          <w:sz w:val="20"/>
          <w:szCs w:val="20"/>
          <w:lang w:val="es-CR"/>
        </w:rPr>
        <w:t xml:space="preserve"> el 18 de abril de 2012</w:t>
      </w:r>
      <w:r w:rsidRPr="00D13792">
        <w:rPr>
          <w:rStyle w:val="FootnoteReference"/>
          <w:rFonts w:cs="Arial"/>
          <w:lang w:val="es-CR"/>
        </w:rPr>
        <w:footnoteReference w:id="279"/>
      </w:r>
      <w:r w:rsidRPr="00D13792">
        <w:rPr>
          <w:rStyle w:val="CommentReference"/>
          <w:rFonts w:cs="Arial"/>
          <w:color w:val="000000"/>
          <w:sz w:val="20"/>
          <w:szCs w:val="20"/>
          <w:lang w:val="es-CR"/>
        </w:rPr>
        <w:t>, 10 meses después de que ya habían sido exhumados e identificados</w:t>
      </w:r>
      <w:r w:rsidRPr="00D13792">
        <w:rPr>
          <w:rStyle w:val="FootnoteReference"/>
          <w:lang w:val="es-CR"/>
        </w:rPr>
        <w:footnoteReference w:id="280"/>
      </w:r>
      <w:r w:rsidRPr="00D13792">
        <w:rPr>
          <w:rStyle w:val="CommentReference"/>
          <w:rFonts w:cs="Arial"/>
          <w:color w:val="000000"/>
          <w:sz w:val="20"/>
          <w:szCs w:val="20"/>
          <w:lang w:val="es-CR"/>
        </w:rPr>
        <w:t xml:space="preserve">, sin que se desprenda del expediente la razón de dicha demora. </w:t>
      </w:r>
      <w:r w:rsidRPr="00D13792">
        <w:rPr>
          <w:rFonts w:cs="Arial"/>
          <w:color w:val="000000"/>
          <w:lang w:val="es-CR"/>
        </w:rPr>
        <w:t>Por otra parte, pese a que en abril de 2006 el señor Miguel Chen Tahuico manifestó a la Fiscalía del Ministerio Público de Rabinal que no pudo enterrar a su hijo en un cementerio legal debido a la “intensa persecución” que sufrió, y que además señaló dónde lo enterró y solicitó su exhumación, no se registra que dicha solicitud haya sido atendida</w:t>
      </w:r>
      <w:r w:rsidRPr="00D13792">
        <w:rPr>
          <w:rStyle w:val="FootnoteReference"/>
          <w:rFonts w:cs="Arial"/>
          <w:color w:val="000000"/>
          <w:lang w:val="es-CR"/>
        </w:rPr>
        <w:footnoteReference w:id="281"/>
      </w:r>
      <w:r w:rsidRPr="00D13792">
        <w:rPr>
          <w:rFonts w:cs="Arial"/>
          <w:color w:val="000000"/>
          <w:lang w:val="es-CR"/>
        </w:rPr>
        <w:t xml:space="preserve">. </w:t>
      </w:r>
      <w:r w:rsidRPr="00D13792">
        <w:rPr>
          <w:color w:val="000000"/>
          <w:lang w:val="es-CR" w:eastAsia="es-ES"/>
        </w:rPr>
        <w:t>De todo lo anterior se desprende que las exhumaciones realizadas se han llevado a cabo a partir de solicitudes y denuncias hechas por familiares de las víctimas, y que la iniciativa del Estado para la búsqueda e identificación de víctimas ha sido mínima.</w:t>
      </w:r>
    </w:p>
    <w:p w:rsidR="006A0E1C" w:rsidRPr="00D13792" w:rsidRDefault="006A0E1C" w:rsidP="006A0E1C">
      <w:pPr>
        <w:pStyle w:val="ListParagraph"/>
        <w:autoSpaceDE w:val="0"/>
        <w:autoSpaceDN w:val="0"/>
        <w:adjustRightInd w:val="0"/>
        <w:spacing w:after="0" w:line="240" w:lineRule="auto"/>
        <w:ind w:left="0"/>
        <w:jc w:val="both"/>
        <w:rPr>
          <w:rFonts w:ascii="Verdana" w:eastAsia="Calibri"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cs="Verdana"/>
          <w:color w:val="000000"/>
          <w:lang w:val="es-CR"/>
        </w:rPr>
      </w:pPr>
      <w:r w:rsidRPr="00D13792">
        <w:rPr>
          <w:color w:val="000000"/>
          <w:lang w:val="es-CR" w:eastAsia="es-ES"/>
        </w:rPr>
        <w:t xml:space="preserve">Al respecto, </w:t>
      </w:r>
      <w:r w:rsidRPr="00D13792">
        <w:rPr>
          <w:rFonts w:cs="Verdana"/>
          <w:color w:val="000000"/>
          <w:lang w:val="es-CR"/>
        </w:rPr>
        <w:t xml:space="preserve">la Corte recuerda que el paso del tiempo guarda una relación directamente proporcional con la limitación –y en algunos casos, la imposibilidad- para obtener las pruebas y/o testimonios, </w:t>
      </w:r>
      <w:r w:rsidRPr="00D13792">
        <w:rPr>
          <w:rFonts w:eastAsia="Calibri"/>
          <w:color w:val="000000"/>
          <w:lang w:val="es-CR"/>
        </w:rPr>
        <w:t>dificultando</w:t>
      </w:r>
      <w:r w:rsidRPr="00D13792">
        <w:rPr>
          <w:rFonts w:cs="Verdana"/>
          <w:color w:val="000000"/>
          <w:lang w:val="es-CR"/>
        </w:rPr>
        <w:t xml:space="preserve"> y aún tornando nugatoria o ineficaz, la práctica de diligencias probatorias a fin de esclarecer los hechos materia de investigación, identificar a los posibles autores y partícipes, y determinar las eventuales responsabilidades penales. Sin perjuicio de </w:t>
      </w:r>
      <w:r w:rsidRPr="00D13792">
        <w:rPr>
          <w:rFonts w:cs="Verdana"/>
          <w:color w:val="000000"/>
          <w:lang w:val="es-CR"/>
        </w:rPr>
        <w:lastRenderedPageBreak/>
        <w:t>ello, las autoridades nacionales no están eximidas de realizar todos los esfuerzos necesarios en cumplimiento de su obligación de investigar</w:t>
      </w:r>
      <w:r w:rsidRPr="00D13792">
        <w:rPr>
          <w:rStyle w:val="FootnoteReference"/>
          <w:color w:val="000000"/>
          <w:lang w:val="es-CR"/>
        </w:rPr>
        <w:footnoteReference w:id="282"/>
      </w:r>
      <w:r w:rsidRPr="00D13792">
        <w:rPr>
          <w:rFonts w:cs="Verdana"/>
          <w:color w:val="000000"/>
          <w:lang w:val="es-CR"/>
        </w:rPr>
        <w:t xml:space="preserve">. </w:t>
      </w:r>
    </w:p>
    <w:p w:rsidR="006A0E1C" w:rsidRPr="00D13792" w:rsidRDefault="006A0E1C" w:rsidP="006A0E1C">
      <w:pPr>
        <w:pStyle w:val="ListParagraph"/>
        <w:autoSpaceDE w:val="0"/>
        <w:autoSpaceDN w:val="0"/>
        <w:adjustRightInd w:val="0"/>
        <w:spacing w:after="0" w:line="240" w:lineRule="auto"/>
        <w:ind w:left="0" w:right="-138"/>
        <w:contextualSpacing w:val="0"/>
        <w:jc w:val="both"/>
        <w:rPr>
          <w:rFonts w:ascii="Verdana" w:hAnsi="Verdana"/>
          <w:b/>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Calibri"/>
          <w:color w:val="000000"/>
          <w:lang w:val="es-CR"/>
        </w:rPr>
      </w:pPr>
      <w:r w:rsidRPr="00D13792">
        <w:rPr>
          <w:rFonts w:eastAsia="Calibri"/>
          <w:color w:val="000000"/>
          <w:lang w:val="es-CR"/>
        </w:rPr>
        <w:t>En tercer lugar, el Tribunal observa que en febrero de 2003 se entregaron las trece</w:t>
      </w:r>
      <w:r w:rsidRPr="00D13792">
        <w:rPr>
          <w:rStyle w:val="FootnoteReference"/>
          <w:lang w:val="es-CR"/>
        </w:rPr>
        <w:footnoteReference w:id="283"/>
      </w:r>
      <w:r w:rsidRPr="00D13792">
        <w:rPr>
          <w:rFonts w:eastAsia="Calibri"/>
          <w:color w:val="000000"/>
          <w:lang w:val="es-CR"/>
        </w:rPr>
        <w:t xml:space="preserve"> osamentas recuperadas en la exhumación de abril de 2002</w:t>
      </w:r>
      <w:r w:rsidRPr="00D13792">
        <w:rPr>
          <w:rStyle w:val="FootnoteReference"/>
          <w:lang w:val="es-CR"/>
        </w:rPr>
        <w:footnoteReference w:id="284"/>
      </w:r>
      <w:r w:rsidRPr="00D13792">
        <w:rPr>
          <w:rFonts w:eastAsia="Calibri"/>
          <w:color w:val="000000"/>
          <w:lang w:val="es-CR"/>
        </w:rPr>
        <w:t xml:space="preserve"> a Francisco Sic y a Máxima Emiliana García Valey, pese a que únicamente dos de estas osamentas correspondían a sus familiares</w:t>
      </w:r>
      <w:r w:rsidRPr="00D13792">
        <w:rPr>
          <w:rStyle w:val="FootnoteReference"/>
          <w:lang w:val="es-CR"/>
        </w:rPr>
        <w:footnoteReference w:id="285"/>
      </w:r>
      <w:r w:rsidRPr="00D13792">
        <w:rPr>
          <w:rFonts w:eastAsia="Calibri"/>
          <w:color w:val="000000"/>
          <w:lang w:val="es-CR"/>
        </w:rPr>
        <w:t xml:space="preserve">. </w:t>
      </w:r>
      <w:r w:rsidRPr="00D13792">
        <w:rPr>
          <w:rFonts w:cs="Verdana"/>
          <w:color w:val="000000"/>
          <w:spacing w:val="-2"/>
          <w:lang w:val="es-CR"/>
        </w:rPr>
        <w:t xml:space="preserve">La Corte </w:t>
      </w:r>
      <w:r w:rsidRPr="00D13792">
        <w:rPr>
          <w:rFonts w:eastAsia="Calibri"/>
          <w:color w:val="000000"/>
          <w:lang w:val="es-CR"/>
        </w:rPr>
        <w:t>recuerda</w:t>
      </w:r>
      <w:r w:rsidRPr="00D13792">
        <w:rPr>
          <w:rFonts w:cs="Verdana"/>
          <w:color w:val="000000"/>
          <w:spacing w:val="-2"/>
          <w:lang w:val="es-CR"/>
        </w:rPr>
        <w:t xml:space="preserve"> que recibir el cuerpo de una persona fallecida es de suma importancia para sus familiares, ya que les permite sepultarlo de acuerdo a sus creencias, así como cerrar el proceso de duelo</w:t>
      </w:r>
      <w:r w:rsidRPr="00D13792">
        <w:rPr>
          <w:color w:val="000000"/>
          <w:spacing w:val="-2"/>
          <w:vertAlign w:val="superscript"/>
          <w:lang w:val="es-CR"/>
        </w:rPr>
        <w:footnoteReference w:id="286"/>
      </w:r>
      <w:r w:rsidRPr="00D13792">
        <w:rPr>
          <w:rFonts w:cs="Verdana"/>
          <w:color w:val="000000"/>
          <w:spacing w:val="-2"/>
          <w:lang w:val="es-CR"/>
        </w:rPr>
        <w:t>.</w:t>
      </w:r>
      <w:r w:rsidRPr="00D13792">
        <w:rPr>
          <w:rFonts w:eastAsia="Calibri"/>
          <w:color w:val="000000"/>
          <w:lang w:val="es-CR"/>
        </w:rPr>
        <w:t xml:space="preserve"> Si bien Francisco Sic y Máxima Emiliana García Valey</w:t>
      </w:r>
      <w:r w:rsidRPr="00D13792" w:rsidDel="00433941">
        <w:rPr>
          <w:rFonts w:eastAsia="Calibri"/>
          <w:color w:val="000000"/>
          <w:lang w:val="es-CR"/>
        </w:rPr>
        <w:t xml:space="preserve"> </w:t>
      </w:r>
      <w:r w:rsidRPr="00D13792">
        <w:rPr>
          <w:rFonts w:eastAsia="Calibri"/>
          <w:color w:val="000000"/>
          <w:lang w:val="es-CR"/>
        </w:rPr>
        <w:t>se “compromet[ieron] a entregar a los otros familiares las osamentas”</w:t>
      </w:r>
      <w:r w:rsidRPr="00D13792">
        <w:rPr>
          <w:rStyle w:val="FootnoteReference"/>
          <w:lang w:val="es-CR"/>
        </w:rPr>
        <w:footnoteReference w:id="287"/>
      </w:r>
      <w:r w:rsidRPr="00D13792">
        <w:rPr>
          <w:rFonts w:eastAsia="Calibri"/>
          <w:color w:val="000000"/>
          <w:lang w:val="es-CR"/>
        </w:rPr>
        <w:t>, la Corte considera que esta era una obligación del Estado que no podía ser delegada a terceras personas</w:t>
      </w:r>
      <w:r w:rsidRPr="00D13792">
        <w:rPr>
          <w:rStyle w:val="FootnoteReference"/>
          <w:rFonts w:eastAsia="Calibri"/>
          <w:color w:val="000000"/>
          <w:lang w:val="es-CR"/>
        </w:rPr>
        <w:footnoteReference w:id="288"/>
      </w:r>
      <w:r w:rsidRPr="00D13792">
        <w:rPr>
          <w:rFonts w:eastAsia="Calibri"/>
          <w:color w:val="000000"/>
          <w:lang w:val="es-CR"/>
        </w:rPr>
        <w:t xml:space="preserve">. </w:t>
      </w:r>
    </w:p>
    <w:p w:rsidR="006A0E1C" w:rsidRPr="00D13792" w:rsidRDefault="006A0E1C" w:rsidP="006A0E1C">
      <w:pPr>
        <w:spacing w:line="240" w:lineRule="auto"/>
        <w:ind w:left="-142" w:right="-138"/>
        <w:rPr>
          <w:b/>
          <w:color w:val="000000"/>
          <w:sz w:val="20"/>
          <w:szCs w:val="20"/>
        </w:rPr>
      </w:pPr>
    </w:p>
    <w:p w:rsidR="006A0E1C" w:rsidRPr="00D13792" w:rsidRDefault="006A0E1C" w:rsidP="006A0E1C">
      <w:pPr>
        <w:pStyle w:val="Prrafodelista2"/>
        <w:numPr>
          <w:ilvl w:val="0"/>
          <w:numId w:val="23"/>
        </w:numPr>
        <w:tabs>
          <w:tab w:val="left" w:pos="720"/>
        </w:tabs>
        <w:ind w:right="-90"/>
        <w:jc w:val="both"/>
        <w:rPr>
          <w:color w:val="000000"/>
          <w:lang w:val="es-CR"/>
        </w:rPr>
      </w:pPr>
      <w:r w:rsidRPr="00D13792">
        <w:rPr>
          <w:rFonts w:eastAsia="Calibri"/>
          <w:color w:val="000000"/>
          <w:lang w:val="es-CR"/>
        </w:rPr>
        <w:t>En cuarto lugar, no consta en el expediente ante este Tribunal que se haya realizado alguna diligencia adicional dirigida a identificar a cinco personas cuyas osamentas fueron exhumadas en abril de 2002</w:t>
      </w:r>
      <w:r w:rsidRPr="00D13792">
        <w:rPr>
          <w:rStyle w:val="FootnoteReference"/>
          <w:rFonts w:eastAsia="Calibri"/>
          <w:color w:val="000000"/>
          <w:lang w:val="es-CR"/>
        </w:rPr>
        <w:footnoteReference w:id="289"/>
      </w:r>
      <w:r w:rsidRPr="00D13792">
        <w:rPr>
          <w:rFonts w:eastAsia="Calibri"/>
          <w:color w:val="000000"/>
          <w:lang w:val="es-CR"/>
        </w:rPr>
        <w:t>, mayo de 2007</w:t>
      </w:r>
      <w:r w:rsidRPr="00D13792">
        <w:rPr>
          <w:rStyle w:val="FootnoteReference"/>
          <w:lang w:val="es-CR"/>
        </w:rPr>
        <w:footnoteReference w:id="290"/>
      </w:r>
      <w:r w:rsidRPr="00D13792">
        <w:rPr>
          <w:rFonts w:eastAsia="Calibri"/>
          <w:color w:val="000000"/>
          <w:lang w:val="es-CR"/>
        </w:rPr>
        <w:t xml:space="preserve"> y marzo de 2013</w:t>
      </w:r>
      <w:r w:rsidRPr="00D13792">
        <w:rPr>
          <w:rStyle w:val="FootnoteReference"/>
          <w:rFonts w:eastAsia="Calibri"/>
          <w:color w:val="000000"/>
          <w:lang w:val="es-CR"/>
        </w:rPr>
        <w:footnoteReference w:id="291"/>
      </w:r>
      <w:r w:rsidRPr="00D13792">
        <w:rPr>
          <w:rFonts w:eastAsia="Calibri"/>
          <w:color w:val="000000"/>
          <w:lang w:val="es-CR"/>
        </w:rPr>
        <w:t xml:space="preserve"> pero no identificadas en dichas ocasiones. Tampoco constan actuaciones posteriores a dicha exhumación de marzo de 2013, realizada dentro del marco del expediente No. M.P. 247-1997-1378 ante la Fiscalía Distrital del Ministerio Público de Salamá, dirigidas a encontrar a Gregorio (o Gorgonio) Gonzales Gonzales,</w:t>
      </w:r>
      <w:r w:rsidRPr="00D13792" w:rsidDel="00D11FC7">
        <w:rPr>
          <w:rFonts w:eastAsia="Calibri"/>
          <w:color w:val="000000"/>
          <w:lang w:val="es-CR"/>
        </w:rPr>
        <w:t xml:space="preserve"> </w:t>
      </w:r>
      <w:r w:rsidRPr="00D13792">
        <w:rPr>
          <w:rFonts w:cs="Arial"/>
          <w:lang w:val="es-CR"/>
        </w:rPr>
        <w:t>Gabino Román,</w:t>
      </w:r>
      <w:r w:rsidRPr="00D13792" w:rsidDel="00D11FC7">
        <w:rPr>
          <w:rFonts w:eastAsia="Calibri"/>
          <w:color w:val="000000"/>
          <w:lang w:val="es-CR"/>
        </w:rPr>
        <w:t xml:space="preserve"> </w:t>
      </w:r>
      <w:r w:rsidRPr="00D13792">
        <w:rPr>
          <w:rFonts w:cs="Arial"/>
          <w:lang w:val="es-CR"/>
        </w:rPr>
        <w:t>Cruz Pérez Amperez,</w:t>
      </w:r>
      <w:r w:rsidRPr="00D13792" w:rsidDel="00D11FC7">
        <w:rPr>
          <w:rFonts w:eastAsia="Calibri"/>
          <w:color w:val="000000"/>
          <w:lang w:val="es-CR"/>
        </w:rPr>
        <w:t xml:space="preserve"> </w:t>
      </w:r>
      <w:r w:rsidRPr="00D13792">
        <w:rPr>
          <w:rFonts w:cs="Arial"/>
          <w:lang w:val="es-CR"/>
        </w:rPr>
        <w:t>Eustaquio Ixtecoc y Rafael Depaz. Más aún, en el “Dictamen Pericial de la Investigación Antropológico Forense llevada a cabo en el Cementerio San Francisco, Aldea Chuateguá”, presentada por la FAFG al Ministerio Público en diciembre de 2014 dentro de dicho proceso, no se menciona que se haya buscado al señor Dionicio Bachán en las exhumaciones de marzo de 2012 o marzo de 2013, pese a que su desaparición también fue denunciada el 8 de mayo de 2003 en dicho expediente</w:t>
      </w:r>
      <w:r w:rsidRPr="00D13792">
        <w:rPr>
          <w:rFonts w:eastAsia="Calibri"/>
          <w:color w:val="000000"/>
          <w:lang w:val="es-CR"/>
        </w:rPr>
        <w:t xml:space="preserve"> No. M.P. 247-</w:t>
      </w:r>
      <w:r w:rsidRPr="00D13792">
        <w:rPr>
          <w:rFonts w:eastAsia="Calibri"/>
          <w:color w:val="000000"/>
          <w:lang w:val="es-CR"/>
        </w:rPr>
        <w:lastRenderedPageBreak/>
        <w:t>1997-1378</w:t>
      </w:r>
      <w:r w:rsidRPr="00D13792">
        <w:rPr>
          <w:rStyle w:val="FootnoteReference"/>
          <w:lang w:val="es-CR"/>
        </w:rPr>
        <w:footnoteReference w:id="292"/>
      </w:r>
      <w:r w:rsidRPr="00D13792">
        <w:rPr>
          <w:rFonts w:cs="Arial"/>
          <w:lang w:val="es-CR"/>
        </w:rPr>
        <w:t>. Por otra parte, el Tribunal no cuenta con información sobre las acciones dirigidas a encontrar a Pedro Siana, Casimiro Siana, Juan Pérez Sic, María Concepción Chen Sic, Marcelo Sic Chen, Jorge Galeano Román y Enrique Mendoza Sis, todos ellos víctimas de desaparición forzada (</w:t>
      </w:r>
      <w:r w:rsidRPr="00D13792">
        <w:rPr>
          <w:rFonts w:cs="Arial"/>
          <w:i/>
          <w:lang w:val="es-CR"/>
        </w:rPr>
        <w:t xml:space="preserve">supra </w:t>
      </w:r>
      <w:r w:rsidRPr="00D13792">
        <w:rPr>
          <w:rFonts w:cs="Arial"/>
          <w:lang w:val="es-CR"/>
        </w:rPr>
        <w:t xml:space="preserve">párrs. 148, 156 y 160). </w:t>
      </w:r>
      <w:r w:rsidRPr="00D13792">
        <w:rPr>
          <w:color w:val="000000"/>
          <w:lang w:val="es-CR"/>
        </w:rPr>
        <w:t>El Tribunal considera que ello continúa acrecentando la incertidumbre de los familiares sobre el paradero de las víctimas, lo que cual afecta su derecho a conocer lo sucedido a éstas.</w:t>
      </w:r>
    </w:p>
    <w:p w:rsidR="006A0E1C" w:rsidRPr="00D13792" w:rsidRDefault="006A0E1C" w:rsidP="006A0E1C">
      <w:pPr>
        <w:pStyle w:val="ListParagraph"/>
        <w:autoSpaceDE w:val="0"/>
        <w:autoSpaceDN w:val="0"/>
        <w:adjustRightInd w:val="0"/>
        <w:spacing w:after="0" w:line="240" w:lineRule="auto"/>
        <w:jc w:val="both"/>
        <w:rPr>
          <w:rFonts w:ascii="Verdana" w:hAnsi="Verdana" w:cs="Arial"/>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cs="Calibri,Bold"/>
          <w:bCs/>
          <w:color w:val="000000"/>
          <w:lang w:val="es-CR"/>
        </w:rPr>
      </w:pPr>
      <w:r w:rsidRPr="00D13792">
        <w:rPr>
          <w:rFonts w:cs="Calibri,Bold"/>
          <w:bCs/>
          <w:color w:val="000000"/>
          <w:lang w:val="es-CR"/>
        </w:rPr>
        <w:t>En quinto lugar, las primeras diligencias dirigidas a la determinación de los responsables dentro del expediente No. 802-95 Of. 6to ante la Fiscal Distrital del Ministerio Público de Salamá tuvieron lugar en febrero de 2010, es decir, 15 años después de interpuestas las denuncias de ejecuciones, desapariciones, detención arbitraria, trabajos forzosos, así como violación sexual que constan en el mismo</w:t>
      </w:r>
      <w:r w:rsidRPr="00D13792">
        <w:rPr>
          <w:rStyle w:val="FootnoteReference"/>
          <w:rFonts w:cs="Calibri,Bold"/>
          <w:bCs/>
          <w:color w:val="000000"/>
          <w:lang w:val="es-CR"/>
        </w:rPr>
        <w:footnoteReference w:id="293"/>
      </w:r>
      <w:r w:rsidRPr="00D13792">
        <w:rPr>
          <w:rFonts w:cs="Calibri,Bold"/>
          <w:bCs/>
          <w:color w:val="000000"/>
          <w:lang w:val="es-CR"/>
        </w:rPr>
        <w:t>. Asimismo, las diez personas investigadas por el Ministerio Público a partir de esta fecha pertenecían a las PAC, y no consta que se haya investigado a algún miembro del Ejército guatemalteco</w:t>
      </w:r>
      <w:r w:rsidRPr="00D13792">
        <w:rPr>
          <w:rStyle w:val="FootnoteReference"/>
          <w:rFonts w:cs="Calibri,Bold"/>
          <w:bCs/>
          <w:color w:val="000000"/>
          <w:lang w:val="es-CR"/>
        </w:rPr>
        <w:footnoteReference w:id="294"/>
      </w:r>
      <w:r w:rsidRPr="00D13792">
        <w:rPr>
          <w:rFonts w:cs="Calibri,Bold"/>
          <w:bCs/>
          <w:color w:val="000000"/>
          <w:lang w:val="es-CR"/>
        </w:rPr>
        <w:t>, pese a que las denuncias interpuestas también señalaban la participación de estos</w:t>
      </w:r>
      <w:r w:rsidRPr="00D13792">
        <w:rPr>
          <w:rStyle w:val="FootnoteReference"/>
          <w:rFonts w:cs="Arial"/>
          <w:lang w:val="es-CR"/>
        </w:rPr>
        <w:footnoteReference w:id="295"/>
      </w:r>
      <w:r w:rsidRPr="00D13792">
        <w:rPr>
          <w:rFonts w:cs="Calibri,Bold"/>
          <w:bCs/>
          <w:color w:val="000000"/>
          <w:lang w:val="es-CR"/>
        </w:rPr>
        <w:t>. Por otra parte, solo se tomó la declaración de una de las personas investigadas</w:t>
      </w:r>
      <w:r w:rsidRPr="00D13792">
        <w:rPr>
          <w:rStyle w:val="FootnoteReference"/>
          <w:rFonts w:cs="Arial"/>
          <w:lang w:val="es-CR"/>
        </w:rPr>
        <w:footnoteReference w:id="296"/>
      </w:r>
      <w:r w:rsidRPr="00D13792">
        <w:rPr>
          <w:rFonts w:cs="Calibri,Bold"/>
          <w:bCs/>
          <w:color w:val="000000"/>
          <w:lang w:val="es-CR"/>
        </w:rPr>
        <w:t>, dos de estas fallecieron y no constan diligencias adicionales dirigidas a ubicar a las demás</w:t>
      </w:r>
      <w:r w:rsidRPr="00D13792">
        <w:rPr>
          <w:rStyle w:val="FootnoteReference"/>
          <w:rFonts w:cs="Arial"/>
          <w:lang w:val="es-CR"/>
        </w:rPr>
        <w:footnoteReference w:id="297"/>
      </w:r>
      <w:r w:rsidRPr="00D13792">
        <w:rPr>
          <w:rFonts w:cs="Calibri,Bold"/>
          <w:bCs/>
          <w:color w:val="000000"/>
          <w:lang w:val="es-CR"/>
        </w:rPr>
        <w:t xml:space="preserve">. </w:t>
      </w:r>
      <w:r w:rsidRPr="00D13792">
        <w:rPr>
          <w:rFonts w:eastAsia="Times New Roman" w:cs="Arial"/>
          <w:lang w:val="es-CR" w:eastAsia="es-CR" w:bidi="ar-SA"/>
        </w:rPr>
        <w:t xml:space="preserve">Los días 17 de julio y 4 de octubre de 2013 el Auxiliar Fiscal de </w:t>
      </w:r>
      <w:r w:rsidRPr="00D13792">
        <w:rPr>
          <w:rFonts w:cs="Arial"/>
          <w:lang w:val="es-CR"/>
        </w:rPr>
        <w:t>la Fiscalía Distrital</w:t>
      </w:r>
      <w:r w:rsidRPr="00D13792">
        <w:rPr>
          <w:rFonts w:eastAsia="Times New Roman" w:cs="Arial"/>
          <w:lang w:val="es-CR" w:eastAsia="es-CR" w:bidi="ar-SA"/>
        </w:rPr>
        <w:t xml:space="preserve"> informó a la COPREDEH que </w:t>
      </w:r>
      <w:r w:rsidRPr="00D13792">
        <w:rPr>
          <w:rFonts w:cs="Arial"/>
          <w:lang w:val="es-CR"/>
        </w:rPr>
        <w:t xml:space="preserve">los procesos tramitados ante esta </w:t>
      </w:r>
      <w:r w:rsidRPr="00D13792">
        <w:rPr>
          <w:rFonts w:eastAsia="Times New Roman" w:cs="Arial"/>
          <w:lang w:val="es-CR" w:eastAsia="es-CR" w:bidi="ar-SA"/>
        </w:rPr>
        <w:t>“se enc[ontraban] en fase de investigación”</w:t>
      </w:r>
      <w:r w:rsidRPr="00D13792">
        <w:rPr>
          <w:rFonts w:eastAsia="Times New Roman" w:cs="Arial"/>
          <w:vertAlign w:val="superscript"/>
          <w:lang w:val="es-CR" w:eastAsia="es-CR" w:bidi="ar-SA"/>
        </w:rPr>
        <w:footnoteReference w:id="298"/>
      </w:r>
      <w:r w:rsidRPr="00D13792">
        <w:rPr>
          <w:rFonts w:eastAsia="Times New Roman" w:cs="Arial"/>
          <w:lang w:val="es-CR" w:eastAsia="es-CR" w:bidi="ar-SA"/>
        </w:rPr>
        <w:t xml:space="preserve">. No consta en la prueba ante esta Corte alguna actuación posterior. </w:t>
      </w:r>
      <w:r w:rsidRPr="00D13792">
        <w:rPr>
          <w:rFonts w:cs="Arial"/>
          <w:color w:val="000000"/>
          <w:lang w:val="es-CR"/>
        </w:rPr>
        <w:t xml:space="preserve">Este punto será abordado también en el apartado B.2 </w:t>
      </w:r>
      <w:r w:rsidRPr="00D13792">
        <w:rPr>
          <w:rFonts w:cs="Arial"/>
          <w:i/>
          <w:color w:val="000000"/>
          <w:lang w:val="es-CR"/>
        </w:rPr>
        <w:t>infra.</w:t>
      </w:r>
    </w:p>
    <w:p w:rsidR="006A0E1C" w:rsidRPr="00D13792" w:rsidRDefault="006A0E1C" w:rsidP="006A0E1C">
      <w:pPr>
        <w:pStyle w:val="Prrafodelista2"/>
        <w:tabs>
          <w:tab w:val="left" w:pos="720"/>
        </w:tabs>
        <w:ind w:left="0" w:right="-90"/>
        <w:jc w:val="both"/>
        <w:rPr>
          <w:rFonts w:cs="Calibri,Bold"/>
          <w:bCs/>
          <w:color w:val="000000"/>
          <w:lang w:val="es-CR"/>
        </w:rPr>
      </w:pPr>
    </w:p>
    <w:p w:rsidR="006A0E1C" w:rsidRPr="00D13792" w:rsidRDefault="006A0E1C" w:rsidP="006A0E1C">
      <w:pPr>
        <w:pStyle w:val="Prrafodelista2"/>
        <w:numPr>
          <w:ilvl w:val="0"/>
          <w:numId w:val="23"/>
        </w:numPr>
        <w:tabs>
          <w:tab w:val="left" w:pos="720"/>
        </w:tabs>
        <w:ind w:right="-90"/>
        <w:jc w:val="both"/>
        <w:rPr>
          <w:rFonts w:cs="Calibri,Bold"/>
          <w:bCs/>
          <w:color w:val="000000"/>
          <w:lang w:val="es-CR"/>
        </w:rPr>
      </w:pPr>
      <w:r w:rsidRPr="00D13792">
        <w:rPr>
          <w:rFonts w:eastAsia="Calibri"/>
          <w:color w:val="000000"/>
          <w:lang w:val="es-CR"/>
        </w:rPr>
        <w:t>En sexto lugar, el Tribunal observa que, dentro del Expediente M.P. 247-2006-441, en el que se denunció la desaparición de familiares de Juana García Depaz</w:t>
      </w:r>
      <w:r w:rsidRPr="00D13792">
        <w:rPr>
          <w:rStyle w:val="FootnoteReference"/>
          <w:rFonts w:eastAsia="Calibri"/>
          <w:color w:val="000000"/>
          <w:lang w:val="es-CR"/>
        </w:rPr>
        <w:footnoteReference w:id="299"/>
      </w:r>
      <w:r w:rsidRPr="00D13792">
        <w:rPr>
          <w:rFonts w:eastAsia="Calibri"/>
          <w:color w:val="000000"/>
          <w:lang w:val="es-CR"/>
        </w:rPr>
        <w:t>, e</w:t>
      </w:r>
      <w:r w:rsidRPr="00D13792">
        <w:rPr>
          <w:rFonts w:cs="Calibri,Bold"/>
          <w:bCs/>
          <w:color w:val="000000"/>
          <w:lang w:val="es-CR"/>
        </w:rPr>
        <w:t xml:space="preserve">l 18 de julio de 2013 el </w:t>
      </w:r>
      <w:r w:rsidRPr="00D13792">
        <w:rPr>
          <w:rStyle w:val="CommentReference"/>
          <w:rFonts w:cs="Arial"/>
          <w:color w:val="000000"/>
          <w:sz w:val="20"/>
          <w:szCs w:val="20"/>
          <w:lang w:val="es-CR"/>
        </w:rPr>
        <w:t xml:space="preserve">Auxiliar Fiscal I solicitó al Juez de Primera Instancia Penal que se tomara la declaración testimonial de aquella con carácter de anticipo de prueba, </w:t>
      </w:r>
      <w:r w:rsidRPr="00D13792">
        <w:rPr>
          <w:rStyle w:val="CommentReference"/>
          <w:rFonts w:cs="Arial"/>
          <w:sz w:val="20"/>
          <w:szCs w:val="20"/>
          <w:lang w:val="es-CR"/>
        </w:rPr>
        <w:t xml:space="preserve">y que esta se considerara “como acto definitivo el cual en su momento no se podrá reproducir en debate debido a la edad avanzada” </w:t>
      </w:r>
      <w:r w:rsidRPr="00D13792">
        <w:rPr>
          <w:rStyle w:val="CommentReference"/>
          <w:rFonts w:cs="Arial"/>
          <w:sz w:val="20"/>
          <w:szCs w:val="20"/>
          <w:lang w:val="es-CR"/>
        </w:rPr>
        <w:lastRenderedPageBreak/>
        <w:t>de la señora García</w:t>
      </w:r>
      <w:r w:rsidRPr="00D13792">
        <w:rPr>
          <w:rStyle w:val="FootnoteReference"/>
          <w:rFonts w:cs="Arial"/>
          <w:lang w:val="es-CR"/>
        </w:rPr>
        <w:footnoteReference w:id="300"/>
      </w:r>
      <w:r w:rsidRPr="00D13792">
        <w:rPr>
          <w:rStyle w:val="CommentReference"/>
          <w:rFonts w:cs="Arial"/>
          <w:color w:val="000000"/>
          <w:sz w:val="20"/>
          <w:szCs w:val="20"/>
          <w:lang w:val="es-CR"/>
        </w:rPr>
        <w:t xml:space="preserve">. Sin embargo, no consta dentro el expediente si el Juez atendió esta solicitud. Por otro lado, en marzo de 2015, es decir, casi dos años después, el Auxiliar Fiscal I envió un oficio al Director de las Oficinas de Control Migratorio y </w:t>
      </w:r>
      <w:r w:rsidRPr="00D13792">
        <w:rPr>
          <w:rFonts w:cs="Calibri,Bold"/>
          <w:bCs/>
          <w:color w:val="000000"/>
          <w:lang w:val="es-CR"/>
        </w:rPr>
        <w:t xml:space="preserve">a la Dirección </w:t>
      </w:r>
      <w:r w:rsidRPr="00D13792">
        <w:rPr>
          <w:rFonts w:eastAsia="Calibri"/>
          <w:color w:val="000000"/>
          <w:lang w:val="es-CR"/>
        </w:rPr>
        <w:t>General</w:t>
      </w:r>
      <w:r w:rsidRPr="00D13792">
        <w:rPr>
          <w:rFonts w:cs="Calibri,Bold"/>
          <w:bCs/>
          <w:color w:val="000000"/>
          <w:lang w:val="es-CR"/>
        </w:rPr>
        <w:t xml:space="preserve"> del Sistema Penitenciario, consultando si </w:t>
      </w:r>
      <w:r w:rsidRPr="00D13792">
        <w:rPr>
          <w:rStyle w:val="CommentReference"/>
          <w:rFonts w:cs="Arial"/>
          <w:color w:val="000000"/>
          <w:sz w:val="20"/>
          <w:szCs w:val="20"/>
          <w:lang w:val="es-CR"/>
        </w:rPr>
        <w:t>las personas Adrián García Manuel, Hugo García Depaz y el niño Abraham (o Agapito) Alvarado Depaz habían salido del país o habían sido detenidas</w:t>
      </w:r>
      <w:r w:rsidRPr="00D13792">
        <w:rPr>
          <w:rFonts w:cs="Calibri,Bold"/>
          <w:bCs/>
          <w:color w:val="000000"/>
          <w:lang w:val="es-CR"/>
        </w:rPr>
        <w:t xml:space="preserve"> entre los años 1980 y 1990</w:t>
      </w:r>
      <w:r w:rsidRPr="00D13792">
        <w:rPr>
          <w:rStyle w:val="FootnoteReference"/>
          <w:rFonts w:cs="Calibri,Bold"/>
          <w:bCs/>
          <w:lang w:val="es-CR"/>
        </w:rPr>
        <w:footnoteReference w:id="301"/>
      </w:r>
      <w:r w:rsidRPr="00D13792">
        <w:rPr>
          <w:rStyle w:val="CommentReference"/>
          <w:rFonts w:cs="Arial"/>
          <w:color w:val="000000"/>
          <w:sz w:val="20"/>
          <w:szCs w:val="20"/>
          <w:lang w:val="es-CR"/>
        </w:rPr>
        <w:t>. Dado que en el año 2008 se identificaron los restos de Hugo García Depaz y Abraham Alvarado Depaz, no hay claridad sobre las razones por las cuales se solicitó dicha información (</w:t>
      </w:r>
      <w:r w:rsidRPr="00D13792">
        <w:rPr>
          <w:rStyle w:val="CommentReference"/>
          <w:rFonts w:cs="Arial"/>
          <w:i/>
          <w:color w:val="000000"/>
          <w:sz w:val="20"/>
          <w:szCs w:val="20"/>
          <w:lang w:val="es-CR"/>
        </w:rPr>
        <w:t xml:space="preserve">supra </w:t>
      </w:r>
      <w:r w:rsidRPr="00D13792">
        <w:rPr>
          <w:rStyle w:val="CommentReference"/>
          <w:rFonts w:cs="Arial"/>
          <w:color w:val="000000"/>
          <w:sz w:val="20"/>
          <w:szCs w:val="20"/>
          <w:lang w:val="es-CR"/>
        </w:rPr>
        <w:t xml:space="preserve">párrs. 100, 149 y 155). Por otra parte, no </w:t>
      </w:r>
      <w:r w:rsidRPr="00D13792">
        <w:rPr>
          <w:rFonts w:cs="Calibri,Bold"/>
          <w:bCs/>
          <w:lang w:val="es-CR"/>
        </w:rPr>
        <w:t xml:space="preserve">constan en el expediente actuaciones posteriores dirigidas a encontrar los restos del </w:t>
      </w:r>
      <w:r w:rsidRPr="00D13792">
        <w:rPr>
          <w:lang w:val="es-CR"/>
        </w:rPr>
        <w:t>señor Adrián García Manuel ni determinar su paradero.</w:t>
      </w:r>
    </w:p>
    <w:p w:rsidR="006A0E1C" w:rsidRPr="00D13792" w:rsidRDefault="006A0E1C" w:rsidP="006A0E1C">
      <w:pPr>
        <w:pStyle w:val="ListParagraph"/>
        <w:spacing w:after="0" w:line="240" w:lineRule="auto"/>
        <w:ind w:left="0"/>
        <w:jc w:val="both"/>
        <w:rPr>
          <w:rFonts w:ascii="Verdana" w:hAnsi="Verdana" w:cs="Calibri,Bold"/>
          <w:bCs/>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cs="Calibri,Bold"/>
          <w:bCs/>
          <w:color w:val="000000"/>
          <w:lang w:val="es-CR"/>
        </w:rPr>
      </w:pPr>
      <w:r w:rsidRPr="00D13792">
        <w:rPr>
          <w:rFonts w:eastAsia="Batang" w:cs="Arial"/>
          <w:color w:val="000000"/>
          <w:lang w:val="es-CR"/>
        </w:rPr>
        <w:t xml:space="preserve">En séptimo lugar, en el expediente </w:t>
      </w:r>
      <w:r w:rsidRPr="00D13792">
        <w:rPr>
          <w:rFonts w:cs="Calibri,Bold"/>
          <w:bCs/>
          <w:lang w:val="es-CR"/>
        </w:rPr>
        <w:t xml:space="preserve">No. M.P. 247-1997-1378 ante la Fiscalía Distrital del Ministerio Público de Salamá, constan lapsos de uno a cinco años sin </w:t>
      </w:r>
      <w:r w:rsidRPr="00D13792">
        <w:rPr>
          <w:rFonts w:eastAsia="Batang" w:cs="Arial"/>
          <w:color w:val="000000"/>
          <w:lang w:val="es-CR"/>
        </w:rPr>
        <w:t>actividad investigativa alguna</w:t>
      </w:r>
      <w:r w:rsidRPr="00D13792">
        <w:rPr>
          <w:rStyle w:val="FootnoteReference"/>
          <w:rFonts w:eastAsia="Batang" w:cs="Arial"/>
          <w:color w:val="000000"/>
          <w:lang w:val="es-CR"/>
        </w:rPr>
        <w:footnoteReference w:id="302"/>
      </w:r>
      <w:r w:rsidRPr="00D13792">
        <w:rPr>
          <w:lang w:val="es-CR"/>
        </w:rPr>
        <w:t>. Además, no consta que se haya investigado la denuncia por parte de la señora Francisca González Tecú de que en enero de 2010 alguien le ofreció dinero a cambio de que retirara su denuncia contra una persona que había señalado como responsable de la muerte de su padre</w:t>
      </w:r>
      <w:r w:rsidRPr="00D13792">
        <w:rPr>
          <w:rStyle w:val="FootnoteReference"/>
          <w:lang w:val="es-CR"/>
        </w:rPr>
        <w:footnoteReference w:id="303"/>
      </w:r>
      <w:r w:rsidRPr="00D13792">
        <w:rPr>
          <w:lang w:val="es-CR"/>
        </w:rPr>
        <w:t>.</w:t>
      </w:r>
    </w:p>
    <w:p w:rsidR="006A0E1C" w:rsidRPr="00D13792" w:rsidRDefault="006A0E1C" w:rsidP="006A0E1C">
      <w:pPr>
        <w:pStyle w:val="Prrafodelista2"/>
        <w:tabs>
          <w:tab w:val="left" w:pos="720"/>
        </w:tabs>
        <w:ind w:left="0" w:right="-90"/>
        <w:jc w:val="both"/>
        <w:rPr>
          <w:rFonts w:cs="Calibri,Bold"/>
          <w:bCs/>
          <w:color w:val="000000"/>
          <w:lang w:val="es-CR"/>
        </w:rPr>
      </w:pPr>
    </w:p>
    <w:p w:rsidR="006A0E1C" w:rsidRPr="00D13792" w:rsidRDefault="006A0E1C" w:rsidP="006A0E1C">
      <w:pPr>
        <w:pStyle w:val="Prrafodelista2"/>
        <w:numPr>
          <w:ilvl w:val="0"/>
          <w:numId w:val="23"/>
        </w:numPr>
        <w:tabs>
          <w:tab w:val="left" w:pos="720"/>
        </w:tabs>
        <w:ind w:right="-90"/>
        <w:jc w:val="both"/>
        <w:rPr>
          <w:rFonts w:cs="Calibri,Bold"/>
          <w:bCs/>
          <w:color w:val="000000"/>
          <w:lang w:val="es-CR"/>
        </w:rPr>
      </w:pPr>
      <w:r w:rsidRPr="00D13792">
        <w:rPr>
          <w:color w:val="000000"/>
          <w:lang w:val="es-CR"/>
        </w:rPr>
        <w:t xml:space="preserve">En cuanto a estos puntos, la Corte ha precisado que no le compete sustituir a la jurisdicción interna, estableciendo las modalidades </w:t>
      </w:r>
      <w:r w:rsidRPr="00D13792">
        <w:rPr>
          <w:rStyle w:val="CommentReference"/>
          <w:rFonts w:cs="Arial"/>
          <w:color w:val="000000"/>
          <w:sz w:val="20"/>
          <w:szCs w:val="20"/>
          <w:lang w:val="es-CR"/>
        </w:rPr>
        <w:t>específicas</w:t>
      </w:r>
      <w:r w:rsidRPr="00D13792">
        <w:rPr>
          <w:color w:val="000000"/>
          <w:lang w:val="es-CR"/>
        </w:rPr>
        <w:t xml:space="preserve"> de investigación y juzgamiento en un caso concreto para obtener un mejor o más eficaz resultado, sino constatar si en los pasos efectivamente dados a nivel </w:t>
      </w:r>
      <w:r w:rsidRPr="00D13792">
        <w:rPr>
          <w:rFonts w:eastAsia="Calibri"/>
          <w:color w:val="000000"/>
          <w:lang w:val="es-CR"/>
        </w:rPr>
        <w:t>interno</w:t>
      </w:r>
      <w:r w:rsidRPr="00D13792">
        <w:rPr>
          <w:color w:val="000000"/>
          <w:lang w:val="es-CR"/>
        </w:rPr>
        <w:t xml:space="preserve"> se violaron o no obligaciones internacionales del Estado derivadas de los artículos 8 y 25 de la Convención Americana</w:t>
      </w:r>
      <w:r w:rsidRPr="00D13792">
        <w:rPr>
          <w:color w:val="000000"/>
          <w:vertAlign w:val="superscript"/>
          <w:lang w:val="es-CR"/>
        </w:rPr>
        <w:footnoteReference w:id="304"/>
      </w:r>
      <w:r w:rsidRPr="00D13792">
        <w:rPr>
          <w:color w:val="000000"/>
          <w:lang w:val="es-CR"/>
        </w:rPr>
        <w:t xml:space="preserve">. Sin embargo, en el presente caso, de lo detallado anteriormente se desprende que </w:t>
      </w:r>
      <w:r w:rsidRPr="00D13792">
        <w:rPr>
          <w:rFonts w:eastAsia="Batang" w:cs="Arial"/>
          <w:color w:val="000000"/>
          <w:lang w:val="es-CR"/>
        </w:rPr>
        <w:t xml:space="preserve">las actuaciones de investigación en relación con los hechos ocurridos antes y después de la masacre de 8 de enero de 1982 han sido tardías e incompletas, constituyendo una falta de debida diligencia en la investigación de los mismos. </w:t>
      </w:r>
    </w:p>
    <w:p w:rsidR="006A0E1C" w:rsidRPr="00D13792" w:rsidRDefault="006A0E1C" w:rsidP="006A0E1C">
      <w:pPr>
        <w:pStyle w:val="ListParagraph"/>
        <w:spacing w:after="0"/>
        <w:rPr>
          <w:rStyle w:val="CommentReference"/>
          <w:rFonts w:ascii="Verdana" w:eastAsia="MS Mincho" w:hAnsi="Verdana"/>
          <w:lang w:val="es-CR" w:eastAsia="en-US" w:bidi="en-US"/>
        </w:rPr>
      </w:pPr>
    </w:p>
    <w:p w:rsidR="006A0E1C" w:rsidRPr="00D13792" w:rsidRDefault="006A0E1C" w:rsidP="006A0E1C">
      <w:pPr>
        <w:pStyle w:val="Heading3"/>
        <w:ind w:left="0"/>
        <w:rPr>
          <w:i/>
          <w:lang w:val="es-CR"/>
        </w:rPr>
      </w:pPr>
      <w:bookmarkStart w:id="234" w:name="_Toc460938892"/>
      <w:bookmarkStart w:id="235" w:name="_Toc469670059"/>
      <w:r w:rsidRPr="00D13792">
        <w:rPr>
          <w:i/>
          <w:lang w:val="es-CR"/>
        </w:rPr>
        <w:t>B.2. Falta de investigación de graves violaciones de derechos humanos</w:t>
      </w:r>
      <w:bookmarkEnd w:id="234"/>
      <w:bookmarkEnd w:id="235"/>
    </w:p>
    <w:p w:rsidR="006A0E1C" w:rsidRPr="00D13792" w:rsidRDefault="006A0E1C" w:rsidP="006A0E1C">
      <w:pPr>
        <w:pStyle w:val="ListParagraph"/>
        <w:autoSpaceDE w:val="0"/>
        <w:autoSpaceDN w:val="0"/>
        <w:adjustRightInd w:val="0"/>
        <w:spacing w:after="0" w:line="240" w:lineRule="auto"/>
        <w:ind w:left="0"/>
        <w:jc w:val="both"/>
        <w:rPr>
          <w:rFonts w:ascii="Verdana" w:eastAsia="Calibri" w:hAnsi="Verdana"/>
          <w:i/>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Calibri"/>
          <w:color w:val="000000"/>
          <w:lang w:val="es-CR"/>
        </w:rPr>
      </w:pPr>
      <w:r w:rsidRPr="00D13792">
        <w:rPr>
          <w:rFonts w:eastAsia="Calibri"/>
          <w:color w:val="000000"/>
          <w:lang w:val="es-CR"/>
        </w:rPr>
        <w:t>La Corte destaca que los hechos del presente caso se refieren a desapariciones forzadas y desplazamiento forzado (</w:t>
      </w:r>
      <w:r w:rsidRPr="00D13792">
        <w:rPr>
          <w:rFonts w:eastAsia="Calibri"/>
          <w:i/>
          <w:color w:val="000000"/>
          <w:lang w:val="es-CR"/>
        </w:rPr>
        <w:t xml:space="preserve">supra </w:t>
      </w:r>
      <w:r w:rsidRPr="00D13792">
        <w:rPr>
          <w:rFonts w:eastAsia="Calibri"/>
          <w:color w:val="000000"/>
          <w:lang w:val="es-CR"/>
        </w:rPr>
        <w:t>párrs. 160 y 203), así como a las denuncias sobre ejecuciones, actos de tortura, violencia y violación sexual, y trabajos forzosos, entre otros (</w:t>
      </w:r>
      <w:r w:rsidRPr="00D13792">
        <w:rPr>
          <w:rFonts w:eastAsia="Calibri"/>
          <w:i/>
          <w:color w:val="000000"/>
          <w:lang w:val="es-CR"/>
        </w:rPr>
        <w:t>supra</w:t>
      </w:r>
      <w:r w:rsidRPr="00D13792">
        <w:rPr>
          <w:rFonts w:eastAsia="Calibri"/>
          <w:color w:val="000000"/>
          <w:lang w:val="es-CR"/>
        </w:rPr>
        <w:t xml:space="preserve"> párrs. 222, 228, 234 y 239), todo ello dentro de un contexto de violaciones graves, masivas y sistemáticas de los derechos humanos en Guatemala (</w:t>
      </w:r>
      <w:r w:rsidRPr="00D13792">
        <w:rPr>
          <w:rFonts w:eastAsia="Calibri"/>
          <w:i/>
          <w:color w:val="000000"/>
          <w:lang w:val="es-CR"/>
        </w:rPr>
        <w:t xml:space="preserve">supra </w:t>
      </w:r>
      <w:r w:rsidRPr="00D13792">
        <w:rPr>
          <w:rFonts w:eastAsia="Calibri"/>
          <w:color w:val="000000"/>
          <w:lang w:val="es-CR"/>
        </w:rPr>
        <w:t>párrs. 76 a 81). Estos hechos han sido puestos en conocimiento del Estado en diversas oportunidades a partir del año 1993, sin embargo, como ya se señaló, no han sido investigados debidamente y, en algunos casos, incluso, no se ha realizado investigación alguna en torno a los mismos (</w:t>
      </w:r>
      <w:r w:rsidRPr="00D13792">
        <w:rPr>
          <w:rFonts w:eastAsia="Calibri"/>
          <w:i/>
          <w:color w:val="000000"/>
          <w:lang w:val="es-CR"/>
        </w:rPr>
        <w:t xml:space="preserve">supra </w:t>
      </w:r>
      <w:r w:rsidRPr="00D13792">
        <w:rPr>
          <w:rFonts w:eastAsia="Calibri"/>
          <w:color w:val="000000"/>
          <w:lang w:val="es-CR"/>
        </w:rPr>
        <w:t>párrs. 218 a 241).</w:t>
      </w:r>
    </w:p>
    <w:p w:rsidR="006A0E1C" w:rsidRPr="00D13792" w:rsidRDefault="006A0E1C" w:rsidP="006A0E1C">
      <w:pPr>
        <w:pStyle w:val="ListParagraph"/>
        <w:autoSpaceDE w:val="0"/>
        <w:autoSpaceDN w:val="0"/>
        <w:adjustRightInd w:val="0"/>
        <w:spacing w:after="0" w:line="240" w:lineRule="auto"/>
        <w:ind w:left="0"/>
        <w:jc w:val="both"/>
        <w:rPr>
          <w:rFonts w:ascii="Verdana" w:eastAsia="Calibri" w:hAnsi="Verdana"/>
          <w:i/>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color w:val="000000"/>
          <w:lang w:val="es-CR"/>
        </w:rPr>
      </w:pPr>
      <w:r w:rsidRPr="00D13792">
        <w:rPr>
          <w:color w:val="000000"/>
          <w:lang w:val="es-CR"/>
        </w:rPr>
        <w:t xml:space="preserve">El Tribunal estima que la falta de investigación de las desapariciones forzadas, ejecuciones extrajudiciales, trabajos forzosos, torturas y </w:t>
      </w:r>
      <w:r w:rsidRPr="00D13792">
        <w:rPr>
          <w:rFonts w:eastAsia="Calibri"/>
          <w:color w:val="000000"/>
          <w:lang w:val="es-CR"/>
        </w:rPr>
        <w:t>violencia</w:t>
      </w:r>
      <w:r w:rsidRPr="00D13792">
        <w:rPr>
          <w:color w:val="000000"/>
          <w:lang w:val="es-CR"/>
        </w:rPr>
        <w:t xml:space="preserve"> sexual en conflictos armados y/o dentro de patrones sistemáticos, como los ocurridos y denunciados en el presente caso, constituyen un incumplimiento de las obligaciones del Estado frente a graves violaciones a derechos humanos, las cuales contravienen normas inderogables y generan obligaciones para los Estados</w:t>
      </w:r>
      <w:r w:rsidRPr="00D13792">
        <w:rPr>
          <w:color w:val="000000"/>
          <w:vertAlign w:val="superscript"/>
          <w:lang w:val="es-CR"/>
        </w:rPr>
        <w:footnoteReference w:id="305"/>
      </w:r>
      <w:r w:rsidRPr="00D13792">
        <w:rPr>
          <w:color w:val="000000"/>
          <w:lang w:val="es-CR"/>
        </w:rPr>
        <w:t xml:space="preserve"> como la de investigar y sancionar dichas prácticas, de conformidad con la Convención Americana y, en este caso, a la luz de la CIDFP, la CIPST y la Convención de Belém do Pará.</w:t>
      </w:r>
    </w:p>
    <w:p w:rsidR="006A0E1C" w:rsidRPr="00D13792" w:rsidRDefault="006A0E1C" w:rsidP="006A0E1C">
      <w:pPr>
        <w:pStyle w:val="ListParagraph"/>
        <w:spacing w:after="0" w:line="240" w:lineRule="auto"/>
        <w:ind w:left="0"/>
        <w:jc w:val="both"/>
        <w:rPr>
          <w:rFonts w:ascii="Verdana"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color w:val="000000"/>
          <w:lang w:val="es-CR"/>
        </w:rPr>
      </w:pPr>
      <w:r w:rsidRPr="00D13792">
        <w:rPr>
          <w:color w:val="000000"/>
          <w:lang w:val="es-CR"/>
        </w:rPr>
        <w:t>En este mismo sentido, la Corte recuerda que la propia Ley de Reconciliación Nacional (LRN) de Guatemala</w:t>
      </w:r>
      <w:r w:rsidRPr="00D13792">
        <w:rPr>
          <w:rStyle w:val="FootnoteReference"/>
          <w:color w:val="000000"/>
          <w:lang w:val="es-CR"/>
        </w:rPr>
        <w:footnoteReference w:id="306"/>
      </w:r>
      <w:r w:rsidRPr="00D13792">
        <w:rPr>
          <w:color w:val="000000"/>
          <w:lang w:val="es-CR"/>
        </w:rPr>
        <w:t xml:space="preserve"> establece en su artículo 8 que “[l]a extinción de la responsabilidad penal [por determinados delitos </w:t>
      </w:r>
      <w:r w:rsidRPr="00D13792">
        <w:rPr>
          <w:rFonts w:eastAsia="Calibri"/>
          <w:color w:val="000000"/>
          <w:lang w:val="es-CR"/>
        </w:rPr>
        <w:t>cometidos</w:t>
      </w:r>
      <w:r w:rsidRPr="00D13792">
        <w:rPr>
          <w:color w:val="000000"/>
          <w:lang w:val="es-CR"/>
        </w:rPr>
        <w:t xml:space="preserve"> durante el conflicto armado interno] a que se refiere esta ley, no será aplicable a los delitos de genocidio, tortura y desaparición forzada, así como aquellos delitos que sean imprescriptibles o que no admitan extinción de la responsabilidad penal, de conformidad con el derecho interno o los tratados internacionales ratificados por Guatemala”. </w:t>
      </w:r>
    </w:p>
    <w:p w:rsidR="006A0E1C" w:rsidRPr="00D13792" w:rsidRDefault="006A0E1C" w:rsidP="006A0E1C">
      <w:pPr>
        <w:pStyle w:val="ListParagraph"/>
        <w:spacing w:after="0" w:line="240" w:lineRule="auto"/>
        <w:ind w:left="0"/>
        <w:jc w:val="both"/>
        <w:rPr>
          <w:rFonts w:ascii="Verdana"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Calibri"/>
          <w:i/>
          <w:color w:val="000000"/>
          <w:lang w:val="es-CR"/>
        </w:rPr>
      </w:pPr>
      <w:r w:rsidRPr="00D13792">
        <w:rPr>
          <w:color w:val="000000"/>
          <w:lang w:val="es-CR"/>
        </w:rPr>
        <w:t>En cuanto a este punto, no consta en el acervo probatorio que se haya aplicado la LRN en los procesos iniciados en el presente caso. No obstante,</w:t>
      </w:r>
      <w:r w:rsidRPr="00D13792">
        <w:rPr>
          <w:b/>
          <w:color w:val="000000"/>
          <w:lang w:val="es-CR"/>
        </w:rPr>
        <w:t xml:space="preserve"> </w:t>
      </w:r>
      <w:r w:rsidRPr="00D13792">
        <w:rPr>
          <w:color w:val="000000"/>
          <w:lang w:val="es-CR"/>
        </w:rPr>
        <w:t xml:space="preserve">el Estado alegó que, en la investigación y juzgamiento de los hechos del caso, no serían aplicables los tipos penales de desaparición forzada y tortura, puesto que dichos delitos no se encontraban tipificados en su legislación para el momento en que ocurrieron los hechos. </w:t>
      </w:r>
    </w:p>
    <w:p w:rsidR="006A0E1C" w:rsidRPr="00D13792" w:rsidRDefault="006A0E1C" w:rsidP="006A0E1C">
      <w:pPr>
        <w:pStyle w:val="ListParagraph"/>
        <w:spacing w:after="0" w:line="240" w:lineRule="auto"/>
        <w:ind w:left="0"/>
        <w:jc w:val="both"/>
        <w:rPr>
          <w:rFonts w:ascii="Verdana"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color w:val="000000"/>
          <w:lang w:val="es-CR"/>
        </w:rPr>
      </w:pPr>
      <w:r w:rsidRPr="00D13792">
        <w:rPr>
          <w:color w:val="000000"/>
          <w:lang w:val="es-CR"/>
        </w:rPr>
        <w:t xml:space="preserve">Al respecto, de acuerdo con su vasta y reiterada jurisprudencia sobre la obligación de investigar, juzgar y, en su caso, sancionar, la Corte ha establecido que son inadmisibles las disposiciones de amnistía, las </w:t>
      </w:r>
      <w:r w:rsidRPr="00D13792">
        <w:rPr>
          <w:rFonts w:eastAsia="Calibri"/>
          <w:color w:val="000000"/>
          <w:lang w:val="es-CR"/>
        </w:rPr>
        <w:t>disposiciones</w:t>
      </w:r>
      <w:r w:rsidRPr="00D13792">
        <w:rPr>
          <w:color w:val="000000"/>
          <w:lang w:val="es-CR"/>
        </w:rPr>
        <w:t xml:space="preserve"> de prescripción, así como otras pretendidas excluyentes de responsabilidad que en realidad sean pretexto para impedir la investigación de violaciones graves de los derechos humanos</w:t>
      </w:r>
      <w:r w:rsidRPr="00D13792">
        <w:rPr>
          <w:rStyle w:val="FootnoteReference"/>
          <w:color w:val="000000"/>
          <w:lang w:val="es-CR"/>
        </w:rPr>
        <w:footnoteReference w:id="307"/>
      </w:r>
      <w:r w:rsidRPr="00D13792">
        <w:rPr>
          <w:color w:val="000000"/>
          <w:lang w:val="es-CR"/>
        </w:rPr>
        <w:t>.</w:t>
      </w:r>
    </w:p>
    <w:p w:rsidR="006A0E1C" w:rsidRPr="00D13792" w:rsidRDefault="006A0E1C" w:rsidP="006A0E1C">
      <w:pPr>
        <w:pStyle w:val="ListParagraph"/>
        <w:tabs>
          <w:tab w:val="left" w:pos="720"/>
        </w:tabs>
        <w:spacing w:after="0" w:line="240" w:lineRule="auto"/>
        <w:ind w:left="15"/>
        <w:jc w:val="both"/>
        <w:rPr>
          <w:rFonts w:ascii="Verdana"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color w:val="000000"/>
          <w:lang w:val="es-CR"/>
        </w:rPr>
      </w:pPr>
      <w:r w:rsidRPr="00D13792">
        <w:rPr>
          <w:color w:val="000000"/>
          <w:lang w:val="es-CR"/>
        </w:rPr>
        <w:t xml:space="preserve">En particular, este Tribunal ya señaló </w:t>
      </w:r>
      <w:r w:rsidRPr="00D13792">
        <w:rPr>
          <w:lang w:val="es-CR"/>
        </w:rPr>
        <w:t xml:space="preserve">que en su jurisprudencia ha conocido de casos en que la falta en un inicio de la tipificación del delito autónomo de desaparición forzada de personas no obstaculizó el desarrollo de procesos penales a nivel interno, por lo que no resultó </w:t>
      </w:r>
      <w:r w:rsidRPr="00D13792">
        <w:rPr>
          <w:i/>
          <w:lang w:val="es-CR"/>
        </w:rPr>
        <w:t>per se</w:t>
      </w:r>
      <w:r w:rsidRPr="00D13792">
        <w:rPr>
          <w:lang w:val="es-CR"/>
        </w:rPr>
        <w:t xml:space="preserve"> en una violación de las obligaciones convencionales estatales (</w:t>
      </w:r>
      <w:r w:rsidRPr="00D13792">
        <w:rPr>
          <w:i/>
          <w:lang w:val="es-CR"/>
        </w:rPr>
        <w:t>supra</w:t>
      </w:r>
      <w:r w:rsidRPr="00D13792">
        <w:rPr>
          <w:lang w:val="es-CR"/>
        </w:rPr>
        <w:t xml:space="preserve"> párr. 136). Lo anterior no obsta que el Estado realice investigaciones con base en el delito de desaparición forzada </w:t>
      </w:r>
      <w:r w:rsidRPr="00D13792">
        <w:rPr>
          <w:color w:val="000000"/>
          <w:lang w:val="es-CR"/>
        </w:rPr>
        <w:t xml:space="preserve">en aquellos casos en los que no se ha determinado el paradero de la persona </w:t>
      </w:r>
      <w:r w:rsidRPr="00D13792">
        <w:rPr>
          <w:rFonts w:eastAsia="Calibri"/>
          <w:color w:val="000000"/>
          <w:lang w:val="es-CR"/>
        </w:rPr>
        <w:t>desaparecida</w:t>
      </w:r>
      <w:r w:rsidRPr="00D13792">
        <w:rPr>
          <w:color w:val="000000"/>
          <w:lang w:val="es-CR"/>
        </w:rPr>
        <w:t xml:space="preserve"> o se hubieren identificado sus restos para la fecha en que entró en vigor la tipificación de dicho delito en 1996. En esos casos, la conducta delictiva continúa y, por ende, el tipo penal resulta aplicable. La Corte ya ha establecido que la aplicación del tipo penal de </w:t>
      </w:r>
      <w:r w:rsidRPr="00D13792">
        <w:rPr>
          <w:color w:val="000000"/>
          <w:lang w:val="es-CR"/>
        </w:rPr>
        <w:lastRenderedPageBreak/>
        <w:t>desaparición forzada bajo los supuestos señalados no vulnera el principio de legalidad, ni implica una aplicación retroactiva de la norma penal</w:t>
      </w:r>
      <w:r w:rsidRPr="00D13792">
        <w:rPr>
          <w:rStyle w:val="FootnoteReference"/>
          <w:color w:val="000000"/>
          <w:lang w:val="es-CR"/>
        </w:rPr>
        <w:footnoteReference w:id="308"/>
      </w:r>
      <w:r w:rsidRPr="00D13792">
        <w:rPr>
          <w:color w:val="000000"/>
          <w:lang w:val="es-CR"/>
        </w:rPr>
        <w:t>.</w:t>
      </w:r>
    </w:p>
    <w:p w:rsidR="006A0E1C" w:rsidRPr="00D13792" w:rsidRDefault="006A0E1C" w:rsidP="006A0E1C">
      <w:pPr>
        <w:pStyle w:val="ListParagraph"/>
        <w:tabs>
          <w:tab w:val="left" w:pos="720"/>
        </w:tabs>
        <w:spacing w:after="0" w:line="240" w:lineRule="auto"/>
        <w:ind w:left="15"/>
        <w:jc w:val="both"/>
        <w:rPr>
          <w:rFonts w:ascii="Verdana" w:hAnsi="Verdana"/>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Calibri"/>
          <w:i/>
          <w:color w:val="000000"/>
          <w:lang w:val="es-CR"/>
        </w:rPr>
      </w:pPr>
      <w:r w:rsidRPr="00D13792">
        <w:rPr>
          <w:color w:val="000000"/>
          <w:lang w:val="es-CR"/>
        </w:rPr>
        <w:t>Por otra parte, los representantes y la Comisión alegaron que los hechos del presente caso constituyen actos de genocidio, mientras que Guatemala</w:t>
      </w:r>
      <w:r w:rsidRPr="00D13792">
        <w:rPr>
          <w:color w:val="000000"/>
          <w:spacing w:val="-3"/>
          <w:lang w:val="es-CR"/>
        </w:rPr>
        <w:t xml:space="preserve"> alegó que dicho delito </w:t>
      </w:r>
      <w:r w:rsidRPr="00D13792">
        <w:rPr>
          <w:rFonts w:eastAsia="Calibri"/>
          <w:color w:val="000000"/>
          <w:lang w:val="es-CR"/>
        </w:rPr>
        <w:t xml:space="preserve">no sería aplicable a los hechos del caso, “dado que </w:t>
      </w:r>
      <w:r w:rsidRPr="00D13792">
        <w:rPr>
          <w:color w:val="000000"/>
          <w:lang w:val="es-CR"/>
        </w:rPr>
        <w:t>el</w:t>
      </w:r>
      <w:r w:rsidRPr="00D13792">
        <w:rPr>
          <w:rFonts w:eastAsia="Calibri"/>
          <w:color w:val="000000"/>
          <w:lang w:val="es-CR"/>
        </w:rPr>
        <w:t xml:space="preserve"> enfrentamiento guatemalteco no se originó como un conflicto de carácter interétnico”. </w:t>
      </w:r>
    </w:p>
    <w:p w:rsidR="006A0E1C" w:rsidRPr="00D13792" w:rsidRDefault="006A0E1C" w:rsidP="006A0E1C">
      <w:pPr>
        <w:pStyle w:val="Prrafodelista2"/>
        <w:tabs>
          <w:tab w:val="left" w:pos="720"/>
        </w:tabs>
        <w:ind w:left="0" w:right="-90"/>
        <w:jc w:val="both"/>
        <w:rPr>
          <w:rFonts w:eastAsia="Calibri"/>
          <w:color w:val="000000"/>
          <w:sz w:val="14"/>
          <w:lang w:val="es-CR"/>
        </w:rPr>
      </w:pPr>
    </w:p>
    <w:p w:rsidR="006A0E1C" w:rsidRPr="00D13792" w:rsidRDefault="006A0E1C" w:rsidP="006A0E1C">
      <w:pPr>
        <w:pStyle w:val="Prrafodelista2"/>
        <w:numPr>
          <w:ilvl w:val="0"/>
          <w:numId w:val="23"/>
        </w:numPr>
        <w:tabs>
          <w:tab w:val="left" w:pos="720"/>
        </w:tabs>
        <w:ind w:right="-90"/>
        <w:jc w:val="both"/>
        <w:rPr>
          <w:rFonts w:eastAsia="Calibri"/>
          <w:i/>
          <w:color w:val="000000"/>
          <w:lang w:val="es-CR"/>
        </w:rPr>
      </w:pPr>
      <w:r w:rsidRPr="00D13792">
        <w:rPr>
          <w:lang w:val="es-CR"/>
        </w:rPr>
        <w:t>En esta Sentencia ya se estableció que la Corte no tiene competencia temporal para pronunciarse sobre una gran parte de los hechos y las violaciones de derechos humanos alegadas por la Comisión y los representantes (</w:t>
      </w:r>
      <w:r w:rsidRPr="00D13792">
        <w:rPr>
          <w:i/>
          <w:lang w:val="es-CR"/>
        </w:rPr>
        <w:t xml:space="preserve">supra </w:t>
      </w:r>
      <w:r w:rsidRPr="00D13792">
        <w:rPr>
          <w:lang w:val="es-CR"/>
        </w:rPr>
        <w:t>párrs. 24). Por este motivo, el Tribunal no cuenta con los elementos para realizar una calificación como la solicitada por la Comisión y los representantes, en caso de que ello fuera procedente</w:t>
      </w:r>
      <w:r w:rsidRPr="00D13792">
        <w:rPr>
          <w:rStyle w:val="FootnoteReference"/>
          <w:lang w:val="es-CR"/>
        </w:rPr>
        <w:footnoteReference w:id="309"/>
      </w:r>
      <w:r w:rsidRPr="00D13792">
        <w:rPr>
          <w:lang w:val="es-CR"/>
        </w:rPr>
        <w:t>.</w:t>
      </w:r>
      <w:r w:rsidRPr="00D13792">
        <w:rPr>
          <w:rFonts w:eastAsia="Calibri"/>
          <w:i/>
          <w:color w:val="000000"/>
          <w:lang w:val="es-CR"/>
        </w:rPr>
        <w:t xml:space="preserve"> </w:t>
      </w:r>
      <w:r w:rsidRPr="00D13792">
        <w:rPr>
          <w:rFonts w:eastAsia="Calibri"/>
          <w:color w:val="000000"/>
          <w:lang w:val="es-CR"/>
        </w:rPr>
        <w:t xml:space="preserve">Sin perjuicio de ello, la Corte </w:t>
      </w:r>
      <w:r w:rsidRPr="00D13792">
        <w:rPr>
          <w:color w:val="000000"/>
          <w:spacing w:val="-3"/>
          <w:lang w:val="es-CR"/>
        </w:rPr>
        <w:t xml:space="preserve">recuerda que Guatemala ratificó la Convención para la Prevención y la Sanción del Delito de Genocidio (CPSDG) el 13 de enero de 1950, es decir, con </w:t>
      </w:r>
      <w:r w:rsidRPr="00D13792">
        <w:rPr>
          <w:color w:val="000000"/>
          <w:lang w:val="es-CR"/>
        </w:rPr>
        <w:t>anterioridad</w:t>
      </w:r>
      <w:r w:rsidRPr="00D13792">
        <w:rPr>
          <w:color w:val="000000"/>
          <w:spacing w:val="-3"/>
          <w:lang w:val="es-CR"/>
        </w:rPr>
        <w:t xml:space="preserve"> a los hechos del presente caso. El Artículo I de dicho tratado obliga a las Partes contratantes a sancionar este delito</w:t>
      </w:r>
      <w:r w:rsidRPr="00D13792">
        <w:rPr>
          <w:rStyle w:val="FootnoteReference"/>
          <w:color w:val="000000"/>
          <w:spacing w:val="-3"/>
          <w:lang w:val="es-CR"/>
        </w:rPr>
        <w:footnoteReference w:id="310"/>
      </w:r>
      <w:r w:rsidRPr="00D13792">
        <w:rPr>
          <w:color w:val="000000"/>
          <w:spacing w:val="-3"/>
          <w:lang w:val="es-CR"/>
        </w:rPr>
        <w:t>.</w:t>
      </w:r>
    </w:p>
    <w:p w:rsidR="006A0E1C" w:rsidRPr="00D13792" w:rsidRDefault="006A0E1C" w:rsidP="006A0E1C">
      <w:pPr>
        <w:pStyle w:val="ListParagraph"/>
        <w:tabs>
          <w:tab w:val="left" w:pos="720"/>
        </w:tabs>
        <w:autoSpaceDE w:val="0"/>
        <w:autoSpaceDN w:val="0"/>
        <w:adjustRightInd w:val="0"/>
        <w:spacing w:after="0" w:line="240" w:lineRule="auto"/>
        <w:ind w:left="15"/>
        <w:jc w:val="both"/>
        <w:rPr>
          <w:rFonts w:ascii="Verdana" w:eastAsia="Calibri" w:hAnsi="Verdana"/>
          <w:i/>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color w:val="000000"/>
          <w:lang w:val="es-CR"/>
        </w:rPr>
      </w:pPr>
      <w:r w:rsidRPr="00D13792">
        <w:rPr>
          <w:color w:val="000000"/>
          <w:spacing w:val="-3"/>
          <w:lang w:val="es-CR"/>
        </w:rPr>
        <w:t xml:space="preserve">Asimismo, en este caso ya se estableció que, </w:t>
      </w:r>
      <w:r w:rsidRPr="00D13792">
        <w:rPr>
          <w:bCs/>
          <w:color w:val="000000"/>
          <w:lang w:val="es-CR"/>
        </w:rPr>
        <w:t xml:space="preserve">bajo </w:t>
      </w:r>
      <w:r w:rsidRPr="00D13792">
        <w:rPr>
          <w:color w:val="000000"/>
          <w:lang w:val="es-CR"/>
        </w:rPr>
        <w:t xml:space="preserve">la “Doctrina de Seguridad Nacional” (1978-1983), el Ejército identificó, entre otros, a los miembros del pueblo indígena maya como “enemigo interno”, </w:t>
      </w:r>
      <w:r w:rsidRPr="00D13792">
        <w:rPr>
          <w:rFonts w:eastAsia="Calibri"/>
          <w:color w:val="000000"/>
          <w:lang w:val="es-CR"/>
        </w:rPr>
        <w:t>por</w:t>
      </w:r>
      <w:r w:rsidRPr="00D13792">
        <w:rPr>
          <w:color w:val="000000"/>
          <w:lang w:val="es-CR"/>
        </w:rPr>
        <w:t xml:space="preserve"> considerar que constituían o podían constituir la base social de la guerrilla (</w:t>
      </w:r>
      <w:r w:rsidRPr="00D13792">
        <w:rPr>
          <w:i/>
          <w:color w:val="000000"/>
          <w:lang w:val="es-CR"/>
        </w:rPr>
        <w:t xml:space="preserve">supra </w:t>
      </w:r>
      <w:r w:rsidRPr="00D13792">
        <w:rPr>
          <w:color w:val="000000"/>
          <w:lang w:val="es-CR"/>
        </w:rPr>
        <w:t>párrs. 77 y 84). Como ya se señaló, en su Informe Final de junio 1999, la CEH explicó que la identificación entre las comunidades mayas y la insurgencia, y la saña e indiscriminación con que se realizaban las “operaciones militares contra centenares de comunidades mayas en el occidente y noroccidente del país, en particular entre 1981 y 1983”, se apoyó en tradicionales prejuicios racistas. Aunado a ello, tomando en cuenta las masacres realizadas en las aldeas de Plan de Sánchez, Río Negro y Chichupac, entre otras, la CEH sostuvo que:</w:t>
      </w:r>
    </w:p>
    <w:p w:rsidR="006A0E1C" w:rsidRPr="00D13792" w:rsidRDefault="006A0E1C" w:rsidP="006A0E1C">
      <w:pPr>
        <w:pStyle w:val="ListParagraph"/>
        <w:spacing w:after="0" w:line="240" w:lineRule="auto"/>
        <w:jc w:val="both"/>
        <w:rPr>
          <w:rFonts w:ascii="Verdana" w:hAnsi="Verdana"/>
          <w:color w:val="000000"/>
          <w:sz w:val="16"/>
          <w:szCs w:val="20"/>
          <w:lang w:val="es-CR"/>
        </w:rPr>
      </w:pPr>
    </w:p>
    <w:p w:rsidR="006A0E1C" w:rsidRPr="00D13792" w:rsidRDefault="006A0E1C" w:rsidP="006A0E1C">
      <w:pPr>
        <w:pStyle w:val="ListParagraph"/>
        <w:tabs>
          <w:tab w:val="left" w:pos="450"/>
        </w:tabs>
        <w:autoSpaceDE w:val="0"/>
        <w:autoSpaceDN w:val="0"/>
        <w:adjustRightInd w:val="0"/>
        <w:spacing w:after="0" w:line="240" w:lineRule="auto"/>
        <w:ind w:left="360" w:right="468"/>
        <w:jc w:val="both"/>
        <w:rPr>
          <w:rFonts w:ascii="Verdana" w:hAnsi="Verdana"/>
          <w:color w:val="000000"/>
          <w:sz w:val="16"/>
          <w:szCs w:val="20"/>
          <w:lang w:val="es-CR"/>
        </w:rPr>
      </w:pPr>
      <w:r w:rsidRPr="00D13792">
        <w:rPr>
          <w:rFonts w:ascii="Verdana" w:hAnsi="Verdana"/>
          <w:color w:val="000000"/>
          <w:sz w:val="16"/>
          <w:szCs w:val="20"/>
          <w:lang w:val="es-CR"/>
        </w:rPr>
        <w:t>“el conjunto de violaciones de derechos humanos perpetradas por el Estado contra la población maya-achí durante los años 1980-1983 permite concluir que se cometieron actos de genocidio inspirados por una determinación estratégica que también revistió carácter genocida, por cuanto el objetivo de la campaña militar realizada en el área de Rabinal fue la destrucción parcial del pueblo maya-achí, como requisito necesario para mantener absoluto control sobre un área militarmente estratégica y separar a la guerrilla de su supuesta base social. […] Esta percepción de equivalencia de identidad entre la población maya-achí de Rabinal y la guerrilla, condujo, en un momento del enfrentamiento, a una campaña orientada a la aniquilación parcial del pueblo maya-achí de Rabinal, que se encontraba en total estado de indefensión”</w:t>
      </w:r>
      <w:r w:rsidRPr="00D13792">
        <w:rPr>
          <w:rStyle w:val="FootnoteReference"/>
          <w:rFonts w:ascii="Verdana" w:hAnsi="Verdana"/>
          <w:color w:val="000000"/>
          <w:sz w:val="16"/>
          <w:szCs w:val="20"/>
          <w:lang w:val="es-CR"/>
        </w:rPr>
        <w:footnoteReference w:id="311"/>
      </w:r>
      <w:r w:rsidRPr="00D13792">
        <w:rPr>
          <w:rFonts w:ascii="Verdana" w:hAnsi="Verdana"/>
          <w:color w:val="000000"/>
          <w:sz w:val="16"/>
          <w:szCs w:val="20"/>
          <w:lang w:val="es-CR"/>
        </w:rPr>
        <w:t xml:space="preserve">. </w:t>
      </w:r>
    </w:p>
    <w:p w:rsidR="006A0E1C" w:rsidRPr="00D13792" w:rsidRDefault="006A0E1C" w:rsidP="006A0E1C">
      <w:pPr>
        <w:tabs>
          <w:tab w:val="left" w:pos="720"/>
        </w:tabs>
        <w:autoSpaceDE w:val="0"/>
        <w:autoSpaceDN w:val="0"/>
        <w:spacing w:line="240" w:lineRule="auto"/>
        <w:rPr>
          <w:rFonts w:eastAsia="Calibri"/>
          <w:i/>
          <w:color w:val="000000"/>
          <w:sz w:val="16"/>
          <w:szCs w:val="20"/>
        </w:rPr>
      </w:pPr>
    </w:p>
    <w:p w:rsidR="006A0E1C" w:rsidRPr="00D13792" w:rsidRDefault="006A0E1C" w:rsidP="006A0E1C">
      <w:pPr>
        <w:pStyle w:val="Prrafodelista2"/>
        <w:numPr>
          <w:ilvl w:val="0"/>
          <w:numId w:val="23"/>
        </w:numPr>
        <w:tabs>
          <w:tab w:val="left" w:pos="720"/>
        </w:tabs>
        <w:ind w:right="-90"/>
        <w:jc w:val="both"/>
        <w:rPr>
          <w:rFonts w:eastAsia="Calibri"/>
          <w:i/>
          <w:color w:val="000000"/>
          <w:lang w:val="es-CR"/>
        </w:rPr>
      </w:pPr>
      <w:r w:rsidRPr="00D13792">
        <w:rPr>
          <w:rFonts w:eastAsia="Calibri"/>
          <w:color w:val="000000"/>
          <w:lang w:val="es-CR"/>
        </w:rPr>
        <w:t xml:space="preserve">La Corte recuerda que los casos </w:t>
      </w:r>
      <w:r w:rsidRPr="00D13792">
        <w:rPr>
          <w:rStyle w:val="Strong"/>
          <w:b w:val="0"/>
          <w:i/>
          <w:color w:val="000000"/>
          <w:shd w:val="clear" w:color="auto" w:fill="FFFFFF"/>
          <w:lang w:val="es-CR"/>
        </w:rPr>
        <w:t>Masacre Plan de Sánchez</w:t>
      </w:r>
      <w:r w:rsidRPr="00D13792">
        <w:rPr>
          <w:rStyle w:val="Strong"/>
          <w:b w:val="0"/>
          <w:color w:val="000000"/>
          <w:shd w:val="clear" w:color="auto" w:fill="FFFFFF"/>
          <w:lang w:val="es-CR"/>
        </w:rPr>
        <w:t xml:space="preserve"> y</w:t>
      </w:r>
      <w:r w:rsidRPr="00D13792">
        <w:rPr>
          <w:rStyle w:val="Strong"/>
          <w:color w:val="000000"/>
          <w:shd w:val="clear" w:color="auto" w:fill="FFFFFF"/>
          <w:lang w:val="es-CR"/>
        </w:rPr>
        <w:t xml:space="preserve"> </w:t>
      </w:r>
      <w:r w:rsidRPr="00D13792">
        <w:rPr>
          <w:i/>
          <w:color w:val="000000"/>
          <w:lang w:val="es-CR"/>
        </w:rPr>
        <w:t xml:space="preserve">Masacres de Río Negro, </w:t>
      </w:r>
      <w:r w:rsidRPr="00D13792">
        <w:rPr>
          <w:color w:val="000000"/>
          <w:lang w:val="es-CR"/>
        </w:rPr>
        <w:t xml:space="preserve">ambos conocidos por este Tribunal, también se refieren a masacres, ejecuciones, violaciones sexuales y torturas, </w:t>
      </w:r>
      <w:r w:rsidRPr="00D13792">
        <w:rPr>
          <w:rFonts w:eastAsia="Calibri"/>
          <w:color w:val="000000"/>
          <w:lang w:val="es-CR"/>
        </w:rPr>
        <w:t>entre</w:t>
      </w:r>
      <w:r w:rsidRPr="00D13792">
        <w:rPr>
          <w:color w:val="000000"/>
          <w:lang w:val="es-CR"/>
        </w:rPr>
        <w:t xml:space="preserve"> otros, que tuvieron lugar en la primera mitad de la década de los 80 en el marco del conflicto armado interno guatemalteco, todos estos contra miembros del pueblo maya achí, entre ellos, niñas, niños, mujeres y hombres que residían en aldeas y comunidades del municipio de Rabinal, y atribuidos a miembros de las fuerzas de seguridad del Estado. En el </w:t>
      </w:r>
      <w:r w:rsidRPr="00D13792">
        <w:rPr>
          <w:color w:val="000000"/>
          <w:lang w:val="es-CR"/>
        </w:rPr>
        <w:lastRenderedPageBreak/>
        <w:t xml:space="preserve">caso de la </w:t>
      </w:r>
      <w:r w:rsidRPr="00D13792">
        <w:rPr>
          <w:i/>
          <w:color w:val="000000"/>
          <w:lang w:val="es-CR"/>
        </w:rPr>
        <w:t xml:space="preserve">Masacre de Plan de Sánchez, </w:t>
      </w:r>
      <w:r w:rsidRPr="00D13792">
        <w:rPr>
          <w:color w:val="000000"/>
          <w:lang w:val="es-CR"/>
        </w:rPr>
        <w:t>se denunció la comisión de diversos delitos, entre ellos, el de genocidio, en junio de 1997</w:t>
      </w:r>
      <w:r w:rsidRPr="00D13792">
        <w:rPr>
          <w:rStyle w:val="FootnoteReference"/>
          <w:color w:val="000000"/>
          <w:lang w:val="es-CR"/>
        </w:rPr>
        <w:footnoteReference w:id="312"/>
      </w:r>
      <w:r w:rsidRPr="00D13792">
        <w:rPr>
          <w:color w:val="000000"/>
          <w:lang w:val="es-CR"/>
        </w:rPr>
        <w:t xml:space="preserve">. </w:t>
      </w:r>
    </w:p>
    <w:p w:rsidR="006A0E1C" w:rsidRPr="00D13792" w:rsidRDefault="006A0E1C" w:rsidP="006A0E1C">
      <w:pPr>
        <w:pStyle w:val="ListParagraph"/>
        <w:tabs>
          <w:tab w:val="left" w:pos="720"/>
        </w:tabs>
        <w:autoSpaceDE w:val="0"/>
        <w:autoSpaceDN w:val="0"/>
        <w:adjustRightInd w:val="0"/>
        <w:spacing w:after="0" w:line="240" w:lineRule="auto"/>
        <w:ind w:left="15"/>
        <w:jc w:val="both"/>
        <w:rPr>
          <w:rFonts w:ascii="Verdana" w:eastAsia="Calibri" w:hAnsi="Verdana"/>
          <w:i/>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cs="Arial"/>
          <w:color w:val="000000"/>
          <w:lang w:val="es-CR"/>
        </w:rPr>
      </w:pPr>
      <w:r w:rsidRPr="00D13792">
        <w:rPr>
          <w:rFonts w:cs="Arial"/>
          <w:color w:val="000000"/>
          <w:lang w:val="es-CR"/>
        </w:rPr>
        <w:t xml:space="preserve">En este contexto, consta que el 2 de septiembre de 1996 el Procurador de los Derechos Humanos dictó una resolución relacionada con los cementerios clandestinos localizados en las aldeas de Plan de Sánchez, Río Negro y Chichupac, entre otras, en la cual </w:t>
      </w:r>
      <w:r w:rsidRPr="00D13792">
        <w:rPr>
          <w:rFonts w:eastAsia="Calibri"/>
          <w:color w:val="000000"/>
          <w:lang w:val="es-CR"/>
        </w:rPr>
        <w:t>indicó</w:t>
      </w:r>
      <w:r w:rsidRPr="00D13792">
        <w:rPr>
          <w:rFonts w:cs="Arial"/>
          <w:color w:val="000000"/>
          <w:lang w:val="es-CR"/>
        </w:rPr>
        <w:t xml:space="preserve"> que las matanzas cometidas en dichos lugares no eran aisladas y constituían crímenes de lesa humanidad</w:t>
      </w:r>
      <w:r w:rsidRPr="00D13792">
        <w:rPr>
          <w:rFonts w:cs="Arial"/>
          <w:lang w:val="es-CR"/>
        </w:rPr>
        <w:t xml:space="preserve">, señalando como responsables “en forma directa a las autoridades civiles y militares que en la fecha de ejecución de los actos, ejercía[n] funciones de jurisdicción en el lugar de los hechos”, así como a “los gobiernos de la República de la fecha en que sucedieron los hechos y a los Ministros de la Defensa Nacional y de Gobernación de esos gobiernos”. También recomendó al Fiscal General de la Nación “una severa, pronta y continuada investigación y prosecución de estos gravísimos hechos, hasta lograr el castigo para los </w:t>
      </w:r>
      <w:r w:rsidRPr="00D13792">
        <w:rPr>
          <w:rFonts w:cs="Arial"/>
          <w:bCs/>
          <w:lang w:val="es-CR"/>
        </w:rPr>
        <w:t>responsables”</w:t>
      </w:r>
      <w:r w:rsidRPr="00D13792">
        <w:rPr>
          <w:rStyle w:val="FootnoteReference"/>
          <w:rFonts w:cs="Arial"/>
          <w:color w:val="000000"/>
          <w:lang w:val="es-CR"/>
        </w:rPr>
        <w:t xml:space="preserve"> </w:t>
      </w:r>
      <w:r w:rsidRPr="00D13792">
        <w:rPr>
          <w:rStyle w:val="FootnoteReference"/>
          <w:rFonts w:cs="Arial"/>
          <w:color w:val="000000"/>
          <w:lang w:val="es-CR"/>
        </w:rPr>
        <w:footnoteReference w:id="313"/>
      </w:r>
      <w:r w:rsidRPr="00D13792">
        <w:rPr>
          <w:rFonts w:cs="Arial"/>
          <w:color w:val="000000"/>
          <w:lang w:val="es-CR"/>
        </w:rPr>
        <w:t xml:space="preserve">. </w:t>
      </w:r>
    </w:p>
    <w:p w:rsidR="006A0E1C" w:rsidRPr="00D13792" w:rsidRDefault="006A0E1C" w:rsidP="006A0E1C">
      <w:pPr>
        <w:pStyle w:val="ListParagraph"/>
        <w:spacing w:after="0"/>
        <w:rPr>
          <w:rFonts w:cs="Arial"/>
          <w:color w:val="000000"/>
          <w:lang w:val="es-CR"/>
        </w:rPr>
      </w:pPr>
    </w:p>
    <w:p w:rsidR="006A0E1C" w:rsidRPr="00D13792" w:rsidRDefault="006A0E1C" w:rsidP="006A0E1C">
      <w:pPr>
        <w:pStyle w:val="Prrafodelista2"/>
        <w:numPr>
          <w:ilvl w:val="0"/>
          <w:numId w:val="23"/>
        </w:numPr>
        <w:tabs>
          <w:tab w:val="left" w:pos="720"/>
        </w:tabs>
        <w:ind w:right="-90"/>
        <w:jc w:val="both"/>
        <w:rPr>
          <w:rFonts w:cs="Arial"/>
          <w:color w:val="000000"/>
          <w:lang w:val="es-CR"/>
        </w:rPr>
      </w:pPr>
      <w:r w:rsidRPr="00D13792">
        <w:rPr>
          <w:rFonts w:cs="Arial"/>
          <w:color w:val="000000"/>
          <w:lang w:val="es-CR"/>
        </w:rPr>
        <w:t>Por otra parte, los días 25 de octubre de 2000 y 12 de julio de 2005 el señor Miguel Sic Osorio acudió ante la Unidad de Asuntos Internos adscrita a la Fiscalía de Delitos Administrativos</w:t>
      </w:r>
      <w:r w:rsidRPr="00D13792">
        <w:rPr>
          <w:rStyle w:val="FootnoteReference"/>
          <w:rFonts w:cs="Arial"/>
          <w:color w:val="000000"/>
          <w:lang w:val="es-CR"/>
        </w:rPr>
        <w:footnoteReference w:id="314"/>
      </w:r>
      <w:r w:rsidRPr="00D13792">
        <w:rPr>
          <w:rFonts w:cs="Arial"/>
          <w:color w:val="000000"/>
          <w:lang w:val="es-CR"/>
        </w:rPr>
        <w:t xml:space="preserve"> y declaró que “los patrulleros y los comisionados militares […] por discriminación querían terminar con nosotros porque dijeron que querían terminar con los indios”. También manifestó que “[h]asta antes de la masacre habían personas que practicaban la religión Maya y con la masacre mataron a todos los sacerdotes Mayas”</w:t>
      </w:r>
      <w:r w:rsidRPr="00D13792">
        <w:rPr>
          <w:rStyle w:val="FootnoteReference"/>
          <w:rFonts w:cs="Arial"/>
          <w:color w:val="000000"/>
          <w:lang w:val="es-CR"/>
        </w:rPr>
        <w:footnoteReference w:id="315"/>
      </w:r>
      <w:r w:rsidRPr="00D13792">
        <w:rPr>
          <w:rFonts w:cs="Arial"/>
          <w:color w:val="000000"/>
          <w:lang w:val="es-CR"/>
        </w:rPr>
        <w:t xml:space="preserve">. Además, la Corte destaca que </w:t>
      </w:r>
      <w:r w:rsidRPr="00D13792">
        <w:rPr>
          <w:rFonts w:cs="Calibri,Bold"/>
          <w:bCs/>
          <w:lang w:val="es-CR"/>
        </w:rPr>
        <w:t xml:space="preserve">el 18 de julio de 2013 el </w:t>
      </w:r>
      <w:r w:rsidRPr="00D13792">
        <w:rPr>
          <w:rStyle w:val="CommentReference"/>
          <w:rFonts w:cs="Arial"/>
          <w:sz w:val="20"/>
          <w:szCs w:val="20"/>
          <w:lang w:val="es-CR"/>
        </w:rPr>
        <w:t>Auxiliar Fiscal I de la Fiscalía Municipal del Ministerio Público de Rabinal señaló al Juez de Primera Instancia Penal de Narcoactividad y Delitos contra el Medio Ambiente que los hechos denunciados por la señora Juana García Depaz incluían “delitos de lesa humanidad”</w:t>
      </w:r>
      <w:r w:rsidRPr="00D13792">
        <w:rPr>
          <w:rStyle w:val="FootnoteReference"/>
          <w:rFonts w:cs="Arial"/>
          <w:lang w:val="es-CR"/>
        </w:rPr>
        <w:footnoteReference w:id="316"/>
      </w:r>
      <w:r w:rsidRPr="00D13792">
        <w:rPr>
          <w:rStyle w:val="CommentReference"/>
          <w:rFonts w:cs="Arial"/>
          <w:sz w:val="20"/>
          <w:szCs w:val="20"/>
          <w:lang w:val="es-CR"/>
        </w:rPr>
        <w:t xml:space="preserve">. En similar sentido, dentro del </w:t>
      </w:r>
      <w:r w:rsidRPr="00D13792">
        <w:rPr>
          <w:lang w:val="es-CR"/>
        </w:rPr>
        <w:t>expediente M.P. 247/1999/492 con Causa 255-93 Of. 4to, consta un oficio del Auxiliar Fiscal del Ministerio Público de Baja Verapaz dirigido a la Fiscalía de la Unidad de Casos Especiales y Violaciones de Derechos Humanos, de 14 de junio de 2006, por medio del cual se remite el expediente “que hace referencia al genocidio cometido en la Aldea de Chichupac [M]unicipio de Rabinal […]”</w:t>
      </w:r>
      <w:r w:rsidRPr="00D13792">
        <w:rPr>
          <w:rStyle w:val="FootnoteReference"/>
          <w:lang w:val="es-CR"/>
        </w:rPr>
        <w:footnoteReference w:id="317"/>
      </w:r>
      <w:r w:rsidRPr="00D13792">
        <w:rPr>
          <w:lang w:val="es-CR"/>
        </w:rPr>
        <w:t>.</w:t>
      </w:r>
    </w:p>
    <w:p w:rsidR="006A0E1C" w:rsidRPr="00D13792" w:rsidRDefault="006A0E1C" w:rsidP="006A0E1C">
      <w:pPr>
        <w:pStyle w:val="ListParagraph"/>
        <w:spacing w:after="0" w:line="240" w:lineRule="auto"/>
        <w:ind w:left="0"/>
        <w:jc w:val="both"/>
        <w:rPr>
          <w:rFonts w:ascii="Verdana" w:hAnsi="Verdana" w:cs="Arial"/>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cs="Arial"/>
          <w:color w:val="000000"/>
          <w:lang w:val="es-CR"/>
        </w:rPr>
      </w:pPr>
      <w:r w:rsidRPr="00D13792">
        <w:rPr>
          <w:rFonts w:cs="Arial"/>
          <w:color w:val="000000"/>
          <w:lang w:val="es-CR"/>
        </w:rPr>
        <w:t xml:space="preserve">De lo anterior, se desprende que, al menos desde el año 1996 el Estado tenía conocimiento de que existían posibles crímenes de lesa humanidad en el Municipio de Rabinal, y al menos desde junio de 1999, fecha en que la CEH publicó su Informe Final, tenía conocimiento de que los hechos cometidos en este caso posiblemente fueron motivados por conceptos racistas y/o constituyeron actos de genocidio. Por tanto, el Estado tenía la obligación de investigar los hechos del caso tomando en cuenta dichos alegatos, pero no consta de la prueba que esto se haya hecho, pese a que el Tribunal solicitó al Estado dicha información. De </w:t>
      </w:r>
      <w:r w:rsidRPr="00D13792">
        <w:rPr>
          <w:rFonts w:cs="Arial"/>
          <w:color w:val="000000"/>
          <w:lang w:val="es-CR"/>
        </w:rPr>
        <w:lastRenderedPageBreak/>
        <w:t>este modo, Guatemala no puede alegar</w:t>
      </w:r>
      <w:r w:rsidRPr="00D13792">
        <w:rPr>
          <w:color w:val="000000"/>
          <w:spacing w:val="-3"/>
          <w:lang w:val="es-CR"/>
        </w:rPr>
        <w:t xml:space="preserve"> que “</w:t>
      </w:r>
      <w:r w:rsidRPr="00D13792">
        <w:rPr>
          <w:rFonts w:eastAsia="Calibri"/>
          <w:color w:val="000000"/>
          <w:lang w:val="es-CR"/>
        </w:rPr>
        <w:t xml:space="preserve">no sería aplicable el delito de genocidio a los hechos del caso”, sin que conste que se haya realizado una investigación en </w:t>
      </w:r>
      <w:r w:rsidRPr="00D13792">
        <w:rPr>
          <w:rFonts w:cs="Arial"/>
          <w:color w:val="000000"/>
          <w:lang w:val="es-CR"/>
        </w:rPr>
        <w:t>cuanto a este aspecto</w:t>
      </w:r>
      <w:r w:rsidRPr="00D13792">
        <w:rPr>
          <w:rFonts w:eastAsia="Calibri"/>
          <w:color w:val="000000"/>
          <w:lang w:val="es-CR"/>
        </w:rPr>
        <w:t xml:space="preserve"> a fin de esclarecer los hechos y determinar las responsabilidades que correspondan.</w:t>
      </w:r>
    </w:p>
    <w:p w:rsidR="006A0E1C" w:rsidRPr="00D13792" w:rsidRDefault="006A0E1C" w:rsidP="006A0E1C">
      <w:pPr>
        <w:pStyle w:val="Prrafodelista2"/>
        <w:tabs>
          <w:tab w:val="left" w:pos="720"/>
        </w:tabs>
        <w:ind w:left="0" w:right="-90"/>
        <w:jc w:val="both"/>
        <w:rPr>
          <w:rFonts w:cs="Arial"/>
          <w:color w:val="000000"/>
          <w:lang w:val="es-CR"/>
        </w:rPr>
      </w:pPr>
    </w:p>
    <w:p w:rsidR="006A0E1C" w:rsidRPr="00D13792" w:rsidRDefault="006A0E1C" w:rsidP="006A0E1C">
      <w:pPr>
        <w:pStyle w:val="Prrafodelista2"/>
        <w:numPr>
          <w:ilvl w:val="0"/>
          <w:numId w:val="23"/>
        </w:numPr>
        <w:tabs>
          <w:tab w:val="left" w:pos="720"/>
        </w:tabs>
        <w:ind w:right="-90"/>
        <w:jc w:val="both"/>
        <w:rPr>
          <w:rFonts w:cs="Arial"/>
          <w:color w:val="000000"/>
          <w:lang w:val="es-CR"/>
        </w:rPr>
      </w:pPr>
      <w:r w:rsidRPr="00D13792">
        <w:rPr>
          <w:rFonts w:cs="Arial"/>
          <w:color w:val="000000"/>
          <w:lang w:val="es-CR"/>
        </w:rPr>
        <w:t xml:space="preserve">Finalmente, en cuanto a la falta de investigación de las violaciones sexuales cometidas por agentes de seguridad del Estado en el presente caso, </w:t>
      </w:r>
      <w:r w:rsidRPr="00D13792">
        <w:rPr>
          <w:lang w:val="es-CR"/>
        </w:rPr>
        <w:t>la Corte considera que toda vez que existan indicios de violencia sexual en el marco de un conflicto armado interno, esta no debe ser tratada como un delito colateral, sino que su investigación debe formar parte de cada etapa de la estrategia global de investigación de posibles torturas, crímenes de lesa humanidad, crímenes de guerra o actos de genocidio que pudieran haberse cometido</w:t>
      </w:r>
      <w:r w:rsidRPr="00D13792">
        <w:rPr>
          <w:rStyle w:val="FootnoteReference"/>
          <w:color w:val="000000"/>
          <w:lang w:val="es-CR"/>
        </w:rPr>
        <w:footnoteReference w:id="318"/>
      </w:r>
      <w:r w:rsidRPr="00D13792">
        <w:rPr>
          <w:lang w:val="es-CR"/>
        </w:rPr>
        <w:t>. La investigación de violencia sexual deberá llevarse a cabo respetando las características culturales de las víctimas. Por otra parte, se deberán investigar posibles vínculos entre los responsables directos de la violencia sexual y sus superiores jerárquicos, así como la existencia de componentes que demostrarían una intención discriminatoria y/o la intención cometer un genocidio</w:t>
      </w:r>
      <w:r w:rsidRPr="00D13792">
        <w:rPr>
          <w:rStyle w:val="FootnoteReference"/>
          <w:lang w:val="es-CR"/>
        </w:rPr>
        <w:footnoteReference w:id="319"/>
      </w:r>
      <w:r w:rsidRPr="00D13792">
        <w:rPr>
          <w:lang w:val="es-CR"/>
        </w:rPr>
        <w:t>.</w:t>
      </w:r>
      <w:r w:rsidRPr="00D13792">
        <w:rPr>
          <w:sz w:val="16"/>
          <w:szCs w:val="16"/>
          <w:lang w:val="es-CR"/>
        </w:rPr>
        <w:t xml:space="preserve">  </w:t>
      </w:r>
    </w:p>
    <w:p w:rsidR="006A0E1C" w:rsidRPr="00D13792" w:rsidRDefault="006A0E1C" w:rsidP="006A0E1C">
      <w:pPr>
        <w:pStyle w:val="Prrafodelista2"/>
        <w:tabs>
          <w:tab w:val="left" w:pos="720"/>
        </w:tabs>
        <w:ind w:left="0" w:right="-90"/>
        <w:jc w:val="both"/>
        <w:rPr>
          <w:rFonts w:cs="Arial"/>
          <w:i/>
          <w:color w:val="000000"/>
          <w:lang w:val="es-CR"/>
        </w:rPr>
      </w:pPr>
    </w:p>
    <w:p w:rsidR="006A0E1C" w:rsidRPr="00D13792" w:rsidRDefault="006A0E1C" w:rsidP="006A0E1C">
      <w:pPr>
        <w:pStyle w:val="Prrafodelista2"/>
        <w:numPr>
          <w:ilvl w:val="0"/>
          <w:numId w:val="23"/>
        </w:numPr>
        <w:tabs>
          <w:tab w:val="left" w:pos="720"/>
        </w:tabs>
        <w:ind w:right="-90"/>
        <w:jc w:val="both"/>
        <w:rPr>
          <w:rFonts w:cs="Arial"/>
          <w:color w:val="000000"/>
          <w:lang w:val="es-CR"/>
        </w:rPr>
      </w:pPr>
      <w:r w:rsidRPr="00D13792">
        <w:rPr>
          <w:rFonts w:eastAsia="Calibri"/>
          <w:color w:val="000000"/>
          <w:lang w:val="es-CR"/>
        </w:rPr>
        <w:t xml:space="preserve">Por lo anterior, la Corte considera que el Estado incumplió su obligación de investigar las graves violaciones de derechos humanos ocurridas y/o alegadas en el presente caso, inclusive, la alegada comisión de violencia y violación sexual, trabajos forzosos, torturas, crímenes de lesa humanidad, crímenes de guerra y actos de genocidio.  </w:t>
      </w:r>
    </w:p>
    <w:p w:rsidR="006A0E1C" w:rsidRPr="00D13792" w:rsidRDefault="006A0E1C" w:rsidP="006A0E1C">
      <w:pPr>
        <w:pStyle w:val="ListParagraph"/>
        <w:spacing w:after="0" w:line="240" w:lineRule="auto"/>
        <w:jc w:val="both"/>
        <w:rPr>
          <w:rFonts w:ascii="Verdana" w:hAnsi="Verdana" w:cs="Arial"/>
          <w:color w:val="000000"/>
          <w:sz w:val="20"/>
          <w:szCs w:val="20"/>
          <w:lang w:val="es-CR"/>
        </w:rPr>
      </w:pPr>
    </w:p>
    <w:p w:rsidR="006A0E1C" w:rsidRPr="00D13792" w:rsidRDefault="006A0E1C" w:rsidP="006A0E1C">
      <w:pPr>
        <w:pStyle w:val="Prrafodelista2"/>
        <w:numPr>
          <w:ilvl w:val="0"/>
          <w:numId w:val="23"/>
        </w:numPr>
        <w:tabs>
          <w:tab w:val="left" w:pos="720"/>
        </w:tabs>
        <w:ind w:right="-90"/>
        <w:jc w:val="both"/>
        <w:rPr>
          <w:rFonts w:eastAsia="Batang"/>
          <w:bCs/>
          <w:snapToGrid w:val="0"/>
          <w:color w:val="000000"/>
          <w:kern w:val="32"/>
          <w:lang w:val="es-CR" w:eastAsia="es-ES"/>
        </w:rPr>
      </w:pPr>
      <w:r w:rsidRPr="00D13792">
        <w:rPr>
          <w:rFonts w:eastAsia="Batang"/>
          <w:bCs/>
          <w:snapToGrid w:val="0"/>
          <w:color w:val="000000"/>
          <w:kern w:val="32"/>
          <w:lang w:val="es-CR" w:eastAsia="es-ES"/>
        </w:rPr>
        <w:t>Ahora bien, la Comisión alegó que el Estado violó el artículo 24 de la Convención Americana al haberse abstenido de investigar el patrón de discriminación racial que permitió la persecución del pueblo indígena maya. Al respecto, en casos anteriores, la Corte ha establecido violaciones al artículo 24 de la Convención cuando se constató una vulneración al acceso a la justicia con base en criterios discriminatorios</w:t>
      </w:r>
      <w:r w:rsidRPr="00D13792">
        <w:rPr>
          <w:rStyle w:val="FootnoteReference"/>
          <w:rFonts w:eastAsia="Batang"/>
          <w:bCs/>
          <w:snapToGrid w:val="0"/>
          <w:color w:val="000000"/>
          <w:kern w:val="32"/>
          <w:lang w:val="es-CR" w:eastAsia="es-ES"/>
        </w:rPr>
        <w:footnoteReference w:id="320"/>
      </w:r>
      <w:r w:rsidRPr="00D13792">
        <w:rPr>
          <w:rFonts w:eastAsia="Batang"/>
          <w:bCs/>
          <w:snapToGrid w:val="0"/>
          <w:color w:val="000000"/>
          <w:kern w:val="32"/>
          <w:lang w:val="es-CR" w:eastAsia="es-ES"/>
        </w:rPr>
        <w:t xml:space="preserve">. Sin embargo, en este caso, la Comisión no </w:t>
      </w:r>
      <w:r w:rsidRPr="00D13792">
        <w:rPr>
          <w:rFonts w:eastAsia="Batang"/>
          <w:bCs/>
          <w:snapToGrid w:val="0"/>
          <w:color w:val="000000"/>
          <w:kern w:val="32"/>
          <w:lang w:val="es-CR" w:eastAsia="es-ES"/>
        </w:rPr>
        <w:lastRenderedPageBreak/>
        <w:t>alegó hechos concretos de discriminación en el marco de las investigaciones que constituyeran obstáculos para que los familiares de las víctimas pudieran acceder a la justicia, en razón a su pertenencia al pueblo indígena maya. De este modo, la Corte no cuenta con elementos suficientes para pronunciarse sobre esta alegada violación.</w:t>
      </w:r>
      <w:r w:rsidRPr="00D13792">
        <w:rPr>
          <w:rFonts w:cs="Verdana"/>
          <w:color w:val="000000"/>
          <w:lang w:val="es-CR"/>
        </w:rPr>
        <w:t xml:space="preserve"> </w:t>
      </w:r>
    </w:p>
    <w:p w:rsidR="006A0E1C" w:rsidRPr="00D13792" w:rsidRDefault="006A0E1C" w:rsidP="006A0E1C">
      <w:pPr>
        <w:pStyle w:val="ListParagraph"/>
        <w:tabs>
          <w:tab w:val="left" w:pos="720"/>
        </w:tabs>
        <w:autoSpaceDE w:val="0"/>
        <w:autoSpaceDN w:val="0"/>
        <w:adjustRightInd w:val="0"/>
        <w:spacing w:after="0" w:line="240" w:lineRule="auto"/>
        <w:ind w:left="15"/>
        <w:jc w:val="both"/>
        <w:rPr>
          <w:rFonts w:ascii="Verdana" w:eastAsia="Batang" w:hAnsi="Verdana"/>
          <w:bCs/>
          <w:snapToGrid w:val="0"/>
          <w:color w:val="000000"/>
          <w:kern w:val="32"/>
          <w:sz w:val="16"/>
          <w:szCs w:val="20"/>
          <w:lang w:val="es-CR" w:eastAsia="es-ES"/>
        </w:rPr>
      </w:pPr>
    </w:p>
    <w:p w:rsidR="006A0E1C" w:rsidRPr="00D13792" w:rsidRDefault="006A0E1C" w:rsidP="006A0E1C">
      <w:pPr>
        <w:pStyle w:val="Heading3"/>
        <w:ind w:left="0"/>
        <w:rPr>
          <w:i/>
          <w:lang w:val="es-CR"/>
        </w:rPr>
      </w:pPr>
      <w:bookmarkStart w:id="236" w:name="_Toc460938893"/>
      <w:bookmarkStart w:id="237" w:name="_Toc469670060"/>
      <w:r w:rsidRPr="00D13792">
        <w:rPr>
          <w:i/>
          <w:lang w:val="es-CR"/>
        </w:rPr>
        <w:t>B.3. Derecho a conocer la verdad y plazo razonable</w:t>
      </w:r>
      <w:bookmarkEnd w:id="236"/>
      <w:bookmarkEnd w:id="237"/>
      <w:r w:rsidRPr="00D13792">
        <w:rPr>
          <w:i/>
          <w:lang w:val="es-CR"/>
        </w:rPr>
        <w:t xml:space="preserve"> </w:t>
      </w:r>
    </w:p>
    <w:p w:rsidR="006A0E1C" w:rsidRPr="00D13792" w:rsidRDefault="006A0E1C" w:rsidP="006A0E1C">
      <w:pPr>
        <w:pStyle w:val="ListParagraph"/>
        <w:autoSpaceDE w:val="0"/>
        <w:autoSpaceDN w:val="0"/>
        <w:adjustRightInd w:val="0"/>
        <w:spacing w:after="0" w:line="240" w:lineRule="auto"/>
        <w:ind w:left="0"/>
        <w:jc w:val="both"/>
        <w:rPr>
          <w:rFonts w:ascii="Verdana" w:eastAsia="Calibri" w:hAnsi="Verdana"/>
          <w:b/>
          <w:i/>
          <w:color w:val="000000"/>
          <w:sz w:val="16"/>
          <w:szCs w:val="20"/>
          <w:lang w:val="es-CR"/>
        </w:rPr>
      </w:pPr>
    </w:p>
    <w:p w:rsidR="006A0E1C" w:rsidRPr="00D13792" w:rsidRDefault="006A0E1C" w:rsidP="006A0E1C">
      <w:pPr>
        <w:pStyle w:val="Prrafodelista2"/>
        <w:numPr>
          <w:ilvl w:val="0"/>
          <w:numId w:val="23"/>
        </w:numPr>
        <w:tabs>
          <w:tab w:val="left" w:pos="720"/>
        </w:tabs>
        <w:ind w:right="-90"/>
        <w:jc w:val="both"/>
        <w:rPr>
          <w:i/>
          <w:color w:val="000000"/>
          <w:lang w:val="es-CR"/>
        </w:rPr>
      </w:pPr>
      <w:r w:rsidRPr="00D13792">
        <w:rPr>
          <w:color w:val="000000"/>
          <w:lang w:val="es-CR"/>
        </w:rPr>
        <w:t xml:space="preserve">En cuanto a la celeridad del proceso en general, este Tribunal ha señalado que el “plazo razonable” al que se refiere el artículo 8.1 de la Convención se debe apreciar en relación con la </w:t>
      </w:r>
      <w:r w:rsidRPr="00D13792">
        <w:rPr>
          <w:rFonts w:eastAsia="Batang"/>
          <w:bCs/>
          <w:snapToGrid w:val="0"/>
          <w:color w:val="000000"/>
          <w:kern w:val="32"/>
          <w:lang w:val="es-CR" w:eastAsia="es-ES"/>
        </w:rPr>
        <w:t>duración</w:t>
      </w:r>
      <w:r w:rsidRPr="00D13792">
        <w:rPr>
          <w:color w:val="000000"/>
          <w:lang w:val="es-CR"/>
        </w:rPr>
        <w:t xml:space="preserve"> total del procedimiento que se desarrolla hasta que se dicta la sentencia definitiva. El derecho de acceso a la justicia implica que la solución de la controversia se </w:t>
      </w:r>
      <w:r w:rsidRPr="00D13792">
        <w:rPr>
          <w:rFonts w:eastAsia="Batang"/>
          <w:bCs/>
          <w:snapToGrid w:val="0"/>
          <w:color w:val="000000"/>
          <w:kern w:val="32"/>
          <w:lang w:val="es-CR" w:eastAsia="es-ES"/>
        </w:rPr>
        <w:t>produzca</w:t>
      </w:r>
      <w:r w:rsidRPr="00D13792">
        <w:rPr>
          <w:color w:val="000000"/>
          <w:lang w:val="es-CR"/>
        </w:rPr>
        <w:t xml:space="preserve"> en tiempo razonable, ya que una demora prolongada puede llegar a constituir, por sí misma, una violación de las garantías judiciales</w:t>
      </w:r>
      <w:r w:rsidRPr="00D13792">
        <w:rPr>
          <w:rStyle w:val="FootnoteReference"/>
          <w:color w:val="000000"/>
          <w:lang w:val="es-CR"/>
        </w:rPr>
        <w:footnoteReference w:id="321"/>
      </w:r>
      <w:r w:rsidRPr="00D13792">
        <w:rPr>
          <w:color w:val="000000"/>
          <w:lang w:val="es-CR"/>
        </w:rPr>
        <w:t xml:space="preserve">. </w:t>
      </w:r>
      <w:r w:rsidRPr="00D13792">
        <w:rPr>
          <w:rFonts w:cs="Verdana"/>
          <w:color w:val="000000"/>
          <w:lang w:val="es-CR"/>
        </w:rPr>
        <w:t>En ese sentido, la Corte usualmente ha considerado los siguientes elementos para determinar la razonabilidad del plazo: a) la complejidad del asunto; b) la actividad procesal del interesado; c) la conducta de las autoridades judiciales, y d) la afectación generada en la situación jurídica de la persona involucrada en el proceso. Sin embargo, en este caso han transcurrido aproximadamente 34 años desde que ocurrió la masacre de la clínica de la aldea de Chichupac, entre 30 y 35 años aproximadamente desde que sucedieron los demás hechos del caso, y más de dos décadas desde que se recibieron las primeras denuncias, sin que ninguna de las investigaciones analizadas en este capítulo haya superado la etapa investigativa. Es decir, el caso se encuentra en total impunidad y, por tanto, la Corte considera evidente que la investigación no se ha llevado a cabo dentro de un plazo razonable.</w:t>
      </w:r>
    </w:p>
    <w:p w:rsidR="006A0E1C" w:rsidRPr="00D13792" w:rsidRDefault="006A0E1C" w:rsidP="006A0E1C">
      <w:pPr>
        <w:autoSpaceDE w:val="0"/>
        <w:autoSpaceDN w:val="0"/>
        <w:spacing w:line="240" w:lineRule="auto"/>
        <w:ind w:left="-142" w:right="-138"/>
        <w:rPr>
          <w:i/>
          <w:color w:val="000000"/>
          <w:sz w:val="20"/>
          <w:szCs w:val="20"/>
        </w:rPr>
      </w:pPr>
    </w:p>
    <w:p w:rsidR="006A0E1C" w:rsidRPr="00D13792" w:rsidRDefault="006A0E1C" w:rsidP="006A0E1C">
      <w:pPr>
        <w:pStyle w:val="Prrafodelista2"/>
        <w:numPr>
          <w:ilvl w:val="0"/>
          <w:numId w:val="23"/>
        </w:numPr>
        <w:tabs>
          <w:tab w:val="left" w:pos="720"/>
        </w:tabs>
        <w:ind w:right="-90"/>
        <w:jc w:val="both"/>
        <w:rPr>
          <w:color w:val="000000"/>
          <w:lang w:val="es-CR"/>
        </w:rPr>
      </w:pPr>
      <w:r w:rsidRPr="00D13792">
        <w:rPr>
          <w:color w:val="000000"/>
          <w:spacing w:val="-2"/>
          <w:lang w:val="es-CR"/>
        </w:rPr>
        <w:t xml:space="preserve">Por otra parte, este Tribunal ha </w:t>
      </w:r>
      <w:r w:rsidRPr="00D13792">
        <w:rPr>
          <w:rFonts w:cs="Arial"/>
          <w:color w:val="000000"/>
          <w:spacing w:val="-2"/>
          <w:lang w:val="es-CR"/>
        </w:rPr>
        <w:t>determinado</w:t>
      </w:r>
      <w:r w:rsidRPr="00D13792">
        <w:rPr>
          <w:color w:val="000000"/>
          <w:spacing w:val="-2"/>
          <w:lang w:val="es-CR"/>
        </w:rPr>
        <w:t xml:space="preserve"> que toda persona, incluyendo los familiares de las víctimas de graves violaciones a derechos humanos, tiene el derecho a conocer la verdad. En </w:t>
      </w:r>
      <w:r w:rsidRPr="00D13792">
        <w:rPr>
          <w:rFonts w:cs="Verdana"/>
          <w:color w:val="000000"/>
          <w:lang w:val="es-CR"/>
        </w:rPr>
        <w:t>consecuencia</w:t>
      </w:r>
      <w:r w:rsidRPr="00D13792">
        <w:rPr>
          <w:color w:val="000000"/>
          <w:spacing w:val="-2"/>
          <w:lang w:val="es-CR"/>
        </w:rPr>
        <w:t xml:space="preserve">, los </w:t>
      </w:r>
      <w:r w:rsidRPr="00D13792">
        <w:rPr>
          <w:rFonts w:cs="Verdana"/>
          <w:color w:val="000000"/>
          <w:lang w:val="es-CR"/>
        </w:rPr>
        <w:t>familiares</w:t>
      </w:r>
      <w:r w:rsidRPr="00D13792">
        <w:rPr>
          <w:color w:val="000000"/>
          <w:spacing w:val="-2"/>
          <w:lang w:val="es-CR"/>
        </w:rPr>
        <w:t xml:space="preserve"> de las víctimas y la sociedad deben ser informados de </w:t>
      </w:r>
      <w:r w:rsidRPr="00D13792">
        <w:rPr>
          <w:rFonts w:eastAsia="Batang"/>
          <w:bCs/>
          <w:snapToGrid w:val="0"/>
          <w:color w:val="000000"/>
          <w:kern w:val="32"/>
          <w:lang w:val="es-CR" w:eastAsia="es-ES"/>
        </w:rPr>
        <w:t>todo</w:t>
      </w:r>
      <w:r w:rsidRPr="00D13792">
        <w:rPr>
          <w:color w:val="000000"/>
          <w:spacing w:val="-2"/>
          <w:lang w:val="es-CR"/>
        </w:rPr>
        <w:t xml:space="preserve"> lo sucedido con relación a </w:t>
      </w:r>
      <w:r w:rsidRPr="00D13792">
        <w:rPr>
          <w:rFonts w:cs="Verdana"/>
          <w:color w:val="000000"/>
          <w:lang w:val="es-CR"/>
        </w:rPr>
        <w:t>dichas</w:t>
      </w:r>
      <w:r w:rsidRPr="00D13792">
        <w:rPr>
          <w:color w:val="000000"/>
          <w:spacing w:val="-2"/>
          <w:lang w:val="es-CR"/>
        </w:rPr>
        <w:t xml:space="preserve"> violaciones</w:t>
      </w:r>
      <w:r w:rsidRPr="00D13792">
        <w:rPr>
          <w:color w:val="000000"/>
          <w:vertAlign w:val="superscript"/>
          <w:lang w:val="es-CR"/>
        </w:rPr>
        <w:footnoteReference w:id="322"/>
      </w:r>
      <w:r w:rsidRPr="00D13792">
        <w:rPr>
          <w:color w:val="000000"/>
          <w:spacing w:val="-2"/>
          <w:lang w:val="es-CR"/>
        </w:rPr>
        <w:t>. S</w:t>
      </w:r>
      <w:r w:rsidRPr="00D13792">
        <w:rPr>
          <w:color w:val="000000"/>
          <w:lang w:val="es-CR"/>
        </w:rPr>
        <w:t>i bien el derecho a conocer la verdad se ha enmarcado fundamentalmente en el derecho de acceso a la justicia</w:t>
      </w:r>
      <w:r w:rsidRPr="00D13792">
        <w:rPr>
          <w:color w:val="000000"/>
          <w:vertAlign w:val="superscript"/>
          <w:lang w:val="es-CR"/>
        </w:rPr>
        <w:footnoteReference w:id="323"/>
      </w:r>
      <w:r w:rsidRPr="00D13792">
        <w:rPr>
          <w:color w:val="000000"/>
          <w:lang w:val="es-CR"/>
        </w:rPr>
        <w:t>, aquel tiene una naturaleza amplia y su vulneración puede afectar distintos derechos consagrados en la Convención Americana</w:t>
      </w:r>
      <w:r w:rsidRPr="00D13792">
        <w:rPr>
          <w:color w:val="000000"/>
          <w:vertAlign w:val="superscript"/>
          <w:lang w:val="es-CR"/>
        </w:rPr>
        <w:footnoteReference w:id="324"/>
      </w:r>
      <w:r w:rsidRPr="00D13792">
        <w:rPr>
          <w:color w:val="000000"/>
          <w:lang w:val="es-CR"/>
        </w:rPr>
        <w:t xml:space="preserve">, dependiendo del contexto y circunstancias particulares del caso. </w:t>
      </w:r>
    </w:p>
    <w:p w:rsidR="006A0E1C" w:rsidRPr="00D13792" w:rsidRDefault="006A0E1C" w:rsidP="006A0E1C">
      <w:pPr>
        <w:pStyle w:val="ListParagraph"/>
        <w:tabs>
          <w:tab w:val="left" w:pos="720"/>
        </w:tabs>
        <w:autoSpaceDE w:val="0"/>
        <w:autoSpaceDN w:val="0"/>
        <w:adjustRightInd w:val="0"/>
        <w:spacing w:after="0" w:line="240" w:lineRule="auto"/>
        <w:ind w:left="15"/>
        <w:jc w:val="both"/>
        <w:rPr>
          <w:rFonts w:ascii="Verdana" w:hAnsi="Verdana"/>
          <w:color w:val="000000"/>
          <w:spacing w:val="-2"/>
          <w:sz w:val="20"/>
          <w:szCs w:val="20"/>
          <w:lang w:val="es-CR"/>
        </w:rPr>
      </w:pPr>
    </w:p>
    <w:p w:rsidR="006A0E1C" w:rsidRPr="00D13792" w:rsidRDefault="006A0E1C" w:rsidP="006A0E1C">
      <w:pPr>
        <w:pStyle w:val="Prrafodelista2"/>
        <w:numPr>
          <w:ilvl w:val="0"/>
          <w:numId w:val="23"/>
        </w:numPr>
        <w:tabs>
          <w:tab w:val="left" w:pos="720"/>
        </w:tabs>
        <w:ind w:right="-90"/>
        <w:jc w:val="both"/>
        <w:rPr>
          <w:color w:val="000000"/>
          <w:spacing w:val="-2"/>
          <w:lang w:val="es-CR"/>
        </w:rPr>
      </w:pPr>
      <w:r w:rsidRPr="00D13792">
        <w:rPr>
          <w:color w:val="000000"/>
          <w:spacing w:val="-2"/>
          <w:lang w:val="es-CR"/>
        </w:rPr>
        <w:lastRenderedPageBreak/>
        <w:t xml:space="preserve">La Corte ha considerado el contenido del derecho a conocer la verdad en su jurisprudencia, en particular en casos de desaparición forzada, ya que el derecho a </w:t>
      </w:r>
      <w:r w:rsidRPr="00D13792">
        <w:rPr>
          <w:rFonts w:eastAsia="Batang"/>
          <w:bCs/>
          <w:snapToGrid w:val="0"/>
          <w:color w:val="000000"/>
          <w:kern w:val="32"/>
          <w:lang w:val="es-CR" w:eastAsia="es-ES"/>
        </w:rPr>
        <w:t>conocer</w:t>
      </w:r>
      <w:r w:rsidRPr="00D13792">
        <w:rPr>
          <w:color w:val="000000"/>
          <w:spacing w:val="-2"/>
          <w:lang w:val="es-CR"/>
        </w:rPr>
        <w:t xml:space="preserve"> el paradero de las víctimas desaparecidas constituye un componente esencial del derecho a </w:t>
      </w:r>
      <w:r w:rsidRPr="00D13792">
        <w:rPr>
          <w:rFonts w:cs="Verdana"/>
          <w:color w:val="000000"/>
          <w:lang w:val="es-CR"/>
        </w:rPr>
        <w:t>conocer</w:t>
      </w:r>
      <w:r w:rsidRPr="00D13792">
        <w:rPr>
          <w:color w:val="000000"/>
          <w:lang w:val="es-CR"/>
        </w:rPr>
        <w:t xml:space="preserve"> </w:t>
      </w:r>
      <w:r w:rsidRPr="00D13792">
        <w:rPr>
          <w:color w:val="000000"/>
          <w:spacing w:val="-2"/>
          <w:lang w:val="es-CR"/>
        </w:rPr>
        <w:t>la verdad.</w:t>
      </w:r>
      <w:r w:rsidRPr="00D13792">
        <w:rPr>
          <w:color w:val="000000"/>
          <w:lang w:val="es-CR"/>
        </w:rPr>
        <w:t xml:space="preserve"> Sin embargo, hasta la fecha aún se desconoce el paradero de las personas desaparecidas y, como se señaló, existen restos recuperados durante las exhumaciones que aún no han sido identificados (</w:t>
      </w:r>
      <w:r w:rsidRPr="00D13792">
        <w:rPr>
          <w:i/>
          <w:color w:val="000000"/>
          <w:lang w:val="es-CR"/>
        </w:rPr>
        <w:t xml:space="preserve">supra </w:t>
      </w:r>
      <w:r w:rsidRPr="00D13792">
        <w:rPr>
          <w:color w:val="000000"/>
          <w:lang w:val="es-CR"/>
        </w:rPr>
        <w:t>párr. 147).</w:t>
      </w:r>
      <w:r w:rsidRPr="00D13792">
        <w:rPr>
          <w:color w:val="000000"/>
          <w:spacing w:val="-2"/>
          <w:lang w:val="es-CR"/>
        </w:rPr>
        <w:t xml:space="preserve"> En virtud de las consideraciones anteriores, la Corte declara la violación del derecho a </w:t>
      </w:r>
      <w:r w:rsidRPr="00D13792">
        <w:rPr>
          <w:color w:val="000000"/>
          <w:lang w:val="es-CR"/>
        </w:rPr>
        <w:t xml:space="preserve">conocer </w:t>
      </w:r>
      <w:r w:rsidRPr="00D13792">
        <w:rPr>
          <w:color w:val="000000"/>
          <w:spacing w:val="-2"/>
          <w:lang w:val="es-CR"/>
        </w:rPr>
        <w:t>la verdad, en perjuicio de los familiares de las víctimas de desaparición forzada. En este caso, como en otros, dicha violación se enmarca en el derecho de acceso a la justicia.</w:t>
      </w:r>
    </w:p>
    <w:p w:rsidR="006A0E1C" w:rsidRPr="00D13792" w:rsidRDefault="006A0E1C" w:rsidP="006A0E1C">
      <w:pPr>
        <w:pStyle w:val="ListParagraph"/>
        <w:autoSpaceDE w:val="0"/>
        <w:autoSpaceDN w:val="0"/>
        <w:adjustRightInd w:val="0"/>
        <w:spacing w:after="0" w:line="240" w:lineRule="auto"/>
        <w:ind w:left="0"/>
        <w:jc w:val="both"/>
        <w:rPr>
          <w:rFonts w:ascii="Verdana" w:eastAsia="Calibri" w:hAnsi="Verdana"/>
          <w:b/>
          <w:i/>
          <w:color w:val="000000"/>
          <w:sz w:val="20"/>
          <w:szCs w:val="20"/>
          <w:lang w:val="es-CR"/>
        </w:rPr>
      </w:pPr>
    </w:p>
    <w:p w:rsidR="006A0E1C" w:rsidRPr="00D13792" w:rsidRDefault="006A0E1C" w:rsidP="006A0E1C">
      <w:pPr>
        <w:pStyle w:val="Heading3"/>
        <w:ind w:left="0"/>
        <w:rPr>
          <w:i/>
          <w:lang w:val="es-CR"/>
        </w:rPr>
      </w:pPr>
      <w:bookmarkStart w:id="238" w:name="_Toc460938894"/>
      <w:bookmarkStart w:id="239" w:name="_Toc469670061"/>
      <w:r w:rsidRPr="00D13792">
        <w:rPr>
          <w:i/>
          <w:lang w:val="es-CR"/>
        </w:rPr>
        <w:t>B.4. Conclusiones</w:t>
      </w:r>
      <w:bookmarkEnd w:id="238"/>
      <w:bookmarkEnd w:id="239"/>
      <w:r w:rsidRPr="00D13792">
        <w:rPr>
          <w:i/>
          <w:lang w:val="es-CR"/>
        </w:rPr>
        <w:t xml:space="preserve"> </w:t>
      </w:r>
    </w:p>
    <w:p w:rsidR="006A0E1C" w:rsidRPr="00D13792" w:rsidRDefault="006A0E1C" w:rsidP="006A0E1C">
      <w:pPr>
        <w:autoSpaceDE w:val="0"/>
        <w:autoSpaceDN w:val="0"/>
        <w:spacing w:line="240" w:lineRule="auto"/>
        <w:ind w:left="-142" w:right="-138"/>
        <w:rPr>
          <w:rFonts w:cs="Verdana"/>
          <w:color w:val="000000"/>
          <w:sz w:val="20"/>
          <w:szCs w:val="20"/>
        </w:rPr>
      </w:pPr>
    </w:p>
    <w:p w:rsidR="006A0E1C" w:rsidRPr="00D13792" w:rsidRDefault="006A0E1C" w:rsidP="006A0E1C">
      <w:pPr>
        <w:pStyle w:val="Prrafodelista2"/>
        <w:numPr>
          <w:ilvl w:val="0"/>
          <w:numId w:val="23"/>
        </w:numPr>
        <w:tabs>
          <w:tab w:val="left" w:pos="720"/>
        </w:tabs>
        <w:ind w:right="-90"/>
        <w:jc w:val="both"/>
        <w:rPr>
          <w:rFonts w:cs="Verdana"/>
          <w:color w:val="000000"/>
          <w:lang w:val="es-CR"/>
        </w:rPr>
      </w:pPr>
      <w:r w:rsidRPr="00D13792">
        <w:rPr>
          <w:color w:val="000000"/>
          <w:lang w:val="es-CR"/>
        </w:rPr>
        <w:t xml:space="preserve">La Corte considera que, de conformidad con la Convención Americana, vigente al momento de las masacres, el Estado tenía la obligación de investigar con la debida diligencia todos los hechos del presente caso, obligación que se encontraba pendiente al momento del reconocimiento de la competencia contenciosa de la Corte el 9 de marzo de 1987. Dicha obligación fue reafirmada por el Estado con motivo del depósito del instrumento de ratificación de la Convención Interamericana para Prevenir y Sancionar la Tortura, la Convención de Belém do Pará, la Convención Interamericana sobre Desaparición Forzada de Personas y </w:t>
      </w:r>
      <w:r w:rsidRPr="00D13792">
        <w:rPr>
          <w:color w:val="000000"/>
          <w:spacing w:val="-3"/>
          <w:lang w:val="es-CR"/>
        </w:rPr>
        <w:t>la Convención para la Prevención y la Sanción del Delito de Genocidio</w:t>
      </w:r>
      <w:r w:rsidRPr="00D13792">
        <w:rPr>
          <w:color w:val="000000"/>
          <w:lang w:val="es-CR"/>
        </w:rPr>
        <w:t xml:space="preserve"> (</w:t>
      </w:r>
      <w:r w:rsidRPr="00D13792">
        <w:rPr>
          <w:i/>
          <w:color w:val="000000"/>
          <w:lang w:val="es-CR"/>
        </w:rPr>
        <w:t>supra</w:t>
      </w:r>
      <w:r w:rsidRPr="00D13792">
        <w:rPr>
          <w:color w:val="000000"/>
          <w:lang w:val="es-CR"/>
        </w:rPr>
        <w:t xml:space="preserve"> párrs. 215 y 250), por lo que el Estado debía velar por su cumplimiento a partir del momento de que las ratificó. </w:t>
      </w:r>
    </w:p>
    <w:p w:rsidR="006A0E1C" w:rsidRPr="00D13792" w:rsidRDefault="006A0E1C" w:rsidP="006A0E1C">
      <w:pPr>
        <w:autoSpaceDE w:val="0"/>
        <w:autoSpaceDN w:val="0"/>
        <w:spacing w:line="240" w:lineRule="auto"/>
        <w:ind w:left="-142" w:right="-138"/>
        <w:rPr>
          <w:color w:val="000000"/>
          <w:sz w:val="20"/>
          <w:szCs w:val="20"/>
        </w:rPr>
      </w:pPr>
    </w:p>
    <w:p w:rsidR="006A0E1C" w:rsidRPr="00D13792" w:rsidRDefault="006A0E1C" w:rsidP="006A0E1C">
      <w:pPr>
        <w:pStyle w:val="Prrafodelista2"/>
        <w:numPr>
          <w:ilvl w:val="0"/>
          <w:numId w:val="23"/>
        </w:numPr>
        <w:tabs>
          <w:tab w:val="left" w:pos="720"/>
        </w:tabs>
        <w:ind w:right="-90"/>
        <w:jc w:val="both"/>
        <w:rPr>
          <w:color w:val="000000"/>
          <w:lang w:val="es-CR"/>
        </w:rPr>
      </w:pPr>
      <w:r w:rsidRPr="00D13792">
        <w:rPr>
          <w:color w:val="000000"/>
          <w:lang w:val="es-CR"/>
        </w:rPr>
        <w:t>A más de 30 años de sucedidos los hechos y 23 años de las primeras denuncias (</w:t>
      </w:r>
      <w:r w:rsidRPr="00D13792">
        <w:rPr>
          <w:i/>
          <w:color w:val="000000"/>
          <w:lang w:val="es-CR"/>
        </w:rPr>
        <w:t xml:space="preserve">supra </w:t>
      </w:r>
      <w:r w:rsidRPr="00D13792">
        <w:rPr>
          <w:color w:val="000000"/>
          <w:lang w:val="es-CR"/>
        </w:rPr>
        <w:t xml:space="preserve">párr. 259), las investigaciones abiertas en relación con los hechos de este caso permanecen en etapa de investigación, se constatan demoras prolongadas y omisiones en el recaudo de prueba, y en la mayoría de los expedientes examinados </w:t>
      </w:r>
      <w:r w:rsidRPr="00D13792">
        <w:rPr>
          <w:rFonts w:eastAsia="Calibri"/>
          <w:lang w:val="es-CR"/>
        </w:rPr>
        <w:t>no se advierten acciones</w:t>
      </w:r>
      <w:r w:rsidRPr="00D13792">
        <w:rPr>
          <w:color w:val="000000"/>
          <w:lang w:val="es-CR"/>
        </w:rPr>
        <w:t xml:space="preserve"> dirigidas a la determinación de los responsables de los hechos, o bien, solo se realizaron indagaciones respecto de miembros de las PAC, sin que </w:t>
      </w:r>
      <w:r w:rsidRPr="00D13792">
        <w:rPr>
          <w:rFonts w:cs="Calibri,Bold"/>
          <w:bCs/>
          <w:color w:val="000000"/>
          <w:lang w:val="es-CR"/>
        </w:rPr>
        <w:t xml:space="preserve">se haya investigado a algún miembro del ejército guatemalteco. Lo anterior, pese a que en reiteradas oportunidades se denunció la participación de estos últimos en los hechos y a que los denunciantes brindaron los nombres de los presuntos responsables y los lugares donde podrían ser encontrados. </w:t>
      </w:r>
      <w:r w:rsidRPr="00D13792">
        <w:rPr>
          <w:color w:val="000000"/>
          <w:lang w:val="es-CR"/>
        </w:rPr>
        <w:t xml:space="preserve">Así, el Tribunal estima que la investigación, persecución, captura, enjuiciamiento y eventual sanción de los responsables de los hechos del caso cometidos en contra de los miembros de la aldea de Chichupac y comunidades vecinas del municipio de Rabinal, incluyendo los autores materiales e intelectuales, no ha sido dirigida eficazmente, con debida diligencia y dentro de un plazo razonable de modo que se examinen de forma completa y exhaustiva la multiplicidad de graves violaciones a los derechos humanos ocasionadas o alegadas, dentro del particular contexto en el cual sucedieron. Por otra parte, las investigaciones tampoco han sido encaminadas hacia la localización de todas las víctimas desaparecidas, ni han sido debida y oportunamente identificados todos los restos encontrados en las diversas exhumaciones realizadas, se reitera, a partir del impulso procesal de los familiares de las víctimas. Todo ello ha vulnerado, en particular, el derecho a la verdad de los familiares de las víctimas desaparecidas. </w:t>
      </w:r>
    </w:p>
    <w:p w:rsidR="006A0E1C" w:rsidRPr="00D13792" w:rsidRDefault="006A0E1C" w:rsidP="006A0E1C">
      <w:pPr>
        <w:pStyle w:val="Prrafodelista2"/>
        <w:tabs>
          <w:tab w:val="left" w:pos="720"/>
        </w:tabs>
        <w:ind w:left="0" w:right="-90"/>
        <w:jc w:val="both"/>
        <w:rPr>
          <w:color w:val="000000"/>
          <w:u w:val="single"/>
          <w:lang w:val="es-CR"/>
        </w:rPr>
      </w:pPr>
    </w:p>
    <w:p w:rsidR="006A0E1C" w:rsidRPr="00D13792" w:rsidRDefault="006A0E1C" w:rsidP="006A0E1C">
      <w:pPr>
        <w:pStyle w:val="Prrafodelista2"/>
        <w:numPr>
          <w:ilvl w:val="0"/>
          <w:numId w:val="23"/>
        </w:numPr>
        <w:tabs>
          <w:tab w:val="left" w:pos="720"/>
        </w:tabs>
        <w:ind w:right="-90"/>
        <w:jc w:val="both"/>
        <w:rPr>
          <w:color w:val="000000"/>
          <w:lang w:val="es-CR"/>
        </w:rPr>
      </w:pPr>
      <w:r w:rsidRPr="00D13792">
        <w:rPr>
          <w:color w:val="000000"/>
          <w:lang w:val="es-CR"/>
        </w:rPr>
        <w:t xml:space="preserve">Este </w:t>
      </w:r>
      <w:r w:rsidRPr="00D13792">
        <w:rPr>
          <w:rFonts w:cs="Verdana"/>
          <w:color w:val="000000"/>
          <w:lang w:val="es-CR"/>
        </w:rPr>
        <w:t>Tribunal ha señalado que “Guatemala tiene un problema grave con respecto a la impunidad que impera en el país, específicamente con relación a las violaciones sistemáticas de los derechos humanos ocurridas durante el conflicto armado”</w:t>
      </w:r>
      <w:r w:rsidRPr="00D13792">
        <w:rPr>
          <w:rStyle w:val="FootnoteReference"/>
          <w:rFonts w:cs="Verdana"/>
          <w:color w:val="000000"/>
          <w:lang w:val="es-CR"/>
        </w:rPr>
        <w:footnoteReference w:id="325"/>
      </w:r>
      <w:r w:rsidRPr="00D13792">
        <w:rPr>
          <w:rFonts w:cs="Verdana"/>
          <w:color w:val="000000"/>
          <w:lang w:val="es-CR"/>
        </w:rPr>
        <w:t>.</w:t>
      </w:r>
      <w:r w:rsidRPr="00D13792">
        <w:rPr>
          <w:color w:val="000000"/>
          <w:lang w:val="es-CR"/>
        </w:rPr>
        <w:t xml:space="preserve"> La Corte considera que la actuación del Estado en la investigación de los hechos del presente caso</w:t>
      </w:r>
      <w:r w:rsidRPr="00D13792">
        <w:rPr>
          <w:rFonts w:cs="Calibri,Bold"/>
          <w:bCs/>
          <w:color w:val="000000"/>
          <w:lang w:val="es-CR"/>
        </w:rPr>
        <w:t xml:space="preserve"> demuestra una clara voluntad por parte de las autoridades de que los mismos permanezcan en la más absoluta impunidad, lo cual resulta en una responsabilidad agravada por el incumplimiento de su deber de investigar graves violaciones a los derechos humanos. </w:t>
      </w:r>
    </w:p>
    <w:p w:rsidR="006A0E1C" w:rsidRPr="00D13792" w:rsidRDefault="006A0E1C" w:rsidP="006A0E1C">
      <w:pPr>
        <w:pStyle w:val="Prrafodelista2"/>
        <w:tabs>
          <w:tab w:val="left" w:pos="720"/>
        </w:tabs>
        <w:ind w:left="0" w:right="-90"/>
        <w:jc w:val="both"/>
        <w:rPr>
          <w:color w:val="000000"/>
          <w:lang w:val="es-CR"/>
        </w:rPr>
      </w:pPr>
    </w:p>
    <w:p w:rsidR="006A0E1C" w:rsidRPr="00D13792" w:rsidRDefault="006A0E1C" w:rsidP="006A0E1C">
      <w:pPr>
        <w:pStyle w:val="Prrafodelista2"/>
        <w:numPr>
          <w:ilvl w:val="0"/>
          <w:numId w:val="23"/>
        </w:numPr>
        <w:tabs>
          <w:tab w:val="left" w:pos="720"/>
        </w:tabs>
        <w:ind w:right="-90"/>
        <w:jc w:val="both"/>
        <w:rPr>
          <w:color w:val="000000"/>
          <w:lang w:val="es-CR"/>
        </w:rPr>
      </w:pPr>
      <w:r w:rsidRPr="00D13792">
        <w:rPr>
          <w:color w:val="000000"/>
          <w:lang w:val="es-CR"/>
        </w:rPr>
        <w:lastRenderedPageBreak/>
        <w:t>Teniendo en cuenta las anteriores consideraciones, así como el acervo probatorio del presente caso y el reconocimiento parcial de responsabilidad internacional efectuado por el Estado (</w:t>
      </w:r>
      <w:r w:rsidRPr="00D13792">
        <w:rPr>
          <w:i/>
          <w:color w:val="000000"/>
          <w:lang w:val="es-CR"/>
        </w:rPr>
        <w:t>supra</w:t>
      </w:r>
      <w:r w:rsidRPr="00D13792">
        <w:rPr>
          <w:color w:val="000000"/>
          <w:lang w:val="es-CR"/>
        </w:rPr>
        <w:t xml:space="preserve"> párrs. 55 a 58), esta Corte estima que Guatemala es responsable de la violación de los derechos reconocidos en los artículos 8.1 y 25.1 de la Convención Americana, en relación con el artículo 1.1 de la misma, así como por el incumplimiento de las obligaciones establecidas en el artículo I.b) de la Convención Interamericana sobre Desaparición Forzada de Personas, el artículo 7.b de la Convención de Belém do Pará, y en aplicación del principio </w:t>
      </w:r>
      <w:r w:rsidRPr="00D13792">
        <w:rPr>
          <w:i/>
          <w:color w:val="000000"/>
          <w:lang w:val="es-CR"/>
        </w:rPr>
        <w:t>iura novit curia,</w:t>
      </w:r>
      <w:r w:rsidRPr="00D13792">
        <w:rPr>
          <w:color w:val="000000"/>
          <w:lang w:val="es-CR"/>
        </w:rPr>
        <w:t xml:space="preserve"> también en relación con los </w:t>
      </w:r>
      <w:r w:rsidRPr="00D13792">
        <w:rPr>
          <w:rFonts w:eastAsia="Batang"/>
          <w:bCs/>
          <w:snapToGrid w:val="0"/>
          <w:color w:val="000000"/>
          <w:kern w:val="32"/>
          <w:lang w:val="es-CR" w:eastAsia="es-ES"/>
        </w:rPr>
        <w:t>artículos</w:t>
      </w:r>
      <w:r w:rsidRPr="00D13792">
        <w:rPr>
          <w:color w:val="000000"/>
          <w:lang w:val="es-CR"/>
        </w:rPr>
        <w:t xml:space="preserve"> 1, 6 y 8 de la Convención Interamericana para Prevenir y Sancionar la Tortura, en perjuicio de las víctimas del presente caso o sus familiares, en sus respectivas circunstancias. Los nombres de tales personas están identificados en el Anexo I de esta Sentencia, en el cual se incorporan, en aplicación del principio de buena fe y lealtad procesal, los nombres que aparecen en el “Anexo único” al Informe de Fondo de la Comisión y en el </w:t>
      </w:r>
      <w:r w:rsidRPr="00D13792">
        <w:rPr>
          <w:lang w:val="es-CR"/>
        </w:rPr>
        <w:t xml:space="preserve">“Listado General de Víctimas” remitido por </w:t>
      </w:r>
      <w:r w:rsidRPr="00D13792">
        <w:rPr>
          <w:color w:val="000000"/>
          <w:lang w:val="es-CR"/>
        </w:rPr>
        <w:t xml:space="preserve">los representantes el 2 de junio de 2016, conforme lo verificado. </w:t>
      </w:r>
    </w:p>
    <w:p w:rsidR="006A0E1C" w:rsidRPr="00D13792" w:rsidRDefault="006A0E1C" w:rsidP="006A0E1C">
      <w:pPr>
        <w:tabs>
          <w:tab w:val="left" w:pos="567"/>
        </w:tabs>
        <w:spacing w:line="240" w:lineRule="auto"/>
        <w:ind w:right="4"/>
        <w:rPr>
          <w:sz w:val="16"/>
        </w:rPr>
      </w:pPr>
    </w:p>
    <w:p w:rsidR="006A0E1C" w:rsidRPr="00D13792" w:rsidRDefault="006A0E1C" w:rsidP="006A0E1C">
      <w:pPr>
        <w:keepNext/>
        <w:widowControl/>
        <w:adjustRightInd/>
        <w:spacing w:line="240" w:lineRule="auto"/>
        <w:ind w:left="-720"/>
        <w:jc w:val="center"/>
        <w:textAlignment w:val="auto"/>
        <w:outlineLvl w:val="0"/>
        <w:rPr>
          <w:rFonts w:eastAsia="Batang" w:cs="Times"/>
          <w:sz w:val="20"/>
          <w:szCs w:val="20"/>
          <w:lang w:eastAsia="en-US"/>
        </w:rPr>
      </w:pPr>
      <w:bookmarkStart w:id="240" w:name="_Toc337405896"/>
      <w:bookmarkStart w:id="241" w:name="_Toc469670062"/>
      <w:r w:rsidRPr="00D13792">
        <w:rPr>
          <w:rStyle w:val="Heading1Char"/>
        </w:rPr>
        <w:t>X</w:t>
      </w:r>
      <w:r w:rsidRPr="00D13792">
        <w:rPr>
          <w:rStyle w:val="Heading1Char"/>
        </w:rPr>
        <w:br/>
      </w:r>
      <w:bookmarkStart w:id="242" w:name="_Toc302669942"/>
      <w:bookmarkStart w:id="243" w:name="_Toc300622804"/>
      <w:r w:rsidRPr="00D13792">
        <w:rPr>
          <w:rStyle w:val="Heading1Char"/>
        </w:rPr>
        <w:t>REPARACIONES</w:t>
      </w:r>
      <w:bookmarkEnd w:id="242"/>
      <w:bookmarkEnd w:id="243"/>
      <w:r w:rsidRPr="00D13792">
        <w:rPr>
          <w:rFonts w:eastAsia="Batang"/>
          <w:b/>
          <w:bCs/>
          <w:kern w:val="32"/>
          <w:sz w:val="20"/>
          <w:szCs w:val="20"/>
          <w:lang w:eastAsia="en-US"/>
        </w:rPr>
        <w:br/>
        <w:t>(Aplicación del artículo 63.1 de la Convención Americana)</w:t>
      </w:r>
      <w:bookmarkEnd w:id="240"/>
      <w:bookmarkEnd w:id="241"/>
    </w:p>
    <w:p w:rsidR="006A0E1C" w:rsidRPr="00D13792" w:rsidRDefault="006A0E1C" w:rsidP="006A0E1C">
      <w:pPr>
        <w:widowControl/>
        <w:adjustRightInd/>
        <w:spacing w:line="240" w:lineRule="auto"/>
        <w:ind w:left="-720"/>
        <w:textAlignment w:val="auto"/>
        <w:rPr>
          <w:rFonts w:eastAsia="Batang" w:cs="Times"/>
          <w:sz w:val="16"/>
          <w:szCs w:val="20"/>
          <w:lang w:eastAsia="en-US"/>
        </w:rPr>
      </w:pPr>
    </w:p>
    <w:p w:rsidR="006A0E1C" w:rsidRPr="00D13792" w:rsidRDefault="006A0E1C" w:rsidP="006A0E1C">
      <w:pPr>
        <w:pStyle w:val="Prrafodelista2"/>
        <w:numPr>
          <w:ilvl w:val="0"/>
          <w:numId w:val="23"/>
        </w:numPr>
        <w:tabs>
          <w:tab w:val="left" w:pos="720"/>
        </w:tabs>
        <w:ind w:right="-90"/>
        <w:jc w:val="both"/>
        <w:rPr>
          <w:rFonts w:eastAsia="Calibri"/>
          <w:lang w:val="es-CR"/>
        </w:rPr>
      </w:pPr>
      <w:r w:rsidRPr="00D13792">
        <w:rPr>
          <w:rFonts w:eastAsia="Calibri"/>
          <w:spacing w:val="-2"/>
          <w:lang w:val="es-CR"/>
        </w:rPr>
        <w:t>Sobre la base de lo dispuesto en el artículo 63.1 de la Convención Americana</w:t>
      </w:r>
      <w:r w:rsidRPr="00D13792">
        <w:rPr>
          <w:rFonts w:eastAsia="Calibri"/>
          <w:spacing w:val="-2"/>
          <w:vertAlign w:val="superscript"/>
          <w:lang w:val="es-CR"/>
        </w:rPr>
        <w:footnoteReference w:id="326"/>
      </w:r>
      <w:r w:rsidRPr="00D13792">
        <w:rPr>
          <w:rFonts w:eastAsia="Calibri"/>
          <w:spacing w:val="-2"/>
          <w:lang w:val="es-CR"/>
        </w:rPr>
        <w:t xml:space="preserve">, la Corte ha indicado que toda violación de una obligación internacional que haya producido daño comporta el deber de repararlo adecuadamente, y que esa disposición recoge una norma consuetudinaria que constituye uno de los principios fundamentales del Derecho </w:t>
      </w:r>
      <w:r w:rsidRPr="00D13792">
        <w:rPr>
          <w:rFonts w:eastAsia="Batang"/>
          <w:bCs/>
          <w:snapToGrid w:val="0"/>
          <w:color w:val="000000"/>
          <w:kern w:val="32"/>
          <w:lang w:val="es-CR" w:eastAsia="es-ES"/>
        </w:rPr>
        <w:t>Internacional</w:t>
      </w:r>
      <w:r w:rsidRPr="00D13792">
        <w:rPr>
          <w:rFonts w:eastAsia="Calibri"/>
          <w:spacing w:val="-2"/>
          <w:lang w:val="es-CR"/>
        </w:rPr>
        <w:t xml:space="preserve"> contemporáneo sobre responsabilidad de un Estado</w:t>
      </w:r>
      <w:r w:rsidRPr="00D13792">
        <w:rPr>
          <w:rFonts w:eastAsia="Calibri"/>
          <w:spacing w:val="-2"/>
          <w:vertAlign w:val="superscript"/>
          <w:lang w:val="es-CR"/>
        </w:rPr>
        <w:footnoteReference w:id="327"/>
      </w:r>
      <w:r w:rsidRPr="00D13792">
        <w:rPr>
          <w:rFonts w:eastAsia="Calibri"/>
          <w:spacing w:val="-2"/>
          <w:lang w:val="es-CR"/>
        </w:rPr>
        <w:t>.</w:t>
      </w:r>
    </w:p>
    <w:p w:rsidR="006A0E1C" w:rsidRPr="00D13792" w:rsidRDefault="006A0E1C" w:rsidP="006A0E1C">
      <w:pPr>
        <w:widowControl/>
        <w:adjustRightInd/>
        <w:spacing w:line="240" w:lineRule="auto"/>
        <w:textAlignment w:val="auto"/>
        <w:rPr>
          <w:rFonts w:eastAsia="Batang" w:cs="Times"/>
          <w:spacing w:val="-2"/>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Calibri"/>
          <w:spacing w:val="-2"/>
          <w:lang w:val="es-CR"/>
        </w:rPr>
      </w:pPr>
      <w:r w:rsidRPr="00D13792">
        <w:rPr>
          <w:rFonts w:eastAsia="Calibri"/>
          <w:spacing w:val="-2"/>
          <w:lang w:val="es-CR"/>
        </w:rPr>
        <w:t xml:space="preserve">La Corte ha </w:t>
      </w:r>
      <w:r w:rsidRPr="00D13792">
        <w:rPr>
          <w:spacing w:val="-2"/>
          <w:lang w:val="es-CR"/>
        </w:rPr>
        <w:t>establecido</w:t>
      </w:r>
      <w:r w:rsidRPr="00D13792">
        <w:rPr>
          <w:rFonts w:eastAsia="Calibri"/>
          <w:spacing w:val="-2"/>
          <w:lang w:val="es-CR"/>
        </w:rPr>
        <w:t xml:space="preserve"> que las reparaciones deben tener un nexo causal con los hechos del caso, las violaciones declaradas, los daños </w:t>
      </w:r>
      <w:r w:rsidRPr="00D13792">
        <w:rPr>
          <w:lang w:val="es-CR"/>
        </w:rPr>
        <w:t>acreditados</w:t>
      </w:r>
      <w:r w:rsidRPr="00D13792">
        <w:rPr>
          <w:rFonts w:eastAsia="Calibri"/>
          <w:spacing w:val="-2"/>
          <w:lang w:val="es-CR"/>
        </w:rPr>
        <w:t xml:space="preserve">, así como las medidas solicitadas </w:t>
      </w:r>
      <w:r w:rsidRPr="00D13792">
        <w:rPr>
          <w:rFonts w:eastAsia="Batang"/>
          <w:bCs/>
          <w:snapToGrid w:val="0"/>
          <w:color w:val="000000"/>
          <w:kern w:val="32"/>
          <w:lang w:val="es-CR" w:eastAsia="es-ES"/>
        </w:rPr>
        <w:t>para</w:t>
      </w:r>
      <w:r w:rsidRPr="00D13792">
        <w:rPr>
          <w:rFonts w:eastAsia="Calibri"/>
          <w:spacing w:val="-2"/>
          <w:lang w:val="es-CR"/>
        </w:rPr>
        <w:t xml:space="preserve"> reparar los daños </w:t>
      </w:r>
      <w:r w:rsidRPr="00D13792">
        <w:rPr>
          <w:rFonts w:eastAsia="Calibri" w:cs="Arial"/>
          <w:spacing w:val="-2"/>
          <w:lang w:val="es-CR"/>
        </w:rPr>
        <w:t>respectivos</w:t>
      </w:r>
      <w:r w:rsidRPr="00D13792">
        <w:rPr>
          <w:rFonts w:eastAsia="Calibri"/>
          <w:spacing w:val="-2"/>
          <w:vertAlign w:val="superscript"/>
          <w:lang w:val="es-CR"/>
        </w:rPr>
        <w:footnoteReference w:id="328"/>
      </w:r>
      <w:r w:rsidRPr="00D13792">
        <w:rPr>
          <w:rFonts w:eastAsia="Calibri"/>
          <w:spacing w:val="-2"/>
          <w:lang w:val="es-CR"/>
        </w:rPr>
        <w:t>.</w:t>
      </w:r>
    </w:p>
    <w:p w:rsidR="006A0E1C" w:rsidRPr="00D13792" w:rsidRDefault="006A0E1C" w:rsidP="006A0E1C">
      <w:pPr>
        <w:widowControl/>
        <w:adjustRightInd/>
        <w:spacing w:line="240" w:lineRule="auto"/>
        <w:ind w:left="-709"/>
        <w:textAlignment w:val="auto"/>
        <w:rPr>
          <w:rFonts w:eastAsia="Batang" w:cs="Times"/>
          <w:spacing w:val="-2"/>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Calibri"/>
          <w:spacing w:val="-2"/>
          <w:lang w:val="es-CR"/>
        </w:rPr>
      </w:pPr>
      <w:r w:rsidRPr="00D13792">
        <w:rPr>
          <w:rFonts w:eastAsia="Calibri"/>
          <w:spacing w:val="-2"/>
          <w:lang w:val="es-CR"/>
        </w:rPr>
        <w:t xml:space="preserve">En consideración de las violaciones a la Convención declaradas en los capítulos anteriores, la Corte </w:t>
      </w:r>
      <w:r w:rsidRPr="00D13792">
        <w:rPr>
          <w:spacing w:val="-2"/>
          <w:lang w:val="es-CR"/>
        </w:rPr>
        <w:t>procede</w:t>
      </w:r>
      <w:r w:rsidRPr="00D13792">
        <w:rPr>
          <w:rFonts w:eastAsia="Calibri"/>
          <w:spacing w:val="-2"/>
          <w:lang w:val="es-CR"/>
        </w:rPr>
        <w:t xml:space="preserve"> a analizar las pretensiones </w:t>
      </w:r>
      <w:r w:rsidRPr="00D13792">
        <w:rPr>
          <w:lang w:val="es-CR"/>
        </w:rPr>
        <w:t>presentadas</w:t>
      </w:r>
      <w:r w:rsidRPr="00D13792">
        <w:rPr>
          <w:rFonts w:eastAsia="Calibri"/>
          <w:spacing w:val="-2"/>
          <w:lang w:val="es-CR"/>
        </w:rPr>
        <w:t xml:space="preserve"> por la Comisión y los representantes, </w:t>
      </w:r>
      <w:r w:rsidRPr="00D13792">
        <w:rPr>
          <w:lang w:val="es-CR"/>
        </w:rPr>
        <w:t>así como los argumentos del Estado,</w:t>
      </w:r>
      <w:r w:rsidRPr="00D13792">
        <w:rPr>
          <w:rFonts w:eastAsia="Calibri"/>
          <w:spacing w:val="-2"/>
          <w:lang w:val="es-CR"/>
        </w:rPr>
        <w:t xml:space="preserve"> a la luz de los criterios fijados en su jurisprudencia en relación con la naturaleza y alcance de la obligación de reparar, con el objeto de disponer las medidas dirigidas a reparar los daños ocasionados a las víctimas</w:t>
      </w:r>
      <w:r w:rsidRPr="00D13792">
        <w:rPr>
          <w:rFonts w:eastAsia="Calibri"/>
          <w:spacing w:val="-2"/>
          <w:vertAlign w:val="superscript"/>
          <w:lang w:val="es-CR"/>
        </w:rPr>
        <w:footnoteReference w:id="329"/>
      </w:r>
      <w:r w:rsidRPr="00D13792">
        <w:rPr>
          <w:rFonts w:eastAsia="Calibri"/>
          <w:spacing w:val="-2"/>
          <w:lang w:val="es-CR"/>
        </w:rPr>
        <w:t>.</w:t>
      </w:r>
    </w:p>
    <w:p w:rsidR="006A0E1C" w:rsidRPr="00D13792" w:rsidRDefault="006A0E1C" w:rsidP="006A0E1C">
      <w:pPr>
        <w:tabs>
          <w:tab w:val="left" w:pos="-720"/>
          <w:tab w:val="left" w:pos="0"/>
          <w:tab w:val="left" w:pos="2880"/>
          <w:tab w:val="left" w:pos="3600"/>
          <w:tab w:val="left" w:pos="4320"/>
          <w:tab w:val="left" w:pos="5760"/>
          <w:tab w:val="left" w:pos="6480"/>
          <w:tab w:val="left" w:pos="7200"/>
          <w:tab w:val="left" w:pos="7920"/>
        </w:tabs>
        <w:adjustRightInd/>
        <w:spacing w:line="240" w:lineRule="auto"/>
        <w:ind w:left="-720"/>
        <w:textAlignment w:val="auto"/>
        <w:rPr>
          <w:rFonts w:eastAsia="MS Mincho"/>
          <w:sz w:val="20"/>
          <w:szCs w:val="20"/>
          <w:lang w:eastAsia="en-US"/>
        </w:rPr>
      </w:pPr>
    </w:p>
    <w:p w:rsidR="006A0E1C" w:rsidRPr="00D13792" w:rsidRDefault="006A0E1C" w:rsidP="006A0E1C">
      <w:pPr>
        <w:numPr>
          <w:ilvl w:val="0"/>
          <w:numId w:val="23"/>
        </w:numPr>
        <w:tabs>
          <w:tab w:val="left" w:pos="0"/>
          <w:tab w:val="left" w:pos="720"/>
          <w:tab w:val="left" w:pos="2880"/>
          <w:tab w:val="left" w:pos="3600"/>
          <w:tab w:val="left" w:pos="4320"/>
          <w:tab w:val="left" w:pos="5760"/>
          <w:tab w:val="left" w:pos="6480"/>
          <w:tab w:val="left" w:pos="7200"/>
          <w:tab w:val="left" w:pos="7920"/>
        </w:tabs>
        <w:adjustRightInd/>
        <w:spacing w:line="240" w:lineRule="auto"/>
        <w:textAlignment w:val="auto"/>
        <w:rPr>
          <w:rFonts w:eastAsia="MS Mincho"/>
          <w:sz w:val="20"/>
          <w:szCs w:val="20"/>
        </w:rPr>
      </w:pPr>
      <w:bookmarkStart w:id="244" w:name="_Toc337405897"/>
      <w:r w:rsidRPr="00D13792">
        <w:rPr>
          <w:rFonts w:eastAsia="Calibri"/>
          <w:sz w:val="20"/>
          <w:szCs w:val="20"/>
        </w:rPr>
        <w:t>L</w:t>
      </w:r>
      <w:r w:rsidRPr="00D13792">
        <w:rPr>
          <w:rFonts w:eastAsia="MS Mincho"/>
          <w:sz w:val="20"/>
          <w:szCs w:val="20"/>
        </w:rPr>
        <w:t xml:space="preserve">a Corte estima pertinente reiterar que, con motivo de la denegación de justicia en perjuicio de las víctimas de graves violaciones a derechos humanos, como las del presente caso, se presenta una diversidad de afectaciones tanto en la esfera individual como colectiva. En este sentido, resulta evidente que las víctimas de una impunidad prolongada sufran distintas afectaciones por la búsqueda de justicia no sólo de carácter material, sino también otros sufrimientos y daños de carácter psicológico, físico y en su proyecto de vida, así como otras posibles alteraciones en sus relaciones sociales y la dinámica de sus familias y comunidades. Este Tribunal ha señalado que estos daños se intensifican por la falta de apoyo de las autoridades estatales en la búsqueda efectiva e identificación de los restos, y la </w:t>
      </w:r>
      <w:r w:rsidRPr="00D13792">
        <w:rPr>
          <w:rFonts w:eastAsia="MS Mincho"/>
          <w:sz w:val="20"/>
          <w:szCs w:val="20"/>
        </w:rPr>
        <w:lastRenderedPageBreak/>
        <w:t>imposibilidad de honrar apropiadamente a sus seres queridos. Frente a ello, la Corte ha considerado la necesidad de otorgar diversas medidas de reparación, a fin de resarcir los daños de manera integral, por lo que, además de las compensaciones pecuniarias, las medidas de satisfacción, restitución, rehabilitación y garantías de no repetición tienen especial relevancia por la gravedad de las afectaciones y el carácter colectivo de los daños ocasionados</w:t>
      </w:r>
      <w:r w:rsidRPr="00D13792">
        <w:rPr>
          <w:rFonts w:eastAsia="MS Mincho"/>
          <w:sz w:val="20"/>
          <w:szCs w:val="20"/>
          <w:vertAlign w:val="superscript"/>
        </w:rPr>
        <w:footnoteReference w:id="330"/>
      </w:r>
      <w:r w:rsidRPr="00D13792">
        <w:rPr>
          <w:rFonts w:eastAsia="MS Mincho"/>
          <w:sz w:val="20"/>
          <w:szCs w:val="20"/>
        </w:rPr>
        <w:t>.</w:t>
      </w:r>
    </w:p>
    <w:p w:rsidR="006A0E1C" w:rsidRPr="00D13792" w:rsidRDefault="006A0E1C" w:rsidP="006A0E1C">
      <w:pPr>
        <w:tabs>
          <w:tab w:val="left" w:pos="0"/>
          <w:tab w:val="left" w:pos="720"/>
          <w:tab w:val="left" w:pos="2880"/>
          <w:tab w:val="left" w:pos="3600"/>
          <w:tab w:val="left" w:pos="4320"/>
          <w:tab w:val="left" w:pos="5760"/>
          <w:tab w:val="left" w:pos="6480"/>
          <w:tab w:val="left" w:pos="7200"/>
          <w:tab w:val="left" w:pos="7920"/>
        </w:tabs>
        <w:adjustRightInd/>
        <w:spacing w:line="240" w:lineRule="auto"/>
        <w:textAlignment w:val="auto"/>
        <w:rPr>
          <w:rFonts w:eastAsia="MS Mincho"/>
          <w:sz w:val="20"/>
          <w:szCs w:val="20"/>
        </w:rPr>
      </w:pPr>
    </w:p>
    <w:p w:rsidR="006A0E1C" w:rsidRPr="00D13792" w:rsidRDefault="006A0E1C" w:rsidP="006A0E1C">
      <w:pPr>
        <w:pStyle w:val="Heading2"/>
        <w:rPr>
          <w:rFonts w:eastAsia="MS Mincho"/>
          <w:lang w:val="es-CR"/>
        </w:rPr>
      </w:pPr>
      <w:bookmarkStart w:id="245" w:name="_Toc455631235"/>
      <w:bookmarkStart w:id="246" w:name="_Toc469670063"/>
      <w:r w:rsidRPr="00D13792">
        <w:rPr>
          <w:rFonts w:eastAsia="MS Mincho"/>
          <w:lang w:val="es-CR"/>
        </w:rPr>
        <w:t>A. Parte Lesionada</w:t>
      </w:r>
      <w:bookmarkEnd w:id="244"/>
      <w:bookmarkEnd w:id="245"/>
      <w:bookmarkEnd w:id="246"/>
    </w:p>
    <w:p w:rsidR="006A0E1C" w:rsidRPr="00D13792" w:rsidRDefault="006A0E1C" w:rsidP="006A0E1C">
      <w:pPr>
        <w:keepNext/>
        <w:keepLines/>
        <w:widowControl/>
        <w:adjustRightInd/>
        <w:spacing w:line="240" w:lineRule="auto"/>
        <w:ind w:left="720"/>
        <w:textAlignment w:val="auto"/>
        <w:outlineLvl w:val="1"/>
        <w:rPr>
          <w:i/>
          <w:sz w:val="16"/>
          <w:szCs w:val="20"/>
        </w:rPr>
      </w:pPr>
    </w:p>
    <w:p w:rsidR="006A0E1C" w:rsidRPr="00D13792" w:rsidRDefault="006A0E1C" w:rsidP="006A0E1C">
      <w:pPr>
        <w:pStyle w:val="Prrafodelista2"/>
        <w:numPr>
          <w:ilvl w:val="0"/>
          <w:numId w:val="23"/>
        </w:numPr>
        <w:tabs>
          <w:tab w:val="left" w:pos="720"/>
        </w:tabs>
        <w:ind w:right="-90"/>
        <w:jc w:val="both"/>
        <w:rPr>
          <w:lang w:val="es-CR"/>
        </w:rPr>
      </w:pPr>
      <w:r w:rsidRPr="00D13792">
        <w:rPr>
          <w:rFonts w:eastAsia="Calibri"/>
          <w:lang w:val="es-CR"/>
        </w:rPr>
        <w:t>En el presente caso,</w:t>
      </w:r>
      <w:r w:rsidRPr="00D13792">
        <w:rPr>
          <w:rFonts w:eastAsia="Calibri"/>
          <w:b/>
          <w:lang w:val="es-CR"/>
        </w:rPr>
        <w:t xml:space="preserve"> </w:t>
      </w:r>
      <w:r w:rsidRPr="00D13792">
        <w:rPr>
          <w:lang w:val="es-CR"/>
        </w:rPr>
        <w:t xml:space="preserve">la </w:t>
      </w:r>
      <w:r w:rsidRPr="00D13792">
        <w:rPr>
          <w:b/>
          <w:i/>
          <w:lang w:val="es-CR"/>
        </w:rPr>
        <w:t>Comisión</w:t>
      </w:r>
      <w:r w:rsidRPr="00D13792">
        <w:rPr>
          <w:lang w:val="es-CR"/>
        </w:rPr>
        <w:t xml:space="preserve"> solicitó a la Corte que ordene al Estado </w:t>
      </w:r>
      <w:r w:rsidRPr="00D13792">
        <w:rPr>
          <w:rFonts w:eastAsia="Calibri" w:cs="Arial"/>
          <w:lang w:val="es-CR"/>
        </w:rPr>
        <w:t xml:space="preserve">establecer mecanismos que permitan: i) “la identificación completa de las víctimas ejecutadas”; ii) “la determinación de las personas desaparecidas en las masacres” y “las sobrevivientes de las mismas”, y iii) “la identificación completa de los familiares de las víctimas </w:t>
      </w:r>
      <w:r w:rsidRPr="00D13792">
        <w:rPr>
          <w:lang w:val="es-CR"/>
        </w:rPr>
        <w:t>ejecutadas</w:t>
      </w:r>
      <w:r w:rsidRPr="00D13792">
        <w:rPr>
          <w:rFonts w:eastAsia="Calibri" w:cs="Arial"/>
          <w:lang w:val="es-CR"/>
        </w:rPr>
        <w:t xml:space="preserve"> y desaparecidas, de manera que puedan ser beneficiarios de las reparaciones”.</w:t>
      </w:r>
      <w:r w:rsidRPr="00D13792">
        <w:rPr>
          <w:rFonts w:eastAsia="Calibri" w:cs="Arial"/>
          <w:b/>
          <w:lang w:val="es-CR"/>
        </w:rPr>
        <w:t xml:space="preserve"> </w:t>
      </w:r>
      <w:r w:rsidRPr="00D13792">
        <w:rPr>
          <w:rFonts w:cs="Verdana"/>
          <w:lang w:val="es-CR"/>
        </w:rPr>
        <w:t xml:space="preserve">Los </w:t>
      </w:r>
      <w:r w:rsidRPr="00D13792">
        <w:rPr>
          <w:rFonts w:cs="Verdana"/>
          <w:b/>
          <w:i/>
          <w:lang w:val="es-CR"/>
        </w:rPr>
        <w:t>representantes</w:t>
      </w:r>
      <w:r w:rsidRPr="00D13792">
        <w:rPr>
          <w:rFonts w:cs="Verdana"/>
          <w:lang w:val="es-CR"/>
        </w:rPr>
        <w:t xml:space="preserve"> solicitaron la creación de “un mecanismo de identificación de todas las víctimas sobrevivientes de las masacres[, así como de] los familiares de éstas[,] y que la Corte deje abierta la posibilidad para que aquellas víctimas sobrevivientes [que] sean identificadas por el Estado sean incluidas como víctimas y, en consecuencia, como beneficiarias de las reparaciones”.</w:t>
      </w:r>
    </w:p>
    <w:p w:rsidR="006A0E1C" w:rsidRPr="00D13792" w:rsidRDefault="006A0E1C" w:rsidP="006A0E1C">
      <w:pPr>
        <w:widowControl/>
        <w:adjustRightInd/>
        <w:spacing w:line="240" w:lineRule="auto"/>
        <w:ind w:left="-709"/>
        <w:contextualSpacing/>
        <w:textAlignment w:val="auto"/>
        <w:rPr>
          <w:rFonts w:eastAsia="MS Mincho"/>
          <w:sz w:val="20"/>
          <w:szCs w:val="20"/>
          <w:lang w:eastAsia="en-US"/>
        </w:rPr>
      </w:pPr>
    </w:p>
    <w:p w:rsidR="006A0E1C" w:rsidRPr="00D13792" w:rsidRDefault="006A0E1C" w:rsidP="006A0E1C">
      <w:pPr>
        <w:pStyle w:val="Prrafodelista2"/>
        <w:numPr>
          <w:ilvl w:val="0"/>
          <w:numId w:val="23"/>
        </w:numPr>
        <w:tabs>
          <w:tab w:val="left" w:pos="720"/>
        </w:tabs>
        <w:ind w:right="-90"/>
        <w:jc w:val="both"/>
        <w:rPr>
          <w:lang w:val="es-CR"/>
        </w:rPr>
      </w:pPr>
      <w:r w:rsidRPr="00D13792">
        <w:rPr>
          <w:lang w:val="es-CR"/>
        </w:rPr>
        <w:t xml:space="preserve">El </w:t>
      </w:r>
      <w:r w:rsidRPr="00D13792">
        <w:rPr>
          <w:b/>
          <w:i/>
          <w:lang w:val="es-CR"/>
        </w:rPr>
        <w:t>Estado</w:t>
      </w:r>
      <w:r w:rsidRPr="00D13792">
        <w:rPr>
          <w:lang w:val="es-CR"/>
        </w:rPr>
        <w:t xml:space="preserve"> se refirió a los esfuerzos que se encontraría realizando para localizar, exhumar e identificar los restos de las víctimas en el municipio de Rabinal (</w:t>
      </w:r>
      <w:r w:rsidRPr="00D13792">
        <w:rPr>
          <w:i/>
          <w:lang w:val="es-CR"/>
        </w:rPr>
        <w:t xml:space="preserve">infra </w:t>
      </w:r>
      <w:r w:rsidRPr="00D13792">
        <w:rPr>
          <w:lang w:val="es-CR"/>
        </w:rPr>
        <w:t>párr. 291). Asimismo, se refirió a los criterios utilizados para establecer la calificación de beneficiario del Programa Nacional de Resarcimiento (PNR), a la flexibilización de condiciones para el empadronamiento de la población en los registros civiles y la creación del Registro Nacional de las Personas (RENAP), el cual tiene como objetivo organizar y mantener el registro único de identificación de las personas naturales. Así, sostuvo que “cuenta con un mecanismo que permite la identificación de personas para que puedan posteriormente ser beneficiarios de reparaciones”.</w:t>
      </w:r>
    </w:p>
    <w:p w:rsidR="006A0E1C" w:rsidRPr="00D13792" w:rsidRDefault="006A0E1C" w:rsidP="006A0E1C">
      <w:pPr>
        <w:pStyle w:val="ListParagraph"/>
        <w:spacing w:after="0" w:line="240" w:lineRule="auto"/>
        <w:rPr>
          <w:lang w:val="es-CR"/>
        </w:rPr>
      </w:pPr>
    </w:p>
    <w:p w:rsidR="006A0E1C" w:rsidRPr="00D13792" w:rsidRDefault="006A0E1C" w:rsidP="006A0E1C">
      <w:pPr>
        <w:pStyle w:val="Prrafodelista2"/>
        <w:numPr>
          <w:ilvl w:val="0"/>
          <w:numId w:val="23"/>
        </w:numPr>
        <w:tabs>
          <w:tab w:val="left" w:pos="720"/>
        </w:tabs>
        <w:ind w:right="-90"/>
        <w:jc w:val="both"/>
        <w:rPr>
          <w:lang w:val="es-CR"/>
        </w:rPr>
      </w:pPr>
      <w:r w:rsidRPr="00D13792">
        <w:rPr>
          <w:lang w:val="es-CR"/>
        </w:rPr>
        <w:t xml:space="preserve">El </w:t>
      </w:r>
      <w:r w:rsidRPr="00D13792">
        <w:rPr>
          <w:b/>
          <w:i/>
          <w:lang w:val="es-CR"/>
        </w:rPr>
        <w:t>Tribunal</w:t>
      </w:r>
      <w:r w:rsidRPr="00D13792">
        <w:rPr>
          <w:rFonts w:cs="Verdana"/>
          <w:lang w:val="es-CR"/>
        </w:rPr>
        <w:t xml:space="preserve"> considera parte lesionada, en los términos del artículo 63.1 de la Convención, a quien ha sido declarado </w:t>
      </w:r>
      <w:r w:rsidRPr="00D13792">
        <w:rPr>
          <w:lang w:val="es-CR"/>
        </w:rPr>
        <w:t>víctima</w:t>
      </w:r>
      <w:r w:rsidRPr="00D13792">
        <w:rPr>
          <w:rFonts w:cs="Verdana"/>
          <w:lang w:val="es-CR"/>
        </w:rPr>
        <w:t xml:space="preserve"> </w:t>
      </w:r>
      <w:r w:rsidRPr="00D13792">
        <w:rPr>
          <w:lang w:val="es-CR"/>
        </w:rPr>
        <w:t>de</w:t>
      </w:r>
      <w:r w:rsidRPr="00D13792">
        <w:rPr>
          <w:rFonts w:cs="Verdana"/>
          <w:lang w:val="es-CR"/>
        </w:rPr>
        <w:t xml:space="preserve"> la violación de algún derecho reconocido en la </w:t>
      </w:r>
      <w:r w:rsidRPr="00D13792">
        <w:rPr>
          <w:lang w:val="es-CR"/>
        </w:rPr>
        <w:t>misma</w:t>
      </w:r>
      <w:r w:rsidRPr="00D13792">
        <w:rPr>
          <w:rStyle w:val="FootnoteReference"/>
          <w:lang w:val="es-CR"/>
        </w:rPr>
        <w:footnoteReference w:id="331"/>
      </w:r>
      <w:r w:rsidRPr="00D13792">
        <w:rPr>
          <w:rFonts w:cs="Verdana"/>
          <w:lang w:val="es-CR"/>
        </w:rPr>
        <w:t xml:space="preserve">. Por lo tanto, la Corte considera como “parte lesionada” del caso a aquellas personas </w:t>
      </w:r>
      <w:r w:rsidRPr="00D13792">
        <w:rPr>
          <w:rFonts w:eastAsia="Calibri"/>
          <w:spacing w:val="-2"/>
          <w:lang w:val="es-CR"/>
        </w:rPr>
        <w:t>referidas</w:t>
      </w:r>
      <w:r w:rsidRPr="00D13792">
        <w:rPr>
          <w:rFonts w:cs="Verdana"/>
          <w:lang w:val="es-CR"/>
        </w:rPr>
        <w:t xml:space="preserve"> en los Anexos I y II de esta Sentencia, quienes en su carácter </w:t>
      </w:r>
      <w:r w:rsidRPr="00D13792">
        <w:rPr>
          <w:lang w:val="es-CR"/>
        </w:rPr>
        <w:t>de</w:t>
      </w:r>
      <w:r w:rsidRPr="00D13792">
        <w:rPr>
          <w:rFonts w:cs="Verdana"/>
          <w:lang w:val="es-CR"/>
        </w:rPr>
        <w:t xml:space="preserve"> víctimas de las violaciones declaradas de conformidad con los párrafos 155, 156, 160, 164, 203, 265, serán consideradas beneficiarias de las reparaciones que ordene el Tribunal. Respecto de dichas personas, la Corte encontró, dentro del acervo probatorio, la prueba necesaria para verificar su identidad (</w:t>
      </w:r>
      <w:r w:rsidRPr="00D13792">
        <w:rPr>
          <w:rFonts w:cs="Verdana"/>
          <w:i/>
          <w:lang w:val="es-CR"/>
        </w:rPr>
        <w:t xml:space="preserve">supra </w:t>
      </w:r>
      <w:r w:rsidRPr="00D13792">
        <w:rPr>
          <w:rFonts w:cs="Verdana"/>
          <w:lang w:val="es-CR"/>
        </w:rPr>
        <w:t>párr. 65).</w:t>
      </w:r>
    </w:p>
    <w:p w:rsidR="006A0E1C" w:rsidRPr="00D13792" w:rsidRDefault="006A0E1C" w:rsidP="006A0E1C">
      <w:pPr>
        <w:widowControl/>
        <w:adjustRightInd/>
        <w:spacing w:line="240" w:lineRule="auto"/>
        <w:textAlignment w:val="auto"/>
        <w:rPr>
          <w:rFonts w:eastAsia="MS Mincho" w:cs="Times"/>
          <w:sz w:val="20"/>
          <w:lang w:eastAsia="en-US"/>
        </w:rPr>
      </w:pPr>
    </w:p>
    <w:p w:rsidR="006A0E1C" w:rsidRPr="00D13792" w:rsidRDefault="006A0E1C" w:rsidP="006A0E1C">
      <w:pPr>
        <w:pStyle w:val="Prrafodelista2"/>
        <w:numPr>
          <w:ilvl w:val="0"/>
          <w:numId w:val="23"/>
        </w:numPr>
        <w:tabs>
          <w:tab w:val="left" w:pos="720"/>
        </w:tabs>
        <w:ind w:right="-90"/>
        <w:jc w:val="both"/>
        <w:rPr>
          <w:lang w:val="es-CR"/>
        </w:rPr>
      </w:pPr>
      <w:r w:rsidRPr="00D13792">
        <w:rPr>
          <w:rFonts w:eastAsia="Batang" w:cs="Times"/>
          <w:lang w:val="es-CR"/>
        </w:rPr>
        <w:t xml:space="preserve">Por otro lado, no fue posible encontrar dentro del acervo probatorio, la documentación necesaria para verificar la identidad de las personas que se encuentran en el Anexo III de esta Sentencia. Asimismo, </w:t>
      </w:r>
      <w:r w:rsidRPr="00D13792">
        <w:rPr>
          <w:szCs w:val="16"/>
          <w:lang w:val="es-CR"/>
        </w:rPr>
        <w:t>en el Anexo IV del presente Fallo se incluyen los nombres de personas presuntamente desplazadas, pero respecto de quiénes los representantes no especificaron si permanecieron desplazadas con posterioridad al 9 de marzo de 1987, fecha en que Guatemala reconoció la competencia contenciosa de este Tribunal.</w:t>
      </w:r>
      <w:r w:rsidRPr="00D13792">
        <w:rPr>
          <w:rFonts w:eastAsia="Batang" w:cs="Times"/>
          <w:lang w:val="es-CR"/>
        </w:rPr>
        <w:t xml:space="preserve"> </w:t>
      </w:r>
    </w:p>
    <w:p w:rsidR="006A0E1C" w:rsidRPr="00D13792" w:rsidRDefault="006A0E1C" w:rsidP="006A0E1C">
      <w:pPr>
        <w:tabs>
          <w:tab w:val="left" w:pos="-720"/>
          <w:tab w:val="left" w:pos="0"/>
          <w:tab w:val="left" w:pos="2880"/>
          <w:tab w:val="left" w:pos="3600"/>
          <w:tab w:val="left" w:pos="4320"/>
          <w:tab w:val="left" w:pos="5760"/>
          <w:tab w:val="left" w:pos="6480"/>
          <w:tab w:val="left" w:pos="7200"/>
          <w:tab w:val="left" w:pos="7920"/>
        </w:tabs>
        <w:adjustRightInd/>
        <w:spacing w:line="240" w:lineRule="auto"/>
        <w:ind w:left="-720"/>
        <w:textAlignment w:val="auto"/>
        <w:rPr>
          <w:rFonts w:eastAsia="MS Mincho"/>
          <w:sz w:val="20"/>
          <w:szCs w:val="20"/>
          <w:lang w:eastAsia="en-US"/>
        </w:rPr>
      </w:pPr>
    </w:p>
    <w:p w:rsidR="006A0E1C" w:rsidRPr="00D13792" w:rsidRDefault="006A0E1C" w:rsidP="006A0E1C">
      <w:pPr>
        <w:pStyle w:val="Prrafodelista2"/>
        <w:numPr>
          <w:ilvl w:val="0"/>
          <w:numId w:val="23"/>
        </w:numPr>
        <w:tabs>
          <w:tab w:val="left" w:pos="720"/>
        </w:tabs>
        <w:ind w:right="-90"/>
        <w:jc w:val="both"/>
        <w:rPr>
          <w:lang w:val="es-CR"/>
        </w:rPr>
      </w:pPr>
      <w:r w:rsidRPr="00D13792">
        <w:rPr>
          <w:rFonts w:eastAsia="Batang" w:cs="Times"/>
          <w:lang w:val="es-CR"/>
        </w:rPr>
        <w:t>Debido a que la Corte ya estableció que en el presente caso se justifica razonablemente la aplicación de la excepción prevista en el artículo 35.2 del Reglamento,</w:t>
      </w:r>
      <w:r w:rsidRPr="00D13792">
        <w:rPr>
          <w:rFonts w:eastAsia="Batang" w:cs="Times"/>
          <w:b/>
          <w:lang w:val="es-CR"/>
        </w:rPr>
        <w:t xml:space="preserve"> </w:t>
      </w:r>
      <w:r w:rsidRPr="00D13792">
        <w:rPr>
          <w:rFonts w:eastAsia="Batang" w:cs="Times"/>
          <w:lang w:val="es-CR"/>
        </w:rPr>
        <w:t xml:space="preserve">la Corte considera pertinente que, en un plazo de seis meses contado a partir de la notificación de esta Sentencia, los representantes aporten al Tribunal, la documentación que acredite la identidad de las personas que aparecen en el Anexo III de esta Sentencia, así como que especifiquen si las </w:t>
      </w:r>
      <w:r w:rsidRPr="00D13792">
        <w:rPr>
          <w:rFonts w:eastAsia="Batang" w:cs="Times"/>
          <w:lang w:val="es-CR"/>
        </w:rPr>
        <w:lastRenderedPageBreak/>
        <w:t>personas que figuran en el Anexo IV permanecieron en situación de desplazamiento con posterioridad al 9 de marzo de 1987. Lo anterior, con el propósito de que dichas personas puedan ser consideradas víctimas del presente caso en tanto se identifiquen o se compruebe que permanecieron desplazados luego de dicha fecha. Para tal efecto, el Tribunal evaluará lo correspondiente en el ejercicio de sus facultades de supervisión del presente Fallo.</w:t>
      </w:r>
      <w:r w:rsidRPr="00D13792">
        <w:rPr>
          <w:rFonts w:eastAsia="Batang" w:cs="Times"/>
          <w:b/>
          <w:lang w:val="es-CR"/>
        </w:rPr>
        <w:t xml:space="preserve">  </w:t>
      </w:r>
    </w:p>
    <w:p w:rsidR="006A0E1C" w:rsidRPr="00D13792" w:rsidRDefault="006A0E1C" w:rsidP="006A0E1C">
      <w:pPr>
        <w:tabs>
          <w:tab w:val="left" w:pos="-720"/>
          <w:tab w:val="left" w:pos="0"/>
          <w:tab w:val="left" w:pos="2880"/>
          <w:tab w:val="left" w:pos="3600"/>
          <w:tab w:val="left" w:pos="4320"/>
          <w:tab w:val="left" w:pos="5760"/>
          <w:tab w:val="left" w:pos="6480"/>
          <w:tab w:val="left" w:pos="7200"/>
          <w:tab w:val="left" w:pos="7920"/>
        </w:tabs>
        <w:adjustRightInd/>
        <w:spacing w:line="240" w:lineRule="auto"/>
        <w:ind w:left="-720"/>
        <w:textAlignment w:val="auto"/>
        <w:rPr>
          <w:rFonts w:eastAsia="MS Mincho"/>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Times"/>
          <w:lang w:val="es-CR"/>
        </w:rPr>
      </w:pPr>
      <w:r w:rsidRPr="00D13792">
        <w:rPr>
          <w:rFonts w:eastAsia="Batang" w:cs="Times"/>
          <w:lang w:val="es-CR"/>
        </w:rPr>
        <w:t xml:space="preserve">Lo dispuesto en este subacápite no excluye el derecho de aquellas personas miembros de la aldea Chichupac o comunidades vecinas de Xeabaj, Chijom, Coyojá, El Tablón, Toloxcoc, Chirrum, </w:t>
      </w:r>
      <w:r w:rsidRPr="00D13792">
        <w:rPr>
          <w:rFonts w:eastAsia="Batang" w:cs="Times"/>
          <w:iCs/>
          <w:lang w:val="es-CR"/>
        </w:rPr>
        <w:t>El Chol</w:t>
      </w:r>
      <w:r w:rsidRPr="00D13792">
        <w:rPr>
          <w:rFonts w:eastAsia="Batang" w:cs="Times"/>
          <w:lang w:val="es-CR"/>
        </w:rPr>
        <w:t xml:space="preserve"> y El Apazote que no fueron presentadas como víctimas por los representantes o la Comisión, o bien, que figuran en los Anexos III o IV de esta Sentencia y no sean incorporadas como víctimas dentro del plazo de 6 meses establecido </w:t>
      </w:r>
      <w:r w:rsidRPr="00D13792">
        <w:rPr>
          <w:rFonts w:eastAsia="Batang" w:cs="Times"/>
          <w:i/>
          <w:lang w:val="es-CR"/>
        </w:rPr>
        <w:t>supra,</w:t>
      </w:r>
      <w:r w:rsidRPr="00D13792">
        <w:rPr>
          <w:rFonts w:eastAsia="Batang" w:cs="Times"/>
          <w:lang w:val="es-CR"/>
        </w:rPr>
        <w:t xml:space="preserve"> de demandar, conforme al derecho interno, las medidas resarcitorias correspondientes a su favor.</w:t>
      </w:r>
    </w:p>
    <w:p w:rsidR="006A0E1C" w:rsidRPr="00D13792" w:rsidRDefault="006A0E1C" w:rsidP="006A0E1C">
      <w:pPr>
        <w:widowControl/>
        <w:tabs>
          <w:tab w:val="left" w:pos="720"/>
        </w:tabs>
        <w:adjustRightInd/>
        <w:spacing w:line="240" w:lineRule="auto"/>
        <w:textAlignment w:val="auto"/>
        <w:rPr>
          <w:rFonts w:eastAsia="Times"/>
          <w:sz w:val="20"/>
          <w:szCs w:val="20"/>
          <w:lang w:eastAsia="en-US"/>
        </w:rPr>
      </w:pPr>
    </w:p>
    <w:p w:rsidR="006A0E1C" w:rsidRPr="00D13792" w:rsidRDefault="006A0E1C" w:rsidP="006A0E1C">
      <w:pPr>
        <w:pStyle w:val="Heading2"/>
        <w:rPr>
          <w:rFonts w:eastAsia="MS Mincho"/>
          <w:lang w:val="es-CR"/>
        </w:rPr>
      </w:pPr>
      <w:bookmarkStart w:id="247" w:name="_Toc455631236"/>
      <w:bookmarkStart w:id="248" w:name="_Toc469670064"/>
      <w:bookmarkStart w:id="249" w:name="_Toc337405898"/>
      <w:r w:rsidRPr="00D13792">
        <w:rPr>
          <w:rFonts w:eastAsia="MS Mincho"/>
          <w:lang w:val="es-CR"/>
        </w:rPr>
        <w:t>B. Programa Nacional de Resarcimiento</w:t>
      </w:r>
      <w:bookmarkEnd w:id="247"/>
      <w:bookmarkEnd w:id="248"/>
      <w:r w:rsidRPr="00D13792">
        <w:rPr>
          <w:rFonts w:eastAsia="MS Mincho"/>
          <w:lang w:val="es-CR"/>
        </w:rPr>
        <w:t xml:space="preserve"> </w:t>
      </w:r>
    </w:p>
    <w:p w:rsidR="006A0E1C" w:rsidRPr="00D13792" w:rsidRDefault="006A0E1C" w:rsidP="006A0E1C">
      <w:pPr>
        <w:keepNext/>
        <w:keepLines/>
        <w:widowControl/>
        <w:tabs>
          <w:tab w:val="left" w:pos="720"/>
        </w:tabs>
        <w:adjustRightInd/>
        <w:spacing w:line="240" w:lineRule="auto"/>
        <w:textAlignment w:val="auto"/>
        <w:outlineLvl w:val="1"/>
        <w:rPr>
          <w:rFonts w:eastAsia="MS Mincho" w:cs="Times"/>
          <w:bCs/>
          <w:i/>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Calibri" w:cs="Cambria"/>
          <w:lang w:val="es-CR"/>
        </w:rPr>
      </w:pPr>
      <w:r w:rsidRPr="00D13792">
        <w:rPr>
          <w:lang w:val="es-CR"/>
        </w:rPr>
        <w:t>El</w:t>
      </w:r>
      <w:r w:rsidRPr="00D13792">
        <w:rPr>
          <w:b/>
          <w:i/>
          <w:lang w:val="es-CR"/>
        </w:rPr>
        <w:t xml:space="preserve"> Estado</w:t>
      </w:r>
      <w:r w:rsidRPr="00D13792">
        <w:rPr>
          <w:lang w:val="es-CR"/>
        </w:rPr>
        <w:t xml:space="preserve"> señaló en su contestación que </w:t>
      </w:r>
      <w:r w:rsidRPr="00D13792">
        <w:rPr>
          <w:rFonts w:eastAsia="Calibri"/>
          <w:lang w:val="es-CR"/>
        </w:rPr>
        <w:t xml:space="preserve">ya cuenta con una política pública de resarcimiento, dirigida a la </w:t>
      </w:r>
      <w:r w:rsidRPr="00D13792">
        <w:rPr>
          <w:rFonts w:cs="Verdana"/>
          <w:lang w:val="es-CR"/>
        </w:rPr>
        <w:t>reparación</w:t>
      </w:r>
      <w:r w:rsidRPr="00D13792">
        <w:rPr>
          <w:rFonts w:eastAsia="Calibri"/>
          <w:lang w:val="es-CR"/>
        </w:rPr>
        <w:t xml:space="preserve"> de víctimas de violaciones a derechos humanos sufridas en el enfrentamiento armado interno, a través del Programa Nacional de Resarcimiento (PNR). Indicó que dicha política fue creada a partir de las negociaciones de paz, y contempla medidas de reparación individual y colectiva, en los aspectos material, moral y cultural. Aclaró que en la actualidad, dicho Programa ha sido susceptible de mejoras en cuanto a los procedimientos para ser beneficiarios, así como la determinación de las formas y montos de la reparación. Sostuvo que el PNR otorga las medidas de restitución material, indemnización económica, atención psicosocial, rehabilitación y “medidas de dignificación de las víctimas (resarcimiento moral y comunitario)”, y cuenta con una oficina en el municipio de Rabinal, así como con personal apto para la atención de las víctimas y sus </w:t>
      </w:r>
      <w:r w:rsidRPr="00D13792">
        <w:rPr>
          <w:lang w:val="es-CR"/>
        </w:rPr>
        <w:t>familiares</w:t>
      </w:r>
      <w:r w:rsidRPr="00D13792">
        <w:rPr>
          <w:rFonts w:eastAsia="Calibri"/>
          <w:lang w:val="es-CR"/>
        </w:rPr>
        <w:t xml:space="preserve"> en idioma maya achí. Cuestionó que la Corte “se convierta en una instancia paralela de reparación para algunas de las víctimas del enfrentamiento armado […], con procedimientos y reparaciones distintas para determinar a los beneficiarios y para definir las formas y montos de reparaciones que además de rebasar las capacidades financieras del Estado, entorpecen el adecuado funcionamiento del Programa”.</w:t>
      </w:r>
      <w:r w:rsidRPr="00D13792">
        <w:rPr>
          <w:rFonts w:eastAsia="Calibri"/>
          <w:b/>
          <w:sz w:val="14"/>
          <w:lang w:val="es-CR"/>
        </w:rPr>
        <w:t xml:space="preserve"> </w:t>
      </w:r>
      <w:r w:rsidRPr="00D13792">
        <w:rPr>
          <w:rFonts w:eastAsia="Calibri"/>
          <w:lang w:val="es-CR"/>
        </w:rPr>
        <w:t>Además, sostuvo que “</w:t>
      </w:r>
      <w:r w:rsidRPr="00D13792">
        <w:rPr>
          <w:lang w:val="es-CR"/>
        </w:rPr>
        <w:t>la mayoría” de las víctimas ya han sido resarcidas a través del PNR y firmaron un finiquito en el cual se obligaron a no presentar en el futuro alguna otra reclamación en contra del Estado por los hechos del caso. Así, presentó una lista de las 67 personas que indica “ya han recibido su resarcimiento por parte de dicho programa”.</w:t>
      </w:r>
    </w:p>
    <w:p w:rsidR="006A0E1C" w:rsidRPr="00D13792" w:rsidRDefault="006A0E1C" w:rsidP="006A0E1C">
      <w:pPr>
        <w:widowControl/>
        <w:adjustRightInd/>
        <w:spacing w:line="240" w:lineRule="auto"/>
        <w:textAlignment w:val="auto"/>
        <w:rPr>
          <w:rFonts w:eastAsia="Batang" w:cs="Cambria"/>
          <w:sz w:val="20"/>
          <w:szCs w:val="20"/>
          <w:lang w:eastAsia="en-US"/>
        </w:rPr>
      </w:pPr>
    </w:p>
    <w:p w:rsidR="006A0E1C" w:rsidRPr="00D13792" w:rsidRDefault="006A0E1C" w:rsidP="006A0E1C">
      <w:pPr>
        <w:pStyle w:val="Prrafodelista2"/>
        <w:numPr>
          <w:ilvl w:val="0"/>
          <w:numId w:val="23"/>
        </w:numPr>
        <w:shd w:val="clear" w:color="auto" w:fill="FFFFFF" w:themeFill="background1"/>
        <w:tabs>
          <w:tab w:val="left" w:pos="720"/>
        </w:tabs>
        <w:ind w:right="-90"/>
        <w:jc w:val="both"/>
        <w:rPr>
          <w:rFonts w:eastAsia="Calibri"/>
          <w:lang w:val="es-CR"/>
        </w:rPr>
      </w:pPr>
      <w:r w:rsidRPr="00D13792">
        <w:rPr>
          <w:rFonts w:eastAsia="Calibri"/>
          <w:lang w:val="es-CR"/>
        </w:rPr>
        <w:t xml:space="preserve">Los </w:t>
      </w:r>
      <w:r w:rsidRPr="00D13792">
        <w:rPr>
          <w:rFonts w:eastAsia="Calibri"/>
          <w:b/>
          <w:i/>
          <w:lang w:val="es-CR"/>
        </w:rPr>
        <w:t>representantes</w:t>
      </w:r>
      <w:r w:rsidRPr="00D13792">
        <w:rPr>
          <w:rFonts w:eastAsia="Calibri"/>
          <w:lang w:val="es-CR"/>
        </w:rPr>
        <w:t xml:space="preserve"> sostuvieron que, desde el punto de vista formal, el PNR “no es cuestionable” en cuanto a sus objetivos, sin embargo, “la letra” dista “enorme[mente]” de la realidad. Destacaron diversos problemas con la ejecución del programa</w:t>
      </w:r>
      <w:r w:rsidRPr="00D13792">
        <w:rPr>
          <w:rFonts w:eastAsia="Calibri" w:cs="Cambria"/>
          <w:vertAlign w:val="superscript"/>
          <w:lang w:val="es-CR"/>
        </w:rPr>
        <w:footnoteReference w:id="332"/>
      </w:r>
      <w:r w:rsidRPr="00D13792">
        <w:rPr>
          <w:rFonts w:eastAsia="Calibri"/>
          <w:lang w:val="es-CR"/>
        </w:rPr>
        <w:t xml:space="preserve">, y sostuvieron que los montos económicos que el PNR otorga “no constituyen un resarcimiento que compense justa y dignamente el daño moral” causado realmente a sus comunidades. En su escrito de observaciones a las excepciones preliminares señalaron que: </w:t>
      </w:r>
      <w:r w:rsidRPr="00D13792">
        <w:rPr>
          <w:rFonts w:eastAsia="Calibri"/>
          <w:shd w:val="clear" w:color="auto" w:fill="FFFFFF" w:themeFill="background1"/>
          <w:lang w:val="es-CR"/>
        </w:rPr>
        <w:t xml:space="preserve">i) “dicho programa ha fijado una cantidad techo para resarcir a las víctimas, no importando el número de víctimas que una familia haya perdido y reportado”, y ii) el programa “no resarce a todas las víctimas por cada </w:t>
      </w:r>
      <w:r w:rsidRPr="00D13792">
        <w:rPr>
          <w:rFonts w:eastAsia="Calibri"/>
          <w:shd w:val="clear" w:color="auto" w:fill="FFFFFF" w:themeFill="background1"/>
          <w:lang w:val="es-CR"/>
        </w:rPr>
        <w:lastRenderedPageBreak/>
        <w:t>una de las violaciones contempladas en el artículo 3 del Acuerdo gubernativo 43-2005. Las violaciones como desplazamiento forzado y muertes por enfermedades, hambres y condiciones infrahumanas ocurridas durante el desplazamiento forzado en las montañas y en otros lugares, tampoco son resarcidas”. Así, solicitaron a la Corte determinar que el PRN “</w:t>
      </w:r>
      <w:r w:rsidRPr="00D13792">
        <w:rPr>
          <w:rFonts w:eastAsia="Calibri" w:cs="Verdana"/>
          <w:shd w:val="clear" w:color="auto" w:fill="FFFFFF" w:themeFill="background1"/>
          <w:lang w:val="es-CR"/>
        </w:rPr>
        <w:t>no responde a los estándares internacionales de reparación aceptados”.</w:t>
      </w:r>
      <w:r w:rsidRPr="00D13792">
        <w:rPr>
          <w:rFonts w:eastAsia="Calibri" w:cs="Verdana"/>
          <w:b/>
          <w:shd w:val="clear" w:color="auto" w:fill="FFFFFF" w:themeFill="background1"/>
          <w:lang w:val="es-CR"/>
        </w:rPr>
        <w:t xml:space="preserve"> </w:t>
      </w:r>
      <w:r w:rsidRPr="00D13792">
        <w:rPr>
          <w:rFonts w:eastAsia="Calibri"/>
          <w:shd w:val="clear" w:color="auto" w:fill="FFFFFF" w:themeFill="background1"/>
          <w:lang w:val="es-CR"/>
        </w:rPr>
        <w:t>En la audiencia pública alegaron que el PNR “no ha sido efectivo ni ha reparado de forma integral, transformadora y satisfactoriamente a las víctimas y a las comunidades”. Además, señalaron que a finales de marzo de 2016 cerró la oficina del PRN en el municipio de Rabinal y no “sabe[n] por qué”.</w:t>
      </w:r>
      <w:r w:rsidRPr="00D13792">
        <w:rPr>
          <w:rFonts w:eastAsia="Calibri"/>
          <w:b/>
          <w:shd w:val="clear" w:color="auto" w:fill="FFC000"/>
          <w:lang w:val="es-CR"/>
        </w:rPr>
        <w:t xml:space="preserve"> </w:t>
      </w:r>
    </w:p>
    <w:p w:rsidR="006A0E1C" w:rsidRPr="00D13792" w:rsidRDefault="006A0E1C" w:rsidP="006A0E1C">
      <w:pPr>
        <w:widowControl/>
        <w:shd w:val="clear" w:color="auto" w:fill="FFFFFF" w:themeFill="background1"/>
        <w:autoSpaceDE w:val="0"/>
        <w:autoSpaceDN w:val="0"/>
        <w:spacing w:line="240" w:lineRule="auto"/>
        <w:ind w:left="-709"/>
        <w:textAlignment w:val="auto"/>
        <w:rPr>
          <w:rFonts w:eastAsia="Batang" w:cs="Cambria"/>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Times"/>
          <w:i/>
          <w:spacing w:val="-2"/>
          <w:lang w:val="es-CR"/>
        </w:rPr>
      </w:pPr>
      <w:r w:rsidRPr="00D13792">
        <w:rPr>
          <w:rFonts w:eastAsia="Batang" w:cs="Times"/>
          <w:lang w:val="es-CR"/>
        </w:rPr>
        <w:t>La</w:t>
      </w:r>
      <w:r w:rsidRPr="00D13792">
        <w:rPr>
          <w:rFonts w:eastAsia="Batang" w:cs="Times"/>
          <w:b/>
          <w:i/>
          <w:lang w:val="es-CR"/>
        </w:rPr>
        <w:t xml:space="preserve"> Comisión</w:t>
      </w:r>
      <w:r w:rsidRPr="00D13792">
        <w:rPr>
          <w:rFonts w:eastAsia="Batang" w:cs="Times"/>
          <w:lang w:val="es-CR"/>
        </w:rPr>
        <w:t xml:space="preserve"> indicó que no contaba con información específica sobre la relación de las reparaciones otorgadas por el PRN con la totalidad de los hechos y violaciones declaradas en el presente caso.</w:t>
      </w:r>
      <w:r w:rsidRPr="00D13792">
        <w:rPr>
          <w:rFonts w:eastAsia="Batang" w:cs="Times"/>
          <w:b/>
          <w:lang w:val="es-CR"/>
        </w:rPr>
        <w:t xml:space="preserve"> </w:t>
      </w:r>
      <w:r w:rsidRPr="00D13792">
        <w:rPr>
          <w:rFonts w:eastAsia="Batang" w:cs="Times"/>
          <w:shd w:val="clear" w:color="auto" w:fill="FFFFFF" w:themeFill="background1"/>
          <w:lang w:val="es-CR"/>
        </w:rPr>
        <w:t>En sus alegatos finales escritos, reconoció y valoró</w:t>
      </w:r>
      <w:r w:rsidRPr="00D13792">
        <w:rPr>
          <w:rFonts w:eastAsia="Batang" w:cs="Cambria"/>
          <w:shd w:val="clear" w:color="auto" w:fill="FFFFFF" w:themeFill="background1"/>
          <w:lang w:val="es-CR"/>
        </w:rPr>
        <w:t xml:space="preserve"> los </w:t>
      </w:r>
      <w:r w:rsidRPr="00D13792">
        <w:rPr>
          <w:rFonts w:eastAsia="Calibri"/>
          <w:shd w:val="clear" w:color="auto" w:fill="FFFFFF" w:themeFill="background1"/>
          <w:lang w:val="es-CR"/>
        </w:rPr>
        <w:t>programas</w:t>
      </w:r>
      <w:r w:rsidRPr="00D13792">
        <w:rPr>
          <w:rFonts w:eastAsia="Batang" w:cs="Cambria"/>
          <w:shd w:val="clear" w:color="auto" w:fill="FFFFFF" w:themeFill="background1"/>
          <w:lang w:val="es-CR"/>
        </w:rPr>
        <w:t xml:space="preserve"> administrativos de </w:t>
      </w:r>
      <w:r w:rsidRPr="00D13792">
        <w:rPr>
          <w:rFonts w:eastAsia="Batang" w:cs="Times"/>
          <w:shd w:val="clear" w:color="auto" w:fill="FFFFFF" w:themeFill="background1"/>
          <w:lang w:val="es-CR"/>
        </w:rPr>
        <w:t>reparación que establecen los Estados por graves violaciones a los derechos humanos. Sin embargo, alegó que los mismos no pueden sustituir las reparaciones a ser dictadas por la Corte en el marco de un caso individual, debido a que: i) las víctimas del caso han pasado por procesos judiciales internos para llegar al sistema interamericano y actualmente se encuentran a la espera de una decisión, también judicial, en que la Corte establezca las violaciones cometidas en su perjuicio y fije directamente las reparaciones que les corresponden, sin necesidad de acudir a nuevos procedimientos para acreditar su calidad de víctimas frente a las autoridades estatales; ii) las reparaciones dictadas en el ámbito internacional por la Corte tienen contenidos y alcances específicos que son determinados por el Tribunal atendiendo a las circunstancias propias del caso; iii) en virtud del carácter independiente que tiene la reparación internacional, no corresponde a los organismos del sistema interamericano sujetar dicha reparación para una víctima de violación a sus derechos convencionales a los instrumentos de carácter interno del Estado, los cuales pueden adolecer de defectos, imperfecciones o insuficiencias, y iv) el PRN tiene serias deficiencias en su implementación</w:t>
      </w:r>
      <w:r w:rsidRPr="00D13792">
        <w:rPr>
          <w:rFonts w:eastAsia="Batang" w:cs="Cambria"/>
          <w:shd w:val="clear" w:color="auto" w:fill="FFFFFF" w:themeFill="background1"/>
          <w:lang w:val="es-CR"/>
        </w:rPr>
        <w:t>.</w:t>
      </w:r>
    </w:p>
    <w:p w:rsidR="006A0E1C" w:rsidRPr="00D13792" w:rsidRDefault="006A0E1C" w:rsidP="006A0E1C">
      <w:pPr>
        <w:keepNext/>
        <w:keepLines/>
        <w:tabs>
          <w:tab w:val="left" w:pos="-709"/>
          <w:tab w:val="left" w:pos="0"/>
          <w:tab w:val="left" w:pos="142"/>
          <w:tab w:val="left" w:pos="1440"/>
          <w:tab w:val="left" w:pos="2880"/>
          <w:tab w:val="left" w:pos="3600"/>
          <w:tab w:val="left" w:pos="4320"/>
          <w:tab w:val="left" w:pos="5760"/>
          <w:tab w:val="left" w:pos="6480"/>
          <w:tab w:val="left" w:pos="7200"/>
          <w:tab w:val="left" w:pos="7920"/>
        </w:tabs>
        <w:autoSpaceDE w:val="0"/>
        <w:autoSpaceDN w:val="0"/>
        <w:spacing w:line="240" w:lineRule="auto"/>
        <w:ind w:right="-138"/>
        <w:textAlignment w:val="auto"/>
        <w:outlineLvl w:val="1"/>
        <w:rPr>
          <w:rFonts w:eastAsia="Batang" w:cs="Times"/>
          <w:i/>
          <w:spacing w:val="-2"/>
          <w:sz w:val="20"/>
          <w:szCs w:val="20"/>
          <w:lang w:eastAsia="en-US"/>
        </w:rPr>
      </w:pPr>
    </w:p>
    <w:p w:rsidR="006A0E1C" w:rsidRPr="00D13792" w:rsidRDefault="006A0E1C" w:rsidP="006A0E1C">
      <w:pPr>
        <w:pStyle w:val="Prrafodelista2"/>
        <w:numPr>
          <w:ilvl w:val="0"/>
          <w:numId w:val="23"/>
        </w:numPr>
        <w:tabs>
          <w:tab w:val="left" w:pos="720"/>
        </w:tabs>
        <w:ind w:right="-90"/>
        <w:jc w:val="both"/>
        <w:rPr>
          <w:rFonts w:cs="Helvetica"/>
          <w:color w:val="000000"/>
          <w:lang w:val="es-CR"/>
        </w:rPr>
      </w:pPr>
      <w:r w:rsidRPr="00D13792">
        <w:rPr>
          <w:rFonts w:eastAsia="Batang" w:cs="Cambria"/>
          <w:lang w:val="es-CR"/>
        </w:rPr>
        <w:t xml:space="preserve">La </w:t>
      </w:r>
      <w:r w:rsidRPr="00D13792">
        <w:rPr>
          <w:rFonts w:eastAsia="Batang" w:cs="Cambria"/>
          <w:b/>
          <w:i/>
          <w:lang w:val="es-CR"/>
        </w:rPr>
        <w:t>Corte</w:t>
      </w:r>
      <w:r w:rsidRPr="00D13792">
        <w:rPr>
          <w:rFonts w:eastAsia="Batang" w:cs="Cambria"/>
          <w:lang w:val="es-CR"/>
        </w:rPr>
        <w:t xml:space="preserve"> valora y reconoce las acciones emprendidas por el Estado a través del Programa Nacional de Resarcimiento (PNR) para reparar las violaciones a los derechos humanos perpetradas en el marco del conflicto armado interno en Guatemala. Sin embargo, en el presente caso, no se desprende de la prueba aportada por el Estado que las personas resarcidas a través del PNR se hayan “</w:t>
      </w:r>
      <w:r w:rsidRPr="00D13792">
        <w:rPr>
          <w:lang w:val="es-CR"/>
        </w:rPr>
        <w:t>obliga[do] a no presentar en el futuro alguna otra reclamación en contra del Estado” por los hechos del caso, como alega Guatemala. Por lo contrario, los convenios y finiquitos de “Pago de Resarcimiento Económico” presentados expresamente indican que subsiste el derecho de las personas resarcidas a ser beneficiarios de otras medidas otorgadas por el PNR “que completen el resarcimiento integral”</w:t>
      </w:r>
      <w:r w:rsidRPr="00D13792">
        <w:rPr>
          <w:rStyle w:val="FootnoteReference"/>
          <w:lang w:val="es-CR"/>
        </w:rPr>
        <w:footnoteReference w:id="333"/>
      </w:r>
      <w:r w:rsidRPr="00D13792">
        <w:rPr>
          <w:lang w:val="es-CR"/>
        </w:rPr>
        <w:t xml:space="preserve"> y/o de “acudir ante los órganos jurisdiccionales competentes para tramitar los procesos legales que puedan derivarse de la violación de derechos humanos sufrida por la víctima antes identificada”</w:t>
      </w:r>
      <w:r w:rsidRPr="00D13792">
        <w:rPr>
          <w:rStyle w:val="FootnoteReference"/>
          <w:lang w:val="es-CR"/>
        </w:rPr>
        <w:footnoteReference w:id="334"/>
      </w:r>
      <w:r w:rsidRPr="00D13792">
        <w:rPr>
          <w:lang w:val="es-CR"/>
        </w:rPr>
        <w:t xml:space="preserve">. </w:t>
      </w:r>
    </w:p>
    <w:p w:rsidR="006A0E1C" w:rsidRPr="00D13792" w:rsidRDefault="006A0E1C" w:rsidP="006A0E1C">
      <w:pPr>
        <w:pStyle w:val="Prrafodelista2"/>
        <w:tabs>
          <w:tab w:val="left" w:pos="720"/>
        </w:tabs>
        <w:ind w:left="0" w:right="-90"/>
        <w:jc w:val="both"/>
        <w:rPr>
          <w:rFonts w:cs="Helvetica"/>
          <w:color w:val="000000"/>
          <w:lang w:val="es-CR"/>
        </w:rPr>
      </w:pPr>
    </w:p>
    <w:p w:rsidR="006A0E1C" w:rsidRPr="00D13792" w:rsidRDefault="006A0E1C" w:rsidP="006A0E1C">
      <w:pPr>
        <w:pStyle w:val="Prrafodelista2"/>
        <w:numPr>
          <w:ilvl w:val="0"/>
          <w:numId w:val="23"/>
        </w:numPr>
        <w:tabs>
          <w:tab w:val="left" w:pos="720"/>
        </w:tabs>
        <w:ind w:right="-90"/>
        <w:jc w:val="both"/>
        <w:rPr>
          <w:rFonts w:cs="Helvetica"/>
          <w:color w:val="000000"/>
          <w:lang w:val="es-CR"/>
        </w:rPr>
      </w:pPr>
      <w:r w:rsidRPr="00D13792">
        <w:rPr>
          <w:lang w:val="es-CR"/>
        </w:rPr>
        <w:t xml:space="preserve">Por otra parte, </w:t>
      </w:r>
      <w:r w:rsidRPr="00D13792">
        <w:rPr>
          <w:rFonts w:eastAsia="Batang" w:cs="Cambria"/>
          <w:lang w:val="es-CR"/>
        </w:rPr>
        <w:t xml:space="preserve">de la información aportada por el Estado únicamente se comprueba el </w:t>
      </w:r>
      <w:r w:rsidRPr="00D13792">
        <w:rPr>
          <w:lang w:val="es-CR"/>
        </w:rPr>
        <w:t>pago</w:t>
      </w:r>
      <w:r w:rsidRPr="00D13792">
        <w:rPr>
          <w:rFonts w:eastAsia="Batang" w:cs="Cambria"/>
          <w:lang w:val="es-CR"/>
        </w:rPr>
        <w:t xml:space="preserve"> de algunas </w:t>
      </w:r>
      <w:r w:rsidRPr="00D13792">
        <w:rPr>
          <w:rFonts w:cs="Tahoma"/>
          <w:lang w:val="es-CR"/>
        </w:rPr>
        <w:t>indemnizaciones</w:t>
      </w:r>
      <w:r w:rsidRPr="00D13792">
        <w:rPr>
          <w:rStyle w:val="FootnoteReference"/>
          <w:rFonts w:cs="Tahoma"/>
          <w:lang w:val="es-CR"/>
        </w:rPr>
        <w:footnoteReference w:id="335"/>
      </w:r>
      <w:r w:rsidRPr="00D13792">
        <w:rPr>
          <w:rFonts w:eastAsia="Batang" w:cs="Cambria"/>
          <w:lang w:val="es-CR"/>
        </w:rPr>
        <w:t xml:space="preserve"> a un universo parcial de víctimas por hechos que en su mayoría se encuentran por fuera de la competencia temporal de la Corte, tales como “masacres”, ejecuciones, torturas y violencia sexual</w:t>
      </w:r>
      <w:r w:rsidRPr="00D13792">
        <w:rPr>
          <w:rStyle w:val="FootnoteReference"/>
          <w:rFonts w:eastAsia="Batang" w:cs="Cambria"/>
          <w:lang w:val="es-CR"/>
        </w:rPr>
        <w:footnoteReference w:id="336"/>
      </w:r>
      <w:r w:rsidRPr="00D13792">
        <w:rPr>
          <w:rFonts w:eastAsia="Batang" w:cs="Cambria"/>
          <w:lang w:val="es-CR"/>
        </w:rPr>
        <w:t xml:space="preserve">. Por tanto, no se desprende con claridad la relación </w:t>
      </w:r>
      <w:r w:rsidRPr="00D13792">
        <w:rPr>
          <w:rFonts w:eastAsia="Batang" w:cs="Cambria"/>
          <w:lang w:val="es-CR"/>
        </w:rPr>
        <w:lastRenderedPageBreak/>
        <w:t>de dichas entregas con las violaciones de derechos humanos establecidas en esta Sentencia. Asimismo, en los mencionados finiquitos no se indican los criterios empleados por la Comisión Nacional de Resarcimiento al momento de establecer los montos y conceptos de las indemnizaciones a favor de las víctimas</w:t>
      </w:r>
      <w:r w:rsidRPr="00D13792">
        <w:rPr>
          <w:rStyle w:val="FootnoteReference"/>
          <w:rFonts w:eastAsia="Batang" w:cs="Cambria"/>
          <w:lang w:val="es-CR"/>
        </w:rPr>
        <w:footnoteReference w:id="337"/>
      </w:r>
      <w:r w:rsidRPr="00D13792">
        <w:rPr>
          <w:rFonts w:eastAsia="Batang" w:cs="Cambria"/>
          <w:lang w:val="es-CR"/>
        </w:rPr>
        <w:t xml:space="preserve">. </w:t>
      </w:r>
      <w:r w:rsidRPr="00D13792">
        <w:rPr>
          <w:rFonts w:eastAsia="Batang" w:cs="Times"/>
          <w:lang w:val="es-CR"/>
        </w:rPr>
        <w:t>En vista de lo anterior, la Corte considera que el Estado no ha comprobado que se haya reparado a las víctimas del presente caso de manera integral por los daños derivados de las violaciones de derechos humanos establecidas en esta Sentencia</w:t>
      </w:r>
      <w:r w:rsidRPr="00D13792">
        <w:rPr>
          <w:rFonts w:eastAsia="Batang" w:cs="Cambria"/>
          <w:lang w:val="es-CR"/>
        </w:rPr>
        <w:t xml:space="preserve">. Por otra parte, la Corte nota que el Estado no controvirtió la aseveración de los representantes de que el PNR </w:t>
      </w:r>
      <w:r w:rsidRPr="00D13792">
        <w:rPr>
          <w:rFonts w:eastAsia="Calibri"/>
          <w:lang w:val="es-CR"/>
        </w:rPr>
        <w:t>“ha fijado una cantidad techo para resarcir a las víctimas, no importando el número de víctimas que una familia haya perdido y reportado”</w:t>
      </w:r>
      <w:r w:rsidRPr="00D13792">
        <w:rPr>
          <w:rStyle w:val="FootnoteReference"/>
          <w:rFonts w:cs="Helvetica"/>
          <w:color w:val="000000"/>
          <w:lang w:val="es-CR"/>
        </w:rPr>
        <w:footnoteReference w:id="338"/>
      </w:r>
      <w:r w:rsidRPr="00D13792">
        <w:rPr>
          <w:rFonts w:eastAsia="Batang" w:cs="Cambria"/>
          <w:lang w:val="es-CR"/>
        </w:rPr>
        <w:t xml:space="preserve">. Tampoco controvirtió lo manifestado en la audiencia por los representantes, en sentido que se cerró la oficina del PNR correspondiente al municipio de Rabinal. Por tanto, existe incertidumbre respecto de la continuidad del Programa en esta zona. </w:t>
      </w:r>
    </w:p>
    <w:p w:rsidR="006A0E1C" w:rsidRPr="00D13792" w:rsidRDefault="006A0E1C" w:rsidP="006A0E1C">
      <w:pPr>
        <w:keepNext/>
        <w:keepLines/>
        <w:widowControl/>
        <w:tabs>
          <w:tab w:val="left" w:pos="142"/>
        </w:tabs>
        <w:adjustRightInd/>
        <w:spacing w:line="240" w:lineRule="auto"/>
        <w:ind w:left="-709"/>
        <w:contextualSpacing/>
        <w:textAlignment w:val="auto"/>
        <w:outlineLvl w:val="1"/>
        <w:rPr>
          <w:rFonts w:eastAsia="Calibri" w:cs="Cambria"/>
          <w:sz w:val="20"/>
          <w:szCs w:val="20"/>
          <w:lang w:eastAsia="en-US"/>
        </w:rPr>
      </w:pPr>
    </w:p>
    <w:p w:rsidR="006A0E1C" w:rsidRPr="00D13792" w:rsidRDefault="006A0E1C" w:rsidP="006A0E1C">
      <w:pPr>
        <w:pStyle w:val="Prrafodelista2"/>
        <w:numPr>
          <w:ilvl w:val="0"/>
          <w:numId w:val="23"/>
        </w:numPr>
        <w:tabs>
          <w:tab w:val="left" w:pos="720"/>
        </w:tabs>
        <w:ind w:right="-90"/>
        <w:jc w:val="both"/>
        <w:rPr>
          <w:rFonts w:cs="Times"/>
          <w:bCs/>
          <w:lang w:val="es-CR"/>
        </w:rPr>
      </w:pPr>
      <w:r w:rsidRPr="00D13792">
        <w:rPr>
          <w:rFonts w:eastAsia="Batang" w:cs="Times"/>
          <w:lang w:val="es-CR"/>
        </w:rPr>
        <w:t xml:space="preserve">La Corte recuerda que, de conformidad con el artículo 63.1 de la Convención Americana, le corresponde velar por que </w:t>
      </w:r>
      <w:r w:rsidRPr="00D13792">
        <w:rPr>
          <w:rFonts w:cs="Tahoma"/>
          <w:lang w:val="es-CR"/>
        </w:rPr>
        <w:t xml:space="preserve">se reparen las consecuencias de las </w:t>
      </w:r>
      <w:r w:rsidRPr="00D13792">
        <w:rPr>
          <w:rFonts w:eastAsia="Batang" w:cs="Times"/>
          <w:lang w:val="es-CR"/>
        </w:rPr>
        <w:t>violaciones</w:t>
      </w:r>
      <w:r w:rsidRPr="00D13792">
        <w:rPr>
          <w:rFonts w:cs="Tahoma"/>
          <w:lang w:val="es-CR"/>
        </w:rPr>
        <w:t xml:space="preserve"> de los derechos humanos declaradas en esta Sentencia, así como disponer las reparaciones a que hubiera lugar a la parte lesionada, de conformidad con estándares internacionales y su jurisprudencia constante en la materia (</w:t>
      </w:r>
      <w:r w:rsidRPr="00D13792">
        <w:rPr>
          <w:rFonts w:cs="Tahoma"/>
          <w:i/>
          <w:lang w:val="es-CR"/>
        </w:rPr>
        <w:t>supra</w:t>
      </w:r>
      <w:r w:rsidRPr="00D13792">
        <w:rPr>
          <w:rFonts w:cs="Tahoma"/>
          <w:lang w:val="es-CR"/>
        </w:rPr>
        <w:t xml:space="preserve"> párrs. 266, 268 y 272)</w:t>
      </w:r>
      <w:r w:rsidRPr="00D13792">
        <w:rPr>
          <w:rFonts w:eastAsia="Batang" w:cs="Times"/>
          <w:lang w:val="es-CR"/>
        </w:rPr>
        <w:t xml:space="preserve">. En consecuencia, el Tribunal dispondrá las medidas </w:t>
      </w:r>
      <w:r w:rsidRPr="00D13792">
        <w:rPr>
          <w:rFonts w:cs="Tahoma"/>
          <w:lang w:val="es-CR"/>
        </w:rPr>
        <w:t>necesarias</w:t>
      </w:r>
      <w:r w:rsidRPr="00D13792">
        <w:rPr>
          <w:rFonts w:eastAsia="Batang" w:cs="Times"/>
          <w:lang w:val="es-CR"/>
        </w:rPr>
        <w:t xml:space="preserve"> para este propósito</w:t>
      </w:r>
      <w:r w:rsidRPr="00D13792">
        <w:rPr>
          <w:rFonts w:eastAsia="Batang" w:cs="Times"/>
          <w:bCs/>
          <w:lang w:val="es-CR"/>
        </w:rPr>
        <w:t>.</w:t>
      </w:r>
      <w:r w:rsidRPr="00D13792">
        <w:rPr>
          <w:rFonts w:eastAsia="Batang" w:cs="Times"/>
          <w:lang w:val="es-CR"/>
        </w:rPr>
        <w:t xml:space="preserve"> Sin perjuicio de ello, las medidas de </w:t>
      </w:r>
      <w:r w:rsidRPr="00D13792">
        <w:rPr>
          <w:rFonts w:eastAsia="Batang" w:cs="Cambria"/>
          <w:lang w:val="es-CR"/>
        </w:rPr>
        <w:t xml:space="preserve">reparación </w:t>
      </w:r>
      <w:r w:rsidRPr="00D13792">
        <w:rPr>
          <w:rFonts w:eastAsia="Batang" w:cs="Times"/>
          <w:lang w:val="es-CR"/>
        </w:rPr>
        <w:t xml:space="preserve">que ya han sido entregadas a víctimas del presente caso a nivel interno a través del PNR por las violaciones declaradas en esta Sentencia, cuando corresponda, deben ser reconocidas como parte de la reparación debida a estas y serán tomadas en cuenta. </w:t>
      </w:r>
    </w:p>
    <w:p w:rsidR="006A0E1C" w:rsidRPr="00D13792" w:rsidRDefault="006A0E1C" w:rsidP="006A0E1C">
      <w:pPr>
        <w:keepNext/>
        <w:keepLines/>
        <w:widowControl/>
        <w:tabs>
          <w:tab w:val="left" w:pos="360"/>
        </w:tabs>
        <w:adjustRightInd/>
        <w:spacing w:line="240" w:lineRule="auto"/>
        <w:ind w:left="360"/>
        <w:contextualSpacing/>
        <w:textAlignment w:val="auto"/>
        <w:outlineLvl w:val="1"/>
        <w:rPr>
          <w:rFonts w:eastAsia="MS Mincho"/>
          <w:b/>
          <w:bCs/>
          <w:sz w:val="20"/>
          <w:szCs w:val="20"/>
          <w:lang w:eastAsia="en-US"/>
        </w:rPr>
      </w:pPr>
    </w:p>
    <w:p w:rsidR="006A0E1C" w:rsidRPr="00D13792" w:rsidRDefault="006A0E1C" w:rsidP="006A0E1C">
      <w:pPr>
        <w:pStyle w:val="Heading2"/>
        <w:rPr>
          <w:rFonts w:eastAsia="MS Mincho"/>
          <w:lang w:val="es-CR"/>
        </w:rPr>
      </w:pPr>
      <w:bookmarkStart w:id="250" w:name="_Toc455631239"/>
      <w:bookmarkStart w:id="251" w:name="_Toc469670065"/>
      <w:r w:rsidRPr="00D13792">
        <w:rPr>
          <w:rFonts w:eastAsia="MS Mincho"/>
          <w:lang w:val="es-CR"/>
        </w:rPr>
        <w:t xml:space="preserve">C. Obligación de investigar los hechos e identificar, juzgar y, en su caso, sancionar a los responsables, así como </w:t>
      </w:r>
      <w:bookmarkEnd w:id="249"/>
      <w:r w:rsidRPr="00D13792">
        <w:rPr>
          <w:rFonts w:eastAsia="MS Mincho"/>
          <w:lang w:val="es-CR"/>
        </w:rPr>
        <w:t>de determinar el paradero de las víctimas desaparecidas, y recuperar e identificar las personas inhumadas en fosas clandestinas</w:t>
      </w:r>
      <w:bookmarkEnd w:id="250"/>
      <w:bookmarkEnd w:id="251"/>
    </w:p>
    <w:p w:rsidR="006A0E1C" w:rsidRPr="00D13792" w:rsidRDefault="006A0E1C" w:rsidP="006A0E1C">
      <w:pPr>
        <w:widowControl/>
        <w:adjustRightInd/>
        <w:spacing w:line="240" w:lineRule="auto"/>
        <w:ind w:left="720"/>
        <w:contextualSpacing/>
        <w:textAlignment w:val="auto"/>
        <w:rPr>
          <w:rFonts w:eastAsia="MS Mincho"/>
          <w:b/>
          <w:bCs/>
          <w:sz w:val="20"/>
          <w:szCs w:val="20"/>
          <w:lang w:eastAsia="en-US"/>
        </w:rPr>
      </w:pPr>
    </w:p>
    <w:p w:rsidR="006A0E1C" w:rsidRPr="00D13792" w:rsidRDefault="006A0E1C" w:rsidP="006A0E1C">
      <w:pPr>
        <w:widowControl/>
        <w:tabs>
          <w:tab w:val="left" w:pos="720"/>
        </w:tabs>
        <w:adjustRightInd/>
        <w:spacing w:line="240" w:lineRule="auto"/>
        <w:textAlignment w:val="auto"/>
        <w:rPr>
          <w:rFonts w:eastAsia="Batang" w:cs="Verdana"/>
          <w:b/>
          <w:i/>
          <w:sz w:val="20"/>
          <w:szCs w:val="20"/>
          <w:lang w:eastAsia="en-US"/>
        </w:rPr>
      </w:pPr>
      <w:r w:rsidRPr="00D13792">
        <w:rPr>
          <w:rFonts w:eastAsia="Batang" w:cs="Verdana"/>
          <w:b/>
          <w:i/>
          <w:sz w:val="20"/>
          <w:szCs w:val="20"/>
          <w:lang w:eastAsia="en-US"/>
        </w:rPr>
        <w:t>C.1. Investigación completa, determinación, enjuiciamiento y eventual sanción de los responsables materiales e intelectuales</w:t>
      </w:r>
    </w:p>
    <w:p w:rsidR="006A0E1C" w:rsidRPr="00D13792" w:rsidRDefault="006A0E1C" w:rsidP="006A0E1C">
      <w:pPr>
        <w:tabs>
          <w:tab w:val="left" w:pos="720"/>
          <w:tab w:val="left" w:pos="2160"/>
          <w:tab w:val="left" w:pos="2880"/>
          <w:tab w:val="left" w:pos="3600"/>
          <w:tab w:val="left" w:pos="4320"/>
          <w:tab w:val="left" w:pos="5760"/>
          <w:tab w:val="left" w:pos="6480"/>
          <w:tab w:val="left" w:pos="7200"/>
          <w:tab w:val="left" w:pos="7920"/>
        </w:tabs>
        <w:adjustRightInd/>
        <w:spacing w:line="240" w:lineRule="auto"/>
        <w:textAlignment w:val="auto"/>
        <w:rPr>
          <w:rFonts w:eastAsia="MS Mincho"/>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Arial"/>
          <w:lang w:val="es-CR"/>
        </w:rPr>
      </w:pPr>
      <w:r w:rsidRPr="00D13792">
        <w:rPr>
          <w:rFonts w:cs="Times"/>
          <w:lang w:val="es-CR"/>
        </w:rPr>
        <w:t xml:space="preserve">La </w:t>
      </w:r>
      <w:r w:rsidRPr="00D13792">
        <w:rPr>
          <w:rFonts w:cs="Times"/>
          <w:b/>
          <w:i/>
          <w:lang w:val="es-CR"/>
        </w:rPr>
        <w:t>Comisión</w:t>
      </w:r>
      <w:r w:rsidRPr="00D13792">
        <w:rPr>
          <w:rFonts w:cs="Times"/>
          <w:lang w:val="es-CR"/>
        </w:rPr>
        <w:t xml:space="preserve"> solicitó a la Corte que ordene al Estado</w:t>
      </w:r>
      <w:r w:rsidRPr="00D13792">
        <w:rPr>
          <w:rFonts w:eastAsia="Batang" w:cs="Arial"/>
          <w:lang w:val="es-CR"/>
        </w:rPr>
        <w:t xml:space="preserve"> llevar a cabo, concluir y reabrir, según corresponda, los </w:t>
      </w:r>
      <w:r w:rsidRPr="00D13792">
        <w:rPr>
          <w:lang w:val="es-CR"/>
        </w:rPr>
        <w:t>procedimientos</w:t>
      </w:r>
      <w:r w:rsidRPr="00D13792">
        <w:rPr>
          <w:rFonts w:eastAsia="Batang" w:cs="Arial"/>
          <w:lang w:val="es-CR"/>
        </w:rPr>
        <w:t xml:space="preserve"> internos relacionados con las violaciones de derechos humanos </w:t>
      </w:r>
      <w:r w:rsidRPr="00D13792">
        <w:rPr>
          <w:lang w:val="es-CR"/>
        </w:rPr>
        <w:t>declaradas</w:t>
      </w:r>
      <w:r w:rsidRPr="00D13792">
        <w:rPr>
          <w:rFonts w:eastAsia="Batang" w:cs="Arial"/>
          <w:lang w:val="es-CR"/>
        </w:rPr>
        <w:t xml:space="preserve"> en el Informe de Fondo y conducir las investigaciones de manera </w:t>
      </w:r>
      <w:r w:rsidRPr="00D13792">
        <w:rPr>
          <w:rFonts w:cs="Tahoma"/>
          <w:lang w:val="es-CR"/>
        </w:rPr>
        <w:t>imparcial</w:t>
      </w:r>
      <w:r w:rsidRPr="00D13792">
        <w:rPr>
          <w:rFonts w:eastAsia="Batang" w:cs="Arial"/>
          <w:lang w:val="es-CR"/>
        </w:rPr>
        <w:t xml:space="preserve">, efectiva y </w:t>
      </w:r>
      <w:r w:rsidRPr="00D13792">
        <w:rPr>
          <w:rFonts w:eastAsia="Batang" w:cs="Times"/>
          <w:lang w:val="es-CR"/>
        </w:rPr>
        <w:t>dentro</w:t>
      </w:r>
      <w:r w:rsidRPr="00D13792">
        <w:rPr>
          <w:rFonts w:eastAsia="Batang" w:cs="Arial"/>
          <w:lang w:val="es-CR"/>
        </w:rPr>
        <w:t xml:space="preserve"> de un plazo razonable con el objeto de esclarecer hechos en forma completa, identificar a los autores intelectuales y materiales e imponer las sanciones que correspondan.</w:t>
      </w:r>
      <w:r w:rsidRPr="00D13792">
        <w:rPr>
          <w:rFonts w:eastAsia="Batang" w:cs="Arial"/>
          <w:b/>
          <w:lang w:val="es-CR"/>
        </w:rPr>
        <w:t xml:space="preserve"> </w:t>
      </w:r>
      <w:r w:rsidRPr="00D13792">
        <w:rPr>
          <w:rFonts w:eastAsia="Batang" w:cs="Arial"/>
          <w:lang w:val="es-CR"/>
        </w:rPr>
        <w:t>Asimismo,</w:t>
      </w:r>
      <w:r w:rsidRPr="00D13792">
        <w:rPr>
          <w:rFonts w:cs="Times"/>
          <w:lang w:val="es-CR"/>
        </w:rPr>
        <w:t xml:space="preserve"> solicitó que el Estado disponga</w:t>
      </w:r>
      <w:r w:rsidRPr="00D13792">
        <w:rPr>
          <w:rFonts w:eastAsia="Batang" w:cs="Arial"/>
          <w:lang w:val="es-CR"/>
        </w:rPr>
        <w:t xml:space="preserve"> las medidas </w:t>
      </w:r>
      <w:r w:rsidRPr="00D13792">
        <w:rPr>
          <w:lang w:val="es-CR"/>
        </w:rPr>
        <w:t>administrativas</w:t>
      </w:r>
      <w:r w:rsidRPr="00D13792">
        <w:rPr>
          <w:rFonts w:eastAsia="Batang" w:cs="Arial"/>
          <w:lang w:val="es-CR"/>
        </w:rPr>
        <w:t xml:space="preserve">, disciplinarias o penales correspondientes frente a las acciones u omisiones de los funcionarios estatales que han contribuido a la </w:t>
      </w:r>
      <w:r w:rsidRPr="00D13792">
        <w:rPr>
          <w:rFonts w:eastAsia="Batang" w:cs="Times"/>
          <w:lang w:val="es-CR"/>
        </w:rPr>
        <w:t>denegación</w:t>
      </w:r>
      <w:r w:rsidRPr="00D13792">
        <w:rPr>
          <w:rFonts w:eastAsia="Batang" w:cs="Arial"/>
          <w:lang w:val="es-CR"/>
        </w:rPr>
        <w:t xml:space="preserve"> de justicia </w:t>
      </w:r>
      <w:r w:rsidRPr="00D13792">
        <w:rPr>
          <w:rFonts w:eastAsia="Calibri"/>
          <w:lang w:val="es-CR"/>
        </w:rPr>
        <w:t>e impunidad en la que se encuentran los hechos del caso o que participaron en medidas para</w:t>
      </w:r>
      <w:r w:rsidRPr="00D13792">
        <w:rPr>
          <w:rFonts w:eastAsia="Batang" w:cs="Arial"/>
          <w:lang w:val="es-CR"/>
        </w:rPr>
        <w:t xml:space="preserve"> </w:t>
      </w:r>
      <w:r w:rsidRPr="00D13792">
        <w:rPr>
          <w:rFonts w:eastAsia="Calibri"/>
          <w:lang w:val="es-CR"/>
        </w:rPr>
        <w:t>obstaculizar los procesos destinados a identificar y sancionar a los responsables</w:t>
      </w:r>
      <w:r w:rsidRPr="00D13792">
        <w:rPr>
          <w:rFonts w:eastAsia="Batang" w:cs="Arial"/>
          <w:lang w:val="es-CR"/>
        </w:rPr>
        <w:t>.</w:t>
      </w:r>
    </w:p>
    <w:p w:rsidR="006A0E1C" w:rsidRPr="00D13792" w:rsidRDefault="006A0E1C" w:rsidP="006A0E1C">
      <w:pPr>
        <w:widowControl/>
        <w:autoSpaceDE w:val="0"/>
        <w:autoSpaceDN w:val="0"/>
        <w:spacing w:line="240" w:lineRule="auto"/>
        <w:contextualSpacing/>
        <w:textAlignment w:val="auto"/>
        <w:rPr>
          <w:rFonts w:eastAsia="Calibri" w:cs="Arial"/>
          <w:b/>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Arial"/>
          <w:b/>
          <w:lang w:val="es-CR"/>
        </w:rPr>
      </w:pPr>
      <w:r w:rsidRPr="00D13792">
        <w:rPr>
          <w:rFonts w:cs="Arial"/>
          <w:lang w:val="es-CR"/>
        </w:rPr>
        <w:t xml:space="preserve">Los </w:t>
      </w:r>
      <w:r w:rsidRPr="00D13792">
        <w:rPr>
          <w:rFonts w:cs="Arial"/>
          <w:b/>
          <w:i/>
          <w:lang w:val="es-CR"/>
        </w:rPr>
        <w:t>representantes</w:t>
      </w:r>
      <w:r w:rsidRPr="00D13792">
        <w:rPr>
          <w:rFonts w:cs="Arial"/>
          <w:lang w:val="es-CR"/>
        </w:rPr>
        <w:t xml:space="preserve"> </w:t>
      </w:r>
      <w:r w:rsidRPr="00D13792">
        <w:rPr>
          <w:rFonts w:cs="Tahoma"/>
          <w:lang w:val="es-CR"/>
        </w:rPr>
        <w:t>solicitaron</w:t>
      </w:r>
      <w:r w:rsidRPr="00D13792">
        <w:rPr>
          <w:rFonts w:cs="Arial"/>
          <w:lang w:val="es-CR"/>
        </w:rPr>
        <w:t xml:space="preserve"> a la Corte que ordene al Estado</w:t>
      </w:r>
      <w:r w:rsidRPr="00D13792">
        <w:rPr>
          <w:rFonts w:eastAsia="Batang" w:cs="Calibri"/>
          <w:lang w:val="es-CR"/>
        </w:rPr>
        <w:t xml:space="preserve"> realizar las averiguaciones necesarias y completas sobre los hechos examinados, basándose en líneas de investigación lógicas y de conformidad con los criterios establecidos en la jurisprudencia de la Corte en relación con violaciones graves de derechos humanos</w:t>
      </w:r>
      <w:r w:rsidRPr="00D13792">
        <w:rPr>
          <w:rFonts w:eastAsia="Calibri" w:cs="Calibri"/>
          <w:lang w:val="es-CR"/>
        </w:rPr>
        <w:t xml:space="preserve">, incluyendo desapariciones forzadas, </w:t>
      </w:r>
      <w:r w:rsidRPr="00D13792">
        <w:rPr>
          <w:rFonts w:eastAsia="Calibri" w:cs="Calibri"/>
          <w:lang w:val="es-CR"/>
        </w:rPr>
        <w:lastRenderedPageBreak/>
        <w:t>ejecuciones extrajudiciales y torturas</w:t>
      </w:r>
      <w:r w:rsidRPr="00D13792">
        <w:rPr>
          <w:rFonts w:eastAsia="Batang" w:cs="Calibri"/>
          <w:lang w:val="es-CR"/>
        </w:rPr>
        <w:t>.</w:t>
      </w:r>
      <w:r w:rsidRPr="00D13792" w:rsidDel="00202D8A">
        <w:rPr>
          <w:rFonts w:eastAsia="Batang" w:cs="Calibri"/>
          <w:lang w:val="es-CR"/>
        </w:rPr>
        <w:t xml:space="preserve"> </w:t>
      </w:r>
      <w:r w:rsidRPr="00D13792">
        <w:rPr>
          <w:rFonts w:eastAsia="Batang" w:cs="Calibri"/>
          <w:lang w:val="es-CR"/>
        </w:rPr>
        <w:t>En la audiencia pública solicitaron, en particular, la “persecución” de la desaparición forzada y las alegadas torturas, violaciones sexuales, genocidio, crímenes de lesa humanidad y crímenes de guerra.</w:t>
      </w:r>
    </w:p>
    <w:p w:rsidR="006A0E1C" w:rsidRPr="00D13792" w:rsidRDefault="006A0E1C" w:rsidP="006A0E1C">
      <w:pPr>
        <w:widowControl/>
        <w:autoSpaceDE w:val="0"/>
        <w:autoSpaceDN w:val="0"/>
        <w:spacing w:line="240" w:lineRule="auto"/>
        <w:contextualSpacing/>
        <w:textAlignment w:val="auto"/>
        <w:rPr>
          <w:rFonts w:eastAsia="Calibri" w:cs="Arial"/>
          <w:b/>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Arial"/>
          <w:b/>
          <w:lang w:val="es-CR"/>
        </w:rPr>
      </w:pPr>
      <w:r w:rsidRPr="00D13792">
        <w:rPr>
          <w:rFonts w:eastAsia="Batang" w:cs="Times"/>
          <w:lang w:val="es-CR"/>
        </w:rPr>
        <w:t xml:space="preserve">El </w:t>
      </w:r>
      <w:r w:rsidRPr="00D13792">
        <w:rPr>
          <w:rFonts w:eastAsia="Batang" w:cs="Times"/>
          <w:b/>
          <w:i/>
          <w:lang w:val="es-CR"/>
        </w:rPr>
        <w:t>Estado</w:t>
      </w:r>
      <w:r w:rsidRPr="00D13792">
        <w:rPr>
          <w:rFonts w:eastAsia="Batang" w:cs="Times"/>
          <w:lang w:val="es-CR"/>
        </w:rPr>
        <w:t xml:space="preserve"> señaló que en ningún momento se ha negado a continuar con las investigaciones de los hechos. Manifestó que esto debe entenderse en observancia a que el Ejército y la guerrilla pactaron que no habría persecución penal para ninguno de los dos bandos implicados, por los hechos cometidos por cada uno durante el enfrentamiento armado interno, esto con el objetivo de lograr la firma de la paz en Guatemala en 1996. Según el Estado, el Ministerio Público continúa realizando la investigación de los hechos, pero si logra determinar que alguno de los hechos se enmarca dentro de los supuestos contemplados en la Ley de Reconciliación Nacional, no se podría perseguir penalmente a los miembros de la </w:t>
      </w:r>
      <w:r w:rsidRPr="00D13792">
        <w:rPr>
          <w:lang w:val="es-CR"/>
        </w:rPr>
        <w:t>guerrilla</w:t>
      </w:r>
      <w:r w:rsidRPr="00D13792">
        <w:rPr>
          <w:rFonts w:eastAsia="Batang" w:cs="Times"/>
          <w:lang w:val="es-CR"/>
        </w:rPr>
        <w:t xml:space="preserve"> o del Ejército. Asimismo, valoró las recomendaciones realizadas, resaltando que las mismas pueden orientar a los jueces para la interpretación y aplicación de la ley, pero aclaró que no debe ignorar la aplicación y vigencia de las leyes nacionales, que tienen consideraciones relativas a garantías procesales y causas de extinción de la responsabilidad penal, cuya modificación o derogación corresponde con exclusividad al Congreso de la República de Guatemala.</w:t>
      </w:r>
      <w:r w:rsidRPr="00D13792">
        <w:rPr>
          <w:rFonts w:eastAsia="Batang" w:cs="Times"/>
          <w:b/>
          <w:lang w:val="es-CR"/>
        </w:rPr>
        <w:t xml:space="preserve"> </w:t>
      </w:r>
      <w:r w:rsidRPr="00D13792">
        <w:rPr>
          <w:rFonts w:eastAsia="Batang" w:cs="Times"/>
          <w:lang w:val="es-CR"/>
        </w:rPr>
        <w:t>Finalmente, el</w:t>
      </w:r>
      <w:r w:rsidRPr="00D13792">
        <w:rPr>
          <w:rFonts w:eastAsia="Batang" w:cs="Times"/>
          <w:b/>
          <w:i/>
          <w:lang w:val="es-CR"/>
        </w:rPr>
        <w:t xml:space="preserve"> </w:t>
      </w:r>
      <w:r w:rsidRPr="00D13792">
        <w:rPr>
          <w:rFonts w:eastAsia="Batang" w:cs="Times"/>
          <w:lang w:val="es-CR"/>
        </w:rPr>
        <w:t xml:space="preserve">Estado sostuvo que dispone de medidas administrativas, disciplinarias y penales para la investigación y sanción de empleados y funcionarios públicos en el desempeño de sus funciones, sin embargo, “no puede someter a </w:t>
      </w:r>
      <w:r w:rsidRPr="00D13792">
        <w:rPr>
          <w:rFonts w:cs="Tahoma"/>
          <w:lang w:val="es-CR"/>
        </w:rPr>
        <w:t>ningún</w:t>
      </w:r>
      <w:r w:rsidRPr="00D13792">
        <w:rPr>
          <w:rFonts w:eastAsia="Batang" w:cs="Times"/>
          <w:lang w:val="es-CR"/>
        </w:rPr>
        <w:t xml:space="preserve"> empleado o funcionario a medidas disciplinarias sin que exista una acusación directa y concreta”.</w:t>
      </w:r>
    </w:p>
    <w:p w:rsidR="006A0E1C" w:rsidRPr="00D13792" w:rsidRDefault="006A0E1C" w:rsidP="006A0E1C">
      <w:pPr>
        <w:widowControl/>
        <w:adjustRightInd/>
        <w:spacing w:line="240" w:lineRule="auto"/>
        <w:ind w:left="720"/>
        <w:contextualSpacing/>
        <w:textAlignment w:val="auto"/>
        <w:rPr>
          <w:rFonts w:eastAsia="Calibri" w:cs="Arial"/>
          <w:b/>
          <w:sz w:val="20"/>
          <w:szCs w:val="20"/>
          <w:lang w:eastAsia="en-US"/>
        </w:rPr>
      </w:pPr>
    </w:p>
    <w:p w:rsidR="006A0E1C" w:rsidRPr="00D13792" w:rsidRDefault="006A0E1C" w:rsidP="006A0E1C">
      <w:pPr>
        <w:pStyle w:val="Prrafodelista2"/>
        <w:numPr>
          <w:ilvl w:val="0"/>
          <w:numId w:val="23"/>
        </w:numPr>
        <w:tabs>
          <w:tab w:val="left" w:pos="720"/>
          <w:tab w:val="left" w:pos="9090"/>
        </w:tabs>
        <w:ind w:right="-90"/>
        <w:jc w:val="both"/>
        <w:rPr>
          <w:rFonts w:eastAsia="Batang" w:cs="Times"/>
          <w:lang w:val="es-CR"/>
        </w:rPr>
      </w:pPr>
      <w:r w:rsidRPr="00D13792">
        <w:rPr>
          <w:rFonts w:eastAsia="Batang" w:cs="Verdana"/>
          <w:lang w:val="es-CR"/>
        </w:rPr>
        <w:t>La</w:t>
      </w:r>
      <w:r w:rsidRPr="00D13792">
        <w:rPr>
          <w:rFonts w:eastAsia="Batang" w:cs="Verdana"/>
          <w:i/>
          <w:lang w:val="es-CR"/>
        </w:rPr>
        <w:t xml:space="preserve"> </w:t>
      </w:r>
      <w:r w:rsidRPr="00D13792">
        <w:rPr>
          <w:rFonts w:eastAsia="Batang" w:cs="Verdana"/>
          <w:b/>
          <w:i/>
          <w:lang w:val="es-CR"/>
        </w:rPr>
        <w:t>Corte</w:t>
      </w:r>
      <w:r w:rsidRPr="00D13792">
        <w:rPr>
          <w:rFonts w:eastAsia="Batang" w:cs="Arial"/>
          <w:lang w:val="es-CR"/>
        </w:rPr>
        <w:t xml:space="preserve"> valora la disposición del Estado de promover las investigaciones penales del presente caso. No obstante, </w:t>
      </w:r>
      <w:r w:rsidRPr="00D13792">
        <w:rPr>
          <w:lang w:val="es-CR"/>
        </w:rPr>
        <w:t>teniendo</w:t>
      </w:r>
      <w:r w:rsidRPr="00D13792">
        <w:rPr>
          <w:rFonts w:eastAsia="Batang" w:cs="Times"/>
          <w:lang w:val="es-CR"/>
        </w:rPr>
        <w:t xml:space="preserve"> en cuenta las conclusiones señaladas en el Capítulo IX.III de esta Sentencia, el Tribunal dispone que el Estado debe remover todos los obstáculos, </w:t>
      </w:r>
      <w:r w:rsidRPr="00D13792">
        <w:rPr>
          <w:rFonts w:eastAsia="Batang" w:cs="Times"/>
          <w:i/>
          <w:iCs/>
          <w:lang w:val="es-CR"/>
        </w:rPr>
        <w:t>de facto</w:t>
      </w:r>
      <w:r w:rsidRPr="00D13792">
        <w:rPr>
          <w:rFonts w:eastAsia="Batang" w:cs="Times"/>
          <w:iCs/>
          <w:lang w:val="es-CR"/>
        </w:rPr>
        <w:t xml:space="preserve"> y </w:t>
      </w:r>
      <w:r w:rsidRPr="00D13792">
        <w:rPr>
          <w:rFonts w:eastAsia="Batang" w:cs="Times"/>
          <w:i/>
          <w:iCs/>
          <w:lang w:val="es-CR"/>
        </w:rPr>
        <w:t>de jure</w:t>
      </w:r>
      <w:r w:rsidRPr="00D13792">
        <w:rPr>
          <w:rFonts w:eastAsia="Batang" w:cs="Times"/>
          <w:lang w:val="es-CR"/>
        </w:rPr>
        <w:t xml:space="preserve">, que mantienen la impunidad en este caso, e iniciar, continuar, impulsar y/o reabrir las investigaciones que sean necesarias para </w:t>
      </w:r>
      <w:r w:rsidRPr="00D13792">
        <w:rPr>
          <w:lang w:val="es-CR"/>
        </w:rPr>
        <w:t xml:space="preserve">individualizar, juzgar </w:t>
      </w:r>
      <w:r w:rsidRPr="00D13792">
        <w:rPr>
          <w:rFonts w:eastAsia="Batang" w:cs="Times"/>
          <w:lang w:val="es-CR"/>
        </w:rPr>
        <w:t xml:space="preserve">y, en su caso, sancionar a los responsables de </w:t>
      </w:r>
      <w:r w:rsidRPr="00370D5D">
        <w:rPr>
          <w:rFonts w:eastAsia="Batang" w:cs="Times"/>
          <w:lang w:val="es-CR"/>
        </w:rPr>
        <w:t xml:space="preserve">las violaciones de los derechos humanos </w:t>
      </w:r>
      <w:r w:rsidRPr="00D13792">
        <w:rPr>
          <w:rFonts w:eastAsia="Batang" w:cs="Times"/>
          <w:lang w:val="es-CR"/>
        </w:rPr>
        <w:t xml:space="preserve">objeto </w:t>
      </w:r>
      <w:r w:rsidRPr="00D13792">
        <w:rPr>
          <w:rFonts w:cs="Tahoma"/>
          <w:lang w:val="es-CR"/>
        </w:rPr>
        <w:t>del</w:t>
      </w:r>
      <w:r w:rsidRPr="00D13792">
        <w:rPr>
          <w:rFonts w:eastAsia="Batang" w:cs="Times"/>
          <w:lang w:val="es-CR"/>
        </w:rPr>
        <w:t xml:space="preserve"> presente caso. El Estado debe impulsar, reabrir, dirigir, continuar y concluir las investigaciones y procesos pertinentes, según corresponda, en un plazo razonable, con el fin de establecer la verdad de los hechos, tomando en cuenta que han transcurrido entre 30 y 35 años desde que sucedieron. </w:t>
      </w:r>
      <w:r w:rsidRPr="00D13792">
        <w:rPr>
          <w:rFonts w:eastAsia="Batang" w:cs="Verdana"/>
          <w:lang w:val="es-CR"/>
        </w:rPr>
        <w:t>En particular, el Estado deberá</w:t>
      </w:r>
      <w:r w:rsidRPr="00D13792">
        <w:rPr>
          <w:rFonts w:eastAsia="Batang" w:cs="Times"/>
          <w:lang w:val="es-CR"/>
        </w:rPr>
        <w:t xml:space="preserve"> velar por que se observen los siguientes criterios</w:t>
      </w:r>
      <w:r w:rsidRPr="00D13792">
        <w:rPr>
          <w:rFonts w:eastAsia="Batang" w:cs="Verdana"/>
          <w:lang w:val="es-CR"/>
        </w:rPr>
        <w:t>:</w:t>
      </w:r>
    </w:p>
    <w:p w:rsidR="006A0E1C" w:rsidRPr="00D13792" w:rsidRDefault="006A0E1C" w:rsidP="006A0E1C">
      <w:pPr>
        <w:tabs>
          <w:tab w:val="left" w:pos="0"/>
          <w:tab w:val="left" w:pos="720"/>
          <w:tab w:val="left" w:pos="2880"/>
          <w:tab w:val="left" w:pos="3600"/>
          <w:tab w:val="left" w:pos="4320"/>
          <w:tab w:val="left" w:pos="5760"/>
          <w:tab w:val="left" w:pos="6480"/>
          <w:tab w:val="left" w:pos="7200"/>
          <w:tab w:val="left" w:pos="7920"/>
        </w:tabs>
        <w:adjustRightInd/>
        <w:spacing w:line="240" w:lineRule="auto"/>
        <w:textAlignment w:val="auto"/>
        <w:rPr>
          <w:rFonts w:eastAsia="MS Mincho"/>
          <w:sz w:val="20"/>
          <w:szCs w:val="20"/>
        </w:rPr>
      </w:pPr>
    </w:p>
    <w:p w:rsidR="006A0E1C" w:rsidRPr="00D13792" w:rsidRDefault="006A0E1C" w:rsidP="006A0E1C">
      <w:pPr>
        <w:widowControl/>
        <w:numPr>
          <w:ilvl w:val="0"/>
          <w:numId w:val="10"/>
        </w:numPr>
        <w:adjustRightInd/>
        <w:spacing w:line="240" w:lineRule="auto"/>
        <w:ind w:right="99" w:firstLine="0"/>
        <w:textAlignment w:val="auto"/>
        <w:rPr>
          <w:rFonts w:eastAsia="Batang" w:cs="Arial"/>
          <w:sz w:val="20"/>
          <w:szCs w:val="20"/>
          <w:lang w:eastAsia="en-US"/>
        </w:rPr>
      </w:pPr>
      <w:r w:rsidRPr="00D13792">
        <w:rPr>
          <w:rFonts w:eastAsia="Batang" w:cs="Arial"/>
          <w:sz w:val="20"/>
          <w:szCs w:val="20"/>
          <w:lang w:eastAsia="en-US"/>
        </w:rPr>
        <w:t>en consideración de la gravedad de los hechos, no podrá aplicar leyes de amnistía ni disposiciones de prescripción, ni esgrimir pretendidas excluyentes de responsabilidad, que en realidad sean pretexto para impedir la investigación;</w:t>
      </w:r>
    </w:p>
    <w:p w:rsidR="006A0E1C" w:rsidRPr="00D13792" w:rsidRDefault="006A0E1C" w:rsidP="006A0E1C">
      <w:pPr>
        <w:widowControl/>
        <w:tabs>
          <w:tab w:val="num" w:pos="720"/>
        </w:tabs>
        <w:adjustRightInd/>
        <w:spacing w:line="240" w:lineRule="auto"/>
        <w:ind w:left="720" w:right="99"/>
        <w:textAlignment w:val="auto"/>
        <w:rPr>
          <w:rFonts w:eastAsia="Batang" w:cs="Arial"/>
          <w:sz w:val="20"/>
          <w:szCs w:val="20"/>
          <w:lang w:eastAsia="en-US"/>
        </w:rPr>
      </w:pPr>
    </w:p>
    <w:p w:rsidR="006A0E1C" w:rsidRPr="00D13792" w:rsidRDefault="006A0E1C" w:rsidP="006A0E1C">
      <w:pPr>
        <w:widowControl/>
        <w:numPr>
          <w:ilvl w:val="0"/>
          <w:numId w:val="10"/>
        </w:numPr>
        <w:adjustRightInd/>
        <w:spacing w:line="240" w:lineRule="auto"/>
        <w:ind w:right="99" w:firstLine="0"/>
        <w:textAlignment w:val="auto"/>
        <w:rPr>
          <w:rFonts w:eastAsia="Batang" w:cs="Arial"/>
          <w:sz w:val="20"/>
          <w:szCs w:val="20"/>
          <w:lang w:eastAsia="en-US"/>
        </w:rPr>
      </w:pPr>
      <w:r w:rsidRPr="00D13792">
        <w:rPr>
          <w:rFonts w:eastAsia="Batang" w:cs="Times"/>
          <w:sz w:val="20"/>
          <w:szCs w:val="20"/>
          <w:lang w:eastAsia="en-US"/>
        </w:rPr>
        <w:t>deberá investigar de oficio y de forma</w:t>
      </w:r>
      <w:r w:rsidRPr="00D13792">
        <w:rPr>
          <w:rFonts w:eastAsia="Batang" w:cs="Arial"/>
          <w:sz w:val="20"/>
          <w:szCs w:val="20"/>
          <w:lang w:eastAsia="en-US"/>
        </w:rPr>
        <w:t xml:space="preserve"> efectiva los hechos del presente caso, tomando en cuenta el patrón sistemático de violaciones graves y masivas de derechos humanos existente en la época en que estos ocurrieron. En particular, debe investigar</w:t>
      </w:r>
      <w:r w:rsidRPr="00D13792">
        <w:rPr>
          <w:rFonts w:eastAsia="Batang" w:cs="Times"/>
          <w:sz w:val="20"/>
          <w:szCs w:val="20"/>
          <w:lang w:eastAsia="en-US"/>
        </w:rPr>
        <w:t xml:space="preserve"> efectivamente </w:t>
      </w:r>
      <w:r w:rsidRPr="00D13792">
        <w:rPr>
          <w:rFonts w:eastAsia="Batang" w:cs="Arial"/>
          <w:sz w:val="20"/>
          <w:szCs w:val="20"/>
          <w:lang w:eastAsia="en-US"/>
        </w:rPr>
        <w:t>las</w:t>
      </w:r>
      <w:r w:rsidRPr="00D13792">
        <w:rPr>
          <w:rFonts w:eastAsia="Batang" w:cs="Times"/>
          <w:sz w:val="20"/>
          <w:szCs w:val="20"/>
          <w:lang w:eastAsia="en-US"/>
        </w:rPr>
        <w:t xml:space="preserve"> desapariciones forzadas y desplazamientos forzosos, las alegadas torturas, ejecuciones extrajudiciales, violaciones sexuales y trabajos forzosos, así como las denuncias de que se cometieron crímenes de lesa humanidad, crímenes de guerra y/o genocidio;</w:t>
      </w:r>
    </w:p>
    <w:p w:rsidR="006A0E1C" w:rsidRPr="00D13792" w:rsidRDefault="006A0E1C" w:rsidP="006A0E1C">
      <w:pPr>
        <w:widowControl/>
        <w:tabs>
          <w:tab w:val="num" w:pos="720"/>
        </w:tabs>
        <w:adjustRightInd/>
        <w:spacing w:line="240" w:lineRule="auto"/>
        <w:ind w:left="720" w:right="99"/>
        <w:textAlignment w:val="auto"/>
        <w:rPr>
          <w:rFonts w:eastAsia="Batang" w:cs="Arial"/>
          <w:sz w:val="20"/>
          <w:szCs w:val="20"/>
          <w:lang w:eastAsia="en-US"/>
        </w:rPr>
      </w:pPr>
    </w:p>
    <w:p w:rsidR="006A0E1C" w:rsidRPr="00D13792" w:rsidRDefault="006A0E1C" w:rsidP="006A0E1C">
      <w:pPr>
        <w:widowControl/>
        <w:numPr>
          <w:ilvl w:val="0"/>
          <w:numId w:val="10"/>
        </w:numPr>
        <w:adjustRightInd/>
        <w:spacing w:line="240" w:lineRule="auto"/>
        <w:ind w:right="99" w:firstLine="0"/>
        <w:textAlignment w:val="auto"/>
        <w:rPr>
          <w:rFonts w:eastAsia="Batang" w:cs="Arial"/>
          <w:sz w:val="20"/>
          <w:szCs w:val="20"/>
          <w:lang w:eastAsia="en-US"/>
        </w:rPr>
      </w:pPr>
      <w:r w:rsidRPr="00D13792">
        <w:rPr>
          <w:rFonts w:eastAsia="Batang" w:cs="Arial"/>
          <w:sz w:val="20"/>
          <w:szCs w:val="20"/>
          <w:lang w:eastAsia="en-US"/>
        </w:rPr>
        <w:t xml:space="preserve">deberá determinar la identidad de los presuntos autores materiales e intelectuales de los hechos. La debida diligencia en la investigación implica </w:t>
      </w:r>
      <w:r w:rsidRPr="00D13792">
        <w:rPr>
          <w:rFonts w:eastAsia="Batang" w:cs="Times"/>
          <w:sz w:val="20"/>
          <w:szCs w:val="20"/>
          <w:lang w:eastAsia="en-US"/>
        </w:rPr>
        <w:t>que todas las autoridades estatales están obligadas a colaborar en la recaudación de la prueba, por lo que deberán brindar al juez de la causa toda la información que requiera y abstenerse de actos que impliquen la obstrucción para la marcha del proceso investigativo, y</w:t>
      </w:r>
    </w:p>
    <w:p w:rsidR="006A0E1C" w:rsidRPr="00D13792" w:rsidRDefault="006A0E1C" w:rsidP="006A0E1C">
      <w:pPr>
        <w:widowControl/>
        <w:tabs>
          <w:tab w:val="num" w:pos="720"/>
        </w:tabs>
        <w:adjustRightInd/>
        <w:spacing w:line="240" w:lineRule="auto"/>
        <w:ind w:left="720" w:right="99"/>
        <w:textAlignment w:val="auto"/>
        <w:rPr>
          <w:rFonts w:eastAsia="Batang" w:cs="Arial"/>
          <w:sz w:val="20"/>
          <w:szCs w:val="20"/>
          <w:lang w:eastAsia="en-US"/>
        </w:rPr>
      </w:pPr>
    </w:p>
    <w:p w:rsidR="006A0E1C" w:rsidRPr="00D13792" w:rsidRDefault="006A0E1C" w:rsidP="006A0E1C">
      <w:pPr>
        <w:widowControl/>
        <w:numPr>
          <w:ilvl w:val="0"/>
          <w:numId w:val="10"/>
        </w:numPr>
        <w:adjustRightInd/>
        <w:spacing w:line="240" w:lineRule="auto"/>
        <w:ind w:right="99" w:firstLine="0"/>
        <w:textAlignment w:val="auto"/>
        <w:rPr>
          <w:rFonts w:eastAsia="Batang" w:cs="Arial"/>
          <w:sz w:val="20"/>
          <w:szCs w:val="20"/>
          <w:lang w:eastAsia="en-US"/>
        </w:rPr>
      </w:pPr>
      <w:r w:rsidRPr="00D13792">
        <w:rPr>
          <w:rFonts w:eastAsia="Batang" w:cs="Arial"/>
          <w:sz w:val="20"/>
          <w:szCs w:val="20"/>
          <w:lang w:eastAsia="en-US"/>
        </w:rPr>
        <w:t xml:space="preserve">deberá </w:t>
      </w:r>
      <w:r w:rsidRPr="00D13792">
        <w:rPr>
          <w:rFonts w:eastAsia="Batang" w:cs="Times"/>
          <w:sz w:val="20"/>
          <w:szCs w:val="20"/>
          <w:lang w:eastAsia="en-US"/>
        </w:rPr>
        <w:t xml:space="preserve">asegurar que </w:t>
      </w:r>
      <w:r w:rsidRPr="00D13792">
        <w:rPr>
          <w:rFonts w:eastAsia="Batang" w:cs="TimesNewRomanPSMT"/>
          <w:sz w:val="20"/>
          <w:szCs w:val="20"/>
          <w:lang w:eastAsia="en-US" w:bidi="en-US"/>
        </w:rPr>
        <w:t xml:space="preserve">los distintos órganos del sistema de justicia involucrados en el caso cuenten con los recursos humanos, materiales, técnicos y científicos necesarios para desempeñar sus tareas de manera adecuada, independiente e </w:t>
      </w:r>
      <w:r w:rsidRPr="00D13792">
        <w:rPr>
          <w:rFonts w:eastAsia="Batang" w:cs="TimesNewRomanPSMT"/>
          <w:sz w:val="20"/>
          <w:szCs w:val="20"/>
          <w:lang w:eastAsia="en-US" w:bidi="en-US"/>
        </w:rPr>
        <w:lastRenderedPageBreak/>
        <w:t>imparcial, y que las personas que participen en la investigación, entre ellas las víctimas o sus representantes, testigos y operadores de justicia, cuenten con las debidas garantías de seguridad</w:t>
      </w:r>
      <w:r w:rsidRPr="00D13792">
        <w:rPr>
          <w:rFonts w:eastAsia="Batang" w:cs="TimesNewRomanPSMT"/>
          <w:sz w:val="20"/>
          <w:szCs w:val="20"/>
          <w:vertAlign w:val="superscript"/>
          <w:lang w:eastAsia="en-US" w:bidi="en-US"/>
        </w:rPr>
        <w:footnoteReference w:id="339"/>
      </w:r>
      <w:r w:rsidRPr="00D13792">
        <w:rPr>
          <w:rFonts w:eastAsia="Batang" w:cs="Times"/>
          <w:sz w:val="20"/>
          <w:szCs w:val="20"/>
          <w:lang w:eastAsia="en-US"/>
        </w:rPr>
        <w:t>.</w:t>
      </w:r>
    </w:p>
    <w:p w:rsidR="006A0E1C" w:rsidRPr="00D13792" w:rsidRDefault="006A0E1C" w:rsidP="006A0E1C">
      <w:pPr>
        <w:widowControl/>
        <w:adjustRightInd/>
        <w:spacing w:line="240" w:lineRule="auto"/>
        <w:ind w:right="99"/>
        <w:textAlignment w:val="auto"/>
        <w:rPr>
          <w:rFonts w:eastAsia="Batang" w:cs="Arial"/>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Times"/>
          <w:lang w:val="es-CR"/>
        </w:rPr>
      </w:pPr>
      <w:r w:rsidRPr="00D13792">
        <w:rPr>
          <w:rFonts w:eastAsia="Batang" w:cs="Times"/>
          <w:lang w:val="es-CR"/>
        </w:rPr>
        <w:t>Conforme a su jurisprudencia constante</w:t>
      </w:r>
      <w:r w:rsidRPr="00D13792">
        <w:rPr>
          <w:rFonts w:eastAsia="Batang" w:cs="Times"/>
          <w:vertAlign w:val="superscript"/>
          <w:lang w:val="es-CR"/>
        </w:rPr>
        <w:footnoteReference w:id="340"/>
      </w:r>
      <w:r w:rsidRPr="00D13792">
        <w:rPr>
          <w:rFonts w:eastAsia="Batang" w:cs="Times"/>
          <w:lang w:val="es-CR"/>
        </w:rPr>
        <w:t xml:space="preserve">, la Corte considera que el Estado debe asegurar el pleno acceso y capacidad de actuar de las víctimas o sus familiares en todas las etapas de la investigación y el </w:t>
      </w:r>
      <w:r w:rsidRPr="00D13792">
        <w:rPr>
          <w:lang w:val="es-CR"/>
        </w:rPr>
        <w:t>juzgamiento</w:t>
      </w:r>
      <w:r w:rsidRPr="00D13792">
        <w:rPr>
          <w:rFonts w:eastAsia="Batang" w:cs="Times"/>
          <w:lang w:val="es-CR"/>
        </w:rPr>
        <w:t xml:space="preserve"> de los responsables, </w:t>
      </w:r>
      <w:r w:rsidRPr="00D13792">
        <w:rPr>
          <w:rFonts w:cs="Tahoma"/>
          <w:lang w:val="es-CR"/>
        </w:rPr>
        <w:t>de</w:t>
      </w:r>
      <w:r w:rsidRPr="00D13792">
        <w:rPr>
          <w:rFonts w:eastAsia="Batang" w:cs="Times"/>
          <w:lang w:val="es-CR"/>
        </w:rPr>
        <w:t xml:space="preserve"> acuerdo con la ley interna y las normas de la Convención Americana. Adicionalmente, los resultados de los procesos correspondientes deberán ser públicamente divulgados para que la sociedad guatemalteca conozca los hechos objeto del presente caso, así como a sus responsables.</w:t>
      </w:r>
    </w:p>
    <w:p w:rsidR="006A0E1C" w:rsidRPr="00D13792" w:rsidRDefault="006A0E1C" w:rsidP="006A0E1C">
      <w:pPr>
        <w:tabs>
          <w:tab w:val="left" w:pos="-720"/>
          <w:tab w:val="left" w:pos="0"/>
          <w:tab w:val="left" w:pos="2880"/>
          <w:tab w:val="left" w:pos="3600"/>
          <w:tab w:val="left" w:pos="4320"/>
          <w:tab w:val="left" w:pos="5760"/>
          <w:tab w:val="left" w:pos="6480"/>
          <w:tab w:val="left" w:pos="7200"/>
          <w:tab w:val="left" w:pos="7920"/>
        </w:tabs>
        <w:adjustRightInd/>
        <w:spacing w:line="240" w:lineRule="auto"/>
        <w:ind w:left="-720"/>
        <w:textAlignment w:val="auto"/>
        <w:rPr>
          <w:rFonts w:eastAsia="Times"/>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Times"/>
          <w:lang w:val="es-CR"/>
        </w:rPr>
      </w:pPr>
      <w:r w:rsidRPr="00D13792">
        <w:rPr>
          <w:rFonts w:eastAsia="Batang" w:cs="Times"/>
          <w:lang w:val="es-CR"/>
        </w:rPr>
        <w:t>Tal como lo ha hecho en otros casos</w:t>
      </w:r>
      <w:r w:rsidRPr="00D13792">
        <w:rPr>
          <w:rFonts w:eastAsia="Batang" w:cs="Times"/>
          <w:vertAlign w:val="superscript"/>
          <w:lang w:val="es-CR"/>
        </w:rPr>
        <w:footnoteReference w:id="341"/>
      </w:r>
      <w:r w:rsidRPr="00D13792">
        <w:rPr>
          <w:rFonts w:eastAsia="Batang" w:cs="Times"/>
          <w:lang w:val="es-CR"/>
        </w:rPr>
        <w:t xml:space="preserve">, la Corte valora la publicación del informe de la CEH, </w:t>
      </w:r>
      <w:r w:rsidRPr="00D13792">
        <w:rPr>
          <w:rFonts w:eastAsia="Batang" w:cs="Times"/>
          <w:i/>
          <w:lang w:val="es-CR"/>
        </w:rPr>
        <w:t>Guatemala: Memoria del Silencio</w:t>
      </w:r>
      <w:r w:rsidRPr="00D13792">
        <w:rPr>
          <w:rFonts w:eastAsia="Batang" w:cs="Times"/>
          <w:lang w:val="es-CR"/>
        </w:rPr>
        <w:t xml:space="preserve">, el cual incluye una parte de los hechos ocurridos en el presente caso, como un esfuerzo que ha contribuido a la búsqueda y determinación de la verdad de un período histórico de Guatemala. Sin desconocer lo anterior, la Corte </w:t>
      </w:r>
      <w:r w:rsidRPr="00D13792">
        <w:rPr>
          <w:rFonts w:cs="Tahoma"/>
          <w:lang w:val="es-CR"/>
        </w:rPr>
        <w:t>considera</w:t>
      </w:r>
      <w:r w:rsidRPr="00D13792">
        <w:rPr>
          <w:rFonts w:eastAsia="Batang" w:cs="Times"/>
          <w:lang w:val="es-CR"/>
        </w:rPr>
        <w:t xml:space="preserve"> pertinente precisar que los elementos de “verdad histórica” contenidos en ese informe no completan o sustituyen la obligación del Estado de establecer la verdad y asegurar la determinación judicial de responsabilidades individuales o estatales a través de los procesos pertinentes. </w:t>
      </w:r>
    </w:p>
    <w:p w:rsidR="006A0E1C" w:rsidRPr="00D13792" w:rsidRDefault="006A0E1C" w:rsidP="006A0E1C">
      <w:pPr>
        <w:tabs>
          <w:tab w:val="left" w:pos="-709"/>
          <w:tab w:val="left" w:pos="0"/>
          <w:tab w:val="left" w:pos="1440"/>
          <w:tab w:val="left" w:pos="2880"/>
          <w:tab w:val="left" w:pos="3600"/>
          <w:tab w:val="left" w:pos="4320"/>
          <w:tab w:val="left" w:pos="5760"/>
          <w:tab w:val="left" w:pos="6480"/>
          <w:tab w:val="left" w:pos="7200"/>
          <w:tab w:val="left" w:pos="7920"/>
        </w:tabs>
        <w:autoSpaceDE w:val="0"/>
        <w:autoSpaceDN w:val="0"/>
        <w:spacing w:line="240" w:lineRule="auto"/>
        <w:ind w:left="-720" w:right="-138"/>
        <w:textAlignment w:val="auto"/>
        <w:rPr>
          <w:rFonts w:eastAsia="Batang" w:cs="Times"/>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Times"/>
          <w:lang w:val="es-CR"/>
        </w:rPr>
      </w:pPr>
      <w:r w:rsidRPr="00D13792">
        <w:rPr>
          <w:rFonts w:eastAsia="Batang" w:cs="Times"/>
          <w:lang w:val="es-CR"/>
        </w:rPr>
        <w:t xml:space="preserve">La investigación de los hechos es un deber jurídico propio del Estado, por lo que cada acto procesal que lleve a cabo debe reflejar el compromiso asumido por Guatemala a fin de erradicar la impunidad de los hechos, obligación de garantía que se desprende del artículo 1.1 de la Convención Americana. </w:t>
      </w:r>
      <w:r w:rsidRPr="00D13792">
        <w:rPr>
          <w:rFonts w:eastAsia="Batang" w:cs="Helvetica"/>
          <w:lang w:val="es-CR"/>
        </w:rPr>
        <w:t xml:space="preserve">Para cumplir con dicha </w:t>
      </w:r>
      <w:r w:rsidRPr="00D13792">
        <w:rPr>
          <w:rFonts w:eastAsia="Batang" w:cs="Times"/>
          <w:lang w:val="es-CR"/>
        </w:rPr>
        <w:t>obligación, el Estado tiene que combatir ésta por todos los medios legales disponibles, ya que la impunidad “propicia la repetición crónica de las violaciones de derechos humanos y la total indefensión de las víctimas y sus familiares”</w:t>
      </w:r>
      <w:r w:rsidRPr="00D13792">
        <w:rPr>
          <w:rFonts w:eastAsia="Batang" w:cs="Times"/>
          <w:vertAlign w:val="superscript"/>
          <w:lang w:val="es-CR"/>
        </w:rPr>
        <w:footnoteReference w:id="342"/>
      </w:r>
      <w:r w:rsidRPr="00D13792">
        <w:rPr>
          <w:rFonts w:eastAsia="Batang" w:cs="Times"/>
          <w:lang w:val="es-CR"/>
        </w:rPr>
        <w:t xml:space="preserve">. Asimismo, el Estado tiene que </w:t>
      </w:r>
      <w:r w:rsidRPr="00D13792">
        <w:rPr>
          <w:rFonts w:eastAsia="Batang" w:cs="Verdana"/>
          <w:lang w:val="es-CR"/>
        </w:rPr>
        <w:t>“organizar todo el aparato gubernamental y, en general, todas las estructuras a través de las cuales se manifiesta el ejercicio del poder público, de manera tal que sean capaces de asegurar jurídicamente el libre y pleno ejercicio de los derechos humanos”</w:t>
      </w:r>
      <w:r w:rsidRPr="00D13792">
        <w:rPr>
          <w:rFonts w:eastAsia="Batang" w:cs="Verdana"/>
          <w:vertAlign w:val="superscript"/>
          <w:lang w:val="es-CR"/>
        </w:rPr>
        <w:footnoteReference w:id="343"/>
      </w:r>
      <w:r w:rsidRPr="00D13792">
        <w:rPr>
          <w:rFonts w:eastAsia="Batang" w:cs="Verdana"/>
          <w:lang w:val="es-CR"/>
        </w:rPr>
        <w:t>.</w:t>
      </w:r>
    </w:p>
    <w:p w:rsidR="006A0E1C" w:rsidRPr="00D13792" w:rsidRDefault="006A0E1C" w:rsidP="006A0E1C">
      <w:pPr>
        <w:widowControl/>
        <w:adjustRightInd/>
        <w:spacing w:line="240" w:lineRule="auto"/>
        <w:ind w:left="720"/>
        <w:contextualSpacing/>
        <w:jc w:val="left"/>
        <w:textAlignment w:val="auto"/>
        <w:rPr>
          <w:rFonts w:eastAsia="Calibri"/>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Times"/>
          <w:sz w:val="22"/>
          <w:lang w:val="es-CR"/>
        </w:rPr>
      </w:pPr>
      <w:r w:rsidRPr="00D13792">
        <w:rPr>
          <w:rFonts w:eastAsia="Batang" w:cs="Times"/>
          <w:lang w:val="es-CR"/>
        </w:rPr>
        <w:t xml:space="preserve">Asimismo, cuando un </w:t>
      </w:r>
      <w:r w:rsidRPr="00D13792">
        <w:rPr>
          <w:rFonts w:eastAsia="Batang" w:cs="Times"/>
          <w:bCs/>
          <w:lang w:val="es-CR"/>
        </w:rPr>
        <w:t>Estado es parte de tratados internacionales como la Convención Americana sobre Derechos Humanos</w:t>
      </w:r>
      <w:r w:rsidRPr="00D13792">
        <w:rPr>
          <w:rFonts w:eastAsia="Batang" w:cs="Times"/>
          <w:lang w:val="es-CR"/>
        </w:rPr>
        <w:t>, la Convención Interamericana para Prevenir y Sancionar la Tortura, la Convención Interamericana sobre Desaparición Forzada de Personas,</w:t>
      </w:r>
      <w:r w:rsidRPr="00D13792">
        <w:rPr>
          <w:rFonts w:eastAsia="Batang"/>
          <w:lang w:val="es-CR"/>
        </w:rPr>
        <w:t xml:space="preserve"> y la Convención Interamericana para Prevenir, Sancionar y Erradicar la Violencia contra la Mujer,</w:t>
      </w:r>
      <w:r w:rsidRPr="00D13792">
        <w:rPr>
          <w:rFonts w:eastAsia="Batang" w:cs="Times"/>
          <w:lang w:val="es-CR"/>
        </w:rPr>
        <w:t xml:space="preserve"> dichos tratados obligan a </w:t>
      </w:r>
      <w:r w:rsidRPr="00D13792">
        <w:rPr>
          <w:rFonts w:eastAsia="Batang" w:cs="Times"/>
          <w:bCs/>
          <w:lang w:val="es-CR"/>
        </w:rPr>
        <w:t xml:space="preserve">todos sus órganos, incluido el poder judicial, cuyos miembros </w:t>
      </w:r>
      <w:r w:rsidRPr="00D13792">
        <w:rPr>
          <w:rFonts w:eastAsia="Batang" w:cs="Times"/>
          <w:lang w:val="es-CR"/>
        </w:rPr>
        <w:t xml:space="preserve">deben velar por que los efectos de las disposiciones de dichos tratados no se vean mermados por la aplicación de normas o interpretaciones contrarias a su objeto y fin. Los jueces y órganos vinculados a la administración de justicia en todos los niveles están en la obligación de ejercer </w:t>
      </w:r>
      <w:r w:rsidRPr="00D13792">
        <w:rPr>
          <w:rFonts w:eastAsia="Batang" w:cs="Times"/>
          <w:i/>
          <w:lang w:val="es-CR"/>
        </w:rPr>
        <w:t>ex officio</w:t>
      </w:r>
      <w:r w:rsidRPr="00D13792">
        <w:rPr>
          <w:rFonts w:eastAsia="Batang" w:cs="Times"/>
          <w:lang w:val="es-CR"/>
        </w:rPr>
        <w:t xml:space="preserve"> un “control de convencionalidad” entre las normas internas y los tratados de derechos humanos de los cuales es Parte el Estado, evidentemente en el marco de sus respectivas competencias y de las regulaciones procesales correspondientes. En esta tarea, los jueces y órganos vinculados a la administración de justicia, como el ministerio público, deben tener en </w:t>
      </w:r>
      <w:r w:rsidRPr="00D13792">
        <w:rPr>
          <w:rFonts w:eastAsia="Batang" w:cs="Times"/>
          <w:lang w:val="es-CR"/>
        </w:rPr>
        <w:lastRenderedPageBreak/>
        <w:t>cuenta no solamente la Convención Americana y demás instrumentos interamericanos, sino también la interpretación que de estos ha hecho la Corte Interamericana</w:t>
      </w:r>
      <w:r w:rsidRPr="00D13792">
        <w:rPr>
          <w:rFonts w:eastAsia="Batang" w:cs="Times"/>
          <w:vertAlign w:val="superscript"/>
          <w:lang w:val="es-CR"/>
        </w:rPr>
        <w:footnoteReference w:id="344"/>
      </w:r>
      <w:r w:rsidRPr="00D13792">
        <w:rPr>
          <w:rFonts w:eastAsia="Batang" w:cs="Times"/>
          <w:lang w:val="es-CR"/>
        </w:rPr>
        <w:t xml:space="preserve">. </w:t>
      </w:r>
    </w:p>
    <w:p w:rsidR="006A0E1C" w:rsidRPr="00D13792" w:rsidRDefault="006A0E1C" w:rsidP="006A0E1C">
      <w:pPr>
        <w:tabs>
          <w:tab w:val="left" w:pos="-720"/>
          <w:tab w:val="left" w:pos="0"/>
          <w:tab w:val="left" w:pos="2880"/>
          <w:tab w:val="left" w:pos="3600"/>
          <w:tab w:val="left" w:pos="4320"/>
          <w:tab w:val="left" w:pos="5760"/>
          <w:tab w:val="left" w:pos="6480"/>
          <w:tab w:val="left" w:pos="7200"/>
          <w:tab w:val="left" w:pos="7920"/>
        </w:tabs>
        <w:adjustRightInd/>
        <w:spacing w:line="240" w:lineRule="auto"/>
        <w:textAlignment w:val="auto"/>
        <w:rPr>
          <w:rFonts w:eastAsia="Batang" w:cs="Times"/>
          <w:sz w:val="20"/>
          <w:szCs w:val="20"/>
          <w:u w:val="single"/>
          <w:lang w:eastAsia="en-US"/>
        </w:rPr>
      </w:pPr>
    </w:p>
    <w:p w:rsidR="006A0E1C" w:rsidRPr="00D13792" w:rsidRDefault="006A0E1C" w:rsidP="006A0E1C">
      <w:pPr>
        <w:tabs>
          <w:tab w:val="left" w:pos="720"/>
          <w:tab w:val="left" w:pos="2880"/>
          <w:tab w:val="left" w:pos="3600"/>
          <w:tab w:val="left" w:pos="4320"/>
          <w:tab w:val="left" w:pos="5760"/>
          <w:tab w:val="left" w:pos="6480"/>
          <w:tab w:val="left" w:pos="7200"/>
          <w:tab w:val="left" w:pos="7920"/>
        </w:tabs>
        <w:adjustRightInd/>
        <w:spacing w:line="240" w:lineRule="auto"/>
        <w:textAlignment w:val="auto"/>
        <w:rPr>
          <w:rFonts w:eastAsia="MS Mincho" w:cs="Times"/>
          <w:b/>
          <w:sz w:val="20"/>
          <w:szCs w:val="20"/>
          <w:lang w:eastAsia="en-US"/>
        </w:rPr>
      </w:pPr>
      <w:r w:rsidRPr="00D13792">
        <w:rPr>
          <w:rFonts w:eastAsia="MS Mincho" w:cs="Times"/>
          <w:b/>
          <w:i/>
          <w:sz w:val="20"/>
          <w:szCs w:val="20"/>
          <w:lang w:eastAsia="en-US"/>
        </w:rPr>
        <w:t xml:space="preserve">C.2. </w:t>
      </w:r>
      <w:r w:rsidRPr="00D13792">
        <w:rPr>
          <w:rFonts w:eastAsia="Batang" w:cs="Times"/>
          <w:b/>
          <w:i/>
          <w:sz w:val="20"/>
          <w:lang w:eastAsia="en-US"/>
        </w:rPr>
        <w:t>Determinación del paradero</w:t>
      </w:r>
      <w:r w:rsidRPr="00D13792">
        <w:rPr>
          <w:rFonts w:eastAsia="MS Mincho"/>
          <w:b/>
          <w:i/>
          <w:sz w:val="20"/>
          <w:szCs w:val="20"/>
        </w:rPr>
        <w:t xml:space="preserve"> de las víctimas desaparecidas, así como</w:t>
      </w:r>
      <w:r w:rsidRPr="00D13792">
        <w:rPr>
          <w:rFonts w:eastAsia="Batang" w:cs="Times"/>
          <w:b/>
          <w:i/>
          <w:sz w:val="20"/>
          <w:lang w:eastAsia="en-US"/>
        </w:rPr>
        <w:t xml:space="preserve"> </w:t>
      </w:r>
      <w:r w:rsidRPr="00D13792">
        <w:rPr>
          <w:rFonts w:eastAsia="Batang" w:cs="Verdana-Italic"/>
          <w:b/>
          <w:i/>
          <w:iCs/>
          <w:sz w:val="20"/>
          <w:lang w:eastAsia="en-US" w:bidi="en-US"/>
        </w:rPr>
        <w:t xml:space="preserve">recuperación </w:t>
      </w:r>
      <w:r w:rsidRPr="00D13792">
        <w:rPr>
          <w:rFonts w:eastAsia="Batang" w:cs="Times"/>
          <w:b/>
          <w:i/>
          <w:sz w:val="20"/>
          <w:lang w:eastAsia="en-US"/>
        </w:rPr>
        <w:t xml:space="preserve">e identificación </w:t>
      </w:r>
      <w:r w:rsidRPr="00D13792">
        <w:rPr>
          <w:rFonts w:eastAsia="MS Mincho"/>
          <w:b/>
          <w:i/>
          <w:sz w:val="20"/>
          <w:szCs w:val="20"/>
        </w:rPr>
        <w:t xml:space="preserve">de los restos </w:t>
      </w:r>
      <w:r w:rsidRPr="00D13792">
        <w:rPr>
          <w:rFonts w:eastAsia="Batang" w:cs="Times"/>
          <w:b/>
          <w:i/>
          <w:sz w:val="20"/>
          <w:lang w:eastAsia="en-US"/>
        </w:rPr>
        <w:t>de las víctimas desaparecidas</w:t>
      </w:r>
      <w:r w:rsidRPr="00D13792">
        <w:rPr>
          <w:rFonts w:eastAsia="MS Mincho" w:cs="Times"/>
          <w:b/>
          <w:i/>
          <w:sz w:val="20"/>
          <w:szCs w:val="20"/>
          <w:lang w:eastAsia="en-US"/>
        </w:rPr>
        <w:t xml:space="preserve"> </w:t>
      </w:r>
      <w:r w:rsidRPr="00D13792">
        <w:rPr>
          <w:rFonts w:eastAsia="MS Mincho"/>
          <w:b/>
          <w:i/>
          <w:sz w:val="20"/>
          <w:szCs w:val="20"/>
        </w:rPr>
        <w:t>y de las personas</w:t>
      </w:r>
      <w:r w:rsidRPr="00D13792">
        <w:rPr>
          <w:rFonts w:eastAsia="MS Mincho" w:cs="Times"/>
          <w:b/>
          <w:i/>
          <w:sz w:val="20"/>
          <w:szCs w:val="20"/>
          <w:lang w:eastAsia="en-US"/>
        </w:rPr>
        <w:t xml:space="preserve"> inhumadas en fosas clandestinas </w:t>
      </w:r>
    </w:p>
    <w:p w:rsidR="006A0E1C" w:rsidRPr="00D13792" w:rsidRDefault="006A0E1C" w:rsidP="006A0E1C">
      <w:pPr>
        <w:tabs>
          <w:tab w:val="left" w:pos="720"/>
          <w:tab w:val="left" w:pos="2160"/>
          <w:tab w:val="left" w:pos="2880"/>
          <w:tab w:val="left" w:pos="3600"/>
          <w:tab w:val="left" w:pos="4320"/>
          <w:tab w:val="left" w:pos="5760"/>
          <w:tab w:val="left" w:pos="6480"/>
          <w:tab w:val="left" w:pos="7200"/>
          <w:tab w:val="left" w:pos="7920"/>
        </w:tabs>
        <w:adjustRightInd/>
        <w:spacing w:line="240" w:lineRule="auto"/>
        <w:textAlignment w:val="auto"/>
        <w:rPr>
          <w:rFonts w:eastAsia="MS Mincho"/>
          <w:i/>
          <w:sz w:val="18"/>
          <w:szCs w:val="20"/>
          <w:lang w:eastAsia="en-US"/>
        </w:rPr>
      </w:pPr>
    </w:p>
    <w:p w:rsidR="006A0E1C" w:rsidRPr="00D13792" w:rsidRDefault="006A0E1C" w:rsidP="006A0E1C">
      <w:pPr>
        <w:pStyle w:val="Prrafodelista2"/>
        <w:numPr>
          <w:ilvl w:val="0"/>
          <w:numId w:val="23"/>
        </w:numPr>
        <w:tabs>
          <w:tab w:val="left" w:pos="720"/>
        </w:tabs>
        <w:ind w:right="-90"/>
        <w:jc w:val="both"/>
        <w:rPr>
          <w:rFonts w:cs="Times"/>
          <w:lang w:val="es-CR"/>
        </w:rPr>
      </w:pPr>
      <w:bookmarkStart w:id="252" w:name="_Toc302669944"/>
      <w:bookmarkStart w:id="253" w:name="_Toc300622806"/>
      <w:bookmarkStart w:id="254" w:name="_Toc297286425"/>
      <w:bookmarkStart w:id="255" w:name="_Toc293493453"/>
      <w:r w:rsidRPr="00D13792">
        <w:rPr>
          <w:rFonts w:cs="Times"/>
          <w:lang w:val="es-CR"/>
        </w:rPr>
        <w:t xml:space="preserve">La </w:t>
      </w:r>
      <w:r w:rsidRPr="00D13792">
        <w:rPr>
          <w:rFonts w:cs="Times"/>
          <w:b/>
          <w:i/>
          <w:lang w:val="es-CR"/>
        </w:rPr>
        <w:t>Comisión</w:t>
      </w:r>
      <w:r w:rsidRPr="00D13792">
        <w:rPr>
          <w:rFonts w:cs="Times"/>
          <w:lang w:val="es-CR"/>
        </w:rPr>
        <w:t xml:space="preserve"> </w:t>
      </w:r>
      <w:r w:rsidRPr="00D13792">
        <w:rPr>
          <w:rFonts w:eastAsia="Batang" w:cs="Times"/>
          <w:lang w:val="es-CR"/>
        </w:rPr>
        <w:t>solicitó</w:t>
      </w:r>
      <w:r w:rsidRPr="00D13792">
        <w:rPr>
          <w:rFonts w:cs="Times"/>
          <w:lang w:val="es-CR"/>
        </w:rPr>
        <w:t xml:space="preserve"> a la Corte que ordene al Estado localizar y entregar a las familias los restos mortales de las víctimas desaparecidas, así como </w:t>
      </w:r>
      <w:r w:rsidRPr="00D13792">
        <w:rPr>
          <w:rFonts w:eastAsia="Calibri"/>
          <w:lang w:val="es-CR"/>
        </w:rPr>
        <w:t>proveer lo necesario para dar continuidad a la</w:t>
      </w:r>
      <w:r w:rsidRPr="00D13792">
        <w:rPr>
          <w:rFonts w:cs="Times"/>
          <w:lang w:val="es-CR"/>
        </w:rPr>
        <w:t xml:space="preserve"> </w:t>
      </w:r>
      <w:r w:rsidRPr="00D13792">
        <w:rPr>
          <w:rFonts w:eastAsia="Calibri"/>
          <w:lang w:val="es-CR"/>
        </w:rPr>
        <w:t>identificación y devolución de los restos mortales de las víctimas ejecutadas</w:t>
      </w:r>
      <w:r w:rsidRPr="00D13792">
        <w:rPr>
          <w:rFonts w:cs="Times"/>
          <w:lang w:val="es-CR"/>
        </w:rPr>
        <w:t>.</w:t>
      </w:r>
      <w:r w:rsidRPr="00D13792">
        <w:rPr>
          <w:b/>
          <w:lang w:val="es-CR"/>
        </w:rPr>
        <w:t xml:space="preserve"> </w:t>
      </w:r>
      <w:r w:rsidRPr="00D13792">
        <w:rPr>
          <w:rFonts w:cs="Times"/>
          <w:lang w:val="es-CR"/>
        </w:rPr>
        <w:t xml:space="preserve">Los </w:t>
      </w:r>
      <w:r w:rsidRPr="00D13792">
        <w:rPr>
          <w:rFonts w:cs="Times"/>
          <w:b/>
          <w:i/>
          <w:lang w:val="es-CR"/>
        </w:rPr>
        <w:t xml:space="preserve">representantes </w:t>
      </w:r>
      <w:r w:rsidRPr="00D13792">
        <w:rPr>
          <w:rFonts w:cs="Times"/>
          <w:lang w:val="es-CR"/>
        </w:rPr>
        <w:t>no se refirieron a este punto en su escrito de solicitudes y argumentos</w:t>
      </w:r>
      <w:r w:rsidRPr="00D13792">
        <w:rPr>
          <w:rFonts w:cs="Times"/>
          <w:vertAlign w:val="superscript"/>
          <w:lang w:val="es-CR"/>
        </w:rPr>
        <w:footnoteReference w:id="345"/>
      </w:r>
      <w:r w:rsidRPr="00D13792">
        <w:rPr>
          <w:rFonts w:cs="Times"/>
          <w:lang w:val="es-CR"/>
        </w:rPr>
        <w:t>.</w:t>
      </w:r>
    </w:p>
    <w:p w:rsidR="006A0E1C" w:rsidRPr="00D13792" w:rsidRDefault="006A0E1C" w:rsidP="006A0E1C">
      <w:pPr>
        <w:tabs>
          <w:tab w:val="left" w:pos="-720"/>
          <w:tab w:val="left" w:pos="0"/>
          <w:tab w:val="left" w:pos="2880"/>
          <w:tab w:val="left" w:pos="3600"/>
          <w:tab w:val="left" w:pos="4320"/>
          <w:tab w:val="left" w:pos="5760"/>
          <w:tab w:val="left" w:pos="6480"/>
          <w:tab w:val="left" w:pos="7200"/>
          <w:tab w:val="left" w:pos="7920"/>
        </w:tabs>
        <w:adjustRightInd/>
        <w:spacing w:line="240" w:lineRule="auto"/>
        <w:ind w:left="-720"/>
        <w:textAlignment w:val="auto"/>
        <w:rPr>
          <w:rFonts w:eastAsia="MS Mincho"/>
          <w:sz w:val="20"/>
          <w:szCs w:val="20"/>
          <w:lang w:eastAsia="en-US"/>
        </w:rPr>
      </w:pPr>
    </w:p>
    <w:p w:rsidR="006A0E1C" w:rsidRPr="00D13792" w:rsidRDefault="006A0E1C" w:rsidP="006A0E1C">
      <w:pPr>
        <w:pStyle w:val="Prrafodelista2"/>
        <w:numPr>
          <w:ilvl w:val="0"/>
          <w:numId w:val="23"/>
        </w:numPr>
        <w:tabs>
          <w:tab w:val="left" w:pos="720"/>
        </w:tabs>
        <w:ind w:right="-90"/>
        <w:jc w:val="both"/>
        <w:rPr>
          <w:rFonts w:cs="Arial"/>
          <w:b/>
          <w:lang w:val="es-CR"/>
        </w:rPr>
      </w:pPr>
      <w:r w:rsidRPr="00D13792">
        <w:rPr>
          <w:lang w:val="es-CR"/>
        </w:rPr>
        <w:t xml:space="preserve">El </w:t>
      </w:r>
      <w:r w:rsidRPr="00D13792">
        <w:rPr>
          <w:b/>
          <w:i/>
          <w:lang w:val="es-CR"/>
        </w:rPr>
        <w:t>Estado</w:t>
      </w:r>
      <w:r w:rsidRPr="00D13792">
        <w:rPr>
          <w:lang w:val="es-CR"/>
        </w:rPr>
        <w:t xml:space="preserve"> sostuvo que el 19 de julio de 2007 inició su funcionamiento </w:t>
      </w:r>
      <w:r w:rsidRPr="00D13792">
        <w:rPr>
          <w:rFonts w:eastAsia="Calibri"/>
          <w:lang w:val="es-CR"/>
        </w:rPr>
        <w:t xml:space="preserve">el Instituto Nacional de Ciencias Forenses de </w:t>
      </w:r>
      <w:r w:rsidRPr="00D13792">
        <w:rPr>
          <w:rFonts w:eastAsia="Batang" w:cs="Times"/>
          <w:lang w:val="es-CR"/>
        </w:rPr>
        <w:t>Guatemala</w:t>
      </w:r>
      <w:r w:rsidRPr="00D13792">
        <w:rPr>
          <w:rFonts w:eastAsia="Calibri"/>
          <w:lang w:val="es-CR"/>
        </w:rPr>
        <w:t xml:space="preserve"> (INACIF), una </w:t>
      </w:r>
      <w:r w:rsidRPr="00D13792">
        <w:rPr>
          <w:lang w:val="es-CR"/>
        </w:rPr>
        <w:t>institución</w:t>
      </w:r>
      <w:r w:rsidRPr="00D13792">
        <w:rPr>
          <w:rFonts w:eastAsia="Calibri"/>
          <w:lang w:val="es-CR"/>
        </w:rPr>
        <w:t xml:space="preserve"> auxiliar de la administración de justicia cuyo fin principal es la prestación del servicio de investigación </w:t>
      </w:r>
      <w:r w:rsidRPr="00D13792">
        <w:rPr>
          <w:rFonts w:cs="Times"/>
          <w:lang w:val="es-CR"/>
        </w:rPr>
        <w:t>científica</w:t>
      </w:r>
      <w:r w:rsidRPr="00D13792">
        <w:rPr>
          <w:rFonts w:eastAsia="Calibri"/>
          <w:lang w:val="es-CR"/>
        </w:rPr>
        <w:t xml:space="preserve"> de forma independiente y la emisión de dictámenes técnicos científicos que doten a la función jurisdiccional, con medios de prueba válidos y fehacientes en los procesos judiciales. Señaló que el 11 de diciembre de 2012 se suscribió un Convenio de Colaboración entre el INACIF y la Fundación de Antropología Forense de </w:t>
      </w:r>
      <w:r w:rsidRPr="00D13792">
        <w:rPr>
          <w:rFonts w:cs="Tahoma"/>
          <w:lang w:val="es-CR"/>
        </w:rPr>
        <w:t>Guatemala</w:t>
      </w:r>
      <w:r w:rsidRPr="00D13792">
        <w:rPr>
          <w:rFonts w:eastAsia="Calibri"/>
          <w:lang w:val="es-CR"/>
        </w:rPr>
        <w:t xml:space="preserve"> (FAFG) por un plazo de cinco años</w:t>
      </w:r>
      <w:r w:rsidRPr="00D13792">
        <w:rPr>
          <w:rFonts w:eastAsia="Calibri" w:cs="Times"/>
          <w:vertAlign w:val="superscript"/>
          <w:lang w:val="es-CR"/>
        </w:rPr>
        <w:footnoteReference w:id="346"/>
      </w:r>
      <w:r w:rsidRPr="00D13792">
        <w:rPr>
          <w:rFonts w:eastAsia="Calibri"/>
          <w:lang w:val="es-CR"/>
        </w:rPr>
        <w:t>. Por otra parte, destacó que la iniciativa de ley 3590, “</w:t>
      </w:r>
      <w:r w:rsidRPr="00D13792">
        <w:rPr>
          <w:rFonts w:eastAsia="Calibri"/>
          <w:iCs/>
          <w:lang w:val="es-CR"/>
        </w:rPr>
        <w:t>Ley de la Comisión de</w:t>
      </w:r>
      <w:r w:rsidRPr="00D13792">
        <w:rPr>
          <w:rFonts w:eastAsia="Calibri"/>
          <w:lang w:val="es-CR"/>
        </w:rPr>
        <w:t xml:space="preserve"> </w:t>
      </w:r>
      <w:r w:rsidRPr="00D13792">
        <w:rPr>
          <w:rFonts w:eastAsia="Calibri"/>
          <w:iCs/>
          <w:lang w:val="es-CR"/>
        </w:rPr>
        <w:t>Búsqueda de Personas Víctimas de la Desaparición Forzada y otras Formas de</w:t>
      </w:r>
      <w:r w:rsidRPr="00D13792">
        <w:rPr>
          <w:rFonts w:eastAsia="Calibri"/>
          <w:lang w:val="es-CR"/>
        </w:rPr>
        <w:t xml:space="preserve"> </w:t>
      </w:r>
      <w:r w:rsidRPr="00D13792">
        <w:rPr>
          <w:rFonts w:eastAsia="Calibri"/>
          <w:iCs/>
          <w:lang w:val="es-CR"/>
        </w:rPr>
        <w:t xml:space="preserve">Desaparición”, </w:t>
      </w:r>
      <w:r w:rsidRPr="00D13792">
        <w:rPr>
          <w:rFonts w:eastAsia="Calibri"/>
          <w:lang w:val="es-CR"/>
        </w:rPr>
        <w:t xml:space="preserve">tiene como objetivo el diseño, evaluación y ejecución de planes de búsqueda de personas víctimas de desaparición, a través del estudio, documentación, sistematización, análisis, registro y seguimiento de los casos de desaparición forzada y otras formas de desaparición. Según el Estado, esta iniciativa de ley se encuentra en proceso de aprobación ante el Congreso de la República y cuenta con los dictámenes favorables de la Comisión de Finanzas y Moneda y de la Comisión de Legislación y Puntos Constitucionales de 29 de agosto de 2007 y 22 de marzo del año 2011, respectivamente. Finalmente, resaltó las dificultades que ha enfrentado “en la labor de localización, identificación y entrega de las víctimas”, en particular, en relación con los análisis de ADN. </w:t>
      </w:r>
    </w:p>
    <w:p w:rsidR="006A0E1C" w:rsidRPr="00D13792" w:rsidRDefault="006A0E1C" w:rsidP="006A0E1C">
      <w:pPr>
        <w:tabs>
          <w:tab w:val="left" w:pos="-709"/>
          <w:tab w:val="left" w:pos="0"/>
          <w:tab w:val="left" w:pos="1440"/>
          <w:tab w:val="left" w:pos="2880"/>
          <w:tab w:val="left" w:pos="3600"/>
          <w:tab w:val="left" w:pos="4320"/>
          <w:tab w:val="left" w:pos="5760"/>
          <w:tab w:val="left" w:pos="6480"/>
          <w:tab w:val="left" w:pos="7200"/>
          <w:tab w:val="left" w:pos="7920"/>
        </w:tabs>
        <w:autoSpaceDE w:val="0"/>
        <w:autoSpaceDN w:val="0"/>
        <w:spacing w:line="240" w:lineRule="auto"/>
        <w:ind w:left="-720" w:right="-138"/>
        <w:textAlignment w:val="auto"/>
        <w:rPr>
          <w:rFonts w:eastAsia="MS Mincho" w:cs="Arial"/>
          <w:b/>
          <w:sz w:val="18"/>
          <w:szCs w:val="20"/>
        </w:rPr>
      </w:pPr>
    </w:p>
    <w:p w:rsidR="006A0E1C" w:rsidRPr="00D13792" w:rsidRDefault="006A0E1C" w:rsidP="006A0E1C">
      <w:pPr>
        <w:pStyle w:val="Prrafodelista2"/>
        <w:numPr>
          <w:ilvl w:val="0"/>
          <w:numId w:val="23"/>
        </w:numPr>
        <w:tabs>
          <w:tab w:val="left" w:pos="720"/>
        </w:tabs>
        <w:ind w:right="-90"/>
        <w:jc w:val="both"/>
        <w:rPr>
          <w:rFonts w:eastAsia="Batang" w:cs="Times"/>
          <w:spacing w:val="-2"/>
          <w:lang w:val="es-CR"/>
        </w:rPr>
      </w:pPr>
      <w:r w:rsidRPr="00D13792">
        <w:rPr>
          <w:rFonts w:eastAsia="Batang" w:cs="Verdana"/>
          <w:lang w:val="es-CR"/>
        </w:rPr>
        <w:t xml:space="preserve">La </w:t>
      </w:r>
      <w:r w:rsidRPr="00D13792">
        <w:rPr>
          <w:rFonts w:eastAsia="Batang" w:cs="Verdana"/>
          <w:b/>
          <w:i/>
          <w:lang w:val="es-CR"/>
        </w:rPr>
        <w:t>Corte</w:t>
      </w:r>
      <w:r w:rsidRPr="00D13792">
        <w:rPr>
          <w:rFonts w:eastAsia="Batang" w:cs="Verdana"/>
          <w:lang w:val="es-CR"/>
        </w:rPr>
        <w:t xml:space="preserve"> considera que es</w:t>
      </w:r>
      <w:r w:rsidRPr="00D13792">
        <w:rPr>
          <w:rFonts w:eastAsia="Batang" w:cs="Verdana"/>
          <w:spacing w:val="-2"/>
          <w:lang w:val="es-CR"/>
        </w:rPr>
        <w:t xml:space="preserve"> una expectativa justa de los </w:t>
      </w:r>
      <w:r w:rsidRPr="00D13792">
        <w:rPr>
          <w:rFonts w:eastAsia="Batang" w:cs="Cambria"/>
          <w:spacing w:val="-2"/>
          <w:lang w:val="es-CR"/>
        </w:rPr>
        <w:t>familiares</w:t>
      </w:r>
      <w:r w:rsidRPr="00D13792">
        <w:rPr>
          <w:rFonts w:eastAsia="Batang" w:cs="Verdana"/>
          <w:spacing w:val="-2"/>
          <w:lang w:val="es-CR"/>
        </w:rPr>
        <w:t xml:space="preserve"> de las víctimas de las desapariciones forzadas que se </w:t>
      </w:r>
      <w:r w:rsidRPr="00D13792">
        <w:rPr>
          <w:rFonts w:eastAsia="Batang" w:cs="Times"/>
          <w:lang w:val="es-CR"/>
        </w:rPr>
        <w:t>identifique</w:t>
      </w:r>
      <w:r w:rsidRPr="00D13792">
        <w:rPr>
          <w:rFonts w:eastAsia="Batang" w:cs="Verdana"/>
          <w:spacing w:val="-2"/>
          <w:lang w:val="es-CR"/>
        </w:rPr>
        <w:t xml:space="preserve"> el paradero de estas o </w:t>
      </w:r>
      <w:r w:rsidRPr="00D13792">
        <w:rPr>
          <w:rFonts w:eastAsia="Batang" w:cs="Times"/>
          <w:spacing w:val="-2"/>
          <w:lang w:val="es-CR"/>
        </w:rPr>
        <w:t>se hallen sus restos de modo que se determine con certeza su identidad,</w:t>
      </w:r>
      <w:r w:rsidRPr="00D13792">
        <w:rPr>
          <w:rFonts w:eastAsia="Batang" w:cs="Verdana"/>
          <w:spacing w:val="-2"/>
          <w:lang w:val="es-CR"/>
        </w:rPr>
        <w:t xml:space="preserve"> lo que constituye una medida de reparación y, por lo tanto, genera el deber correlativo para el Estado de satisfacerla</w:t>
      </w:r>
      <w:r w:rsidRPr="00D13792">
        <w:rPr>
          <w:rFonts w:eastAsia="Batang" w:cs="Verdana"/>
          <w:spacing w:val="-2"/>
          <w:vertAlign w:val="superscript"/>
          <w:lang w:val="es-CR"/>
        </w:rPr>
        <w:footnoteReference w:id="347"/>
      </w:r>
      <w:r w:rsidRPr="00D13792">
        <w:rPr>
          <w:rFonts w:eastAsia="Batang" w:cs="Verdana"/>
          <w:spacing w:val="-2"/>
          <w:lang w:val="es-CR"/>
        </w:rPr>
        <w:t xml:space="preserve">. A su vez, esto permite a los familiares aliviar la </w:t>
      </w:r>
      <w:r w:rsidRPr="00D13792">
        <w:rPr>
          <w:rFonts w:cs="Tahoma"/>
          <w:lang w:val="es-CR"/>
        </w:rPr>
        <w:t>angustia</w:t>
      </w:r>
      <w:r w:rsidRPr="00D13792">
        <w:rPr>
          <w:rFonts w:eastAsia="Batang" w:cs="Verdana"/>
          <w:spacing w:val="-2"/>
          <w:lang w:val="es-CR"/>
        </w:rPr>
        <w:t xml:space="preserve"> y sufrimiento causados por dicha incertidumbre</w:t>
      </w:r>
      <w:r w:rsidRPr="00D13792">
        <w:rPr>
          <w:rFonts w:eastAsia="Batang" w:cs="Verdana"/>
          <w:spacing w:val="-2"/>
          <w:vertAlign w:val="superscript"/>
          <w:lang w:val="es-CR"/>
        </w:rPr>
        <w:footnoteReference w:id="348"/>
      </w:r>
      <w:r w:rsidRPr="00D13792">
        <w:rPr>
          <w:rFonts w:eastAsia="Batang" w:cs="Verdana"/>
          <w:spacing w:val="-2"/>
          <w:lang w:val="es-CR"/>
        </w:rPr>
        <w:t xml:space="preserve">. Es igualmente una expectativa justa de los </w:t>
      </w:r>
      <w:r w:rsidRPr="00D13792">
        <w:rPr>
          <w:rFonts w:eastAsia="Batang" w:cs="Cambria"/>
          <w:spacing w:val="-2"/>
          <w:lang w:val="es-CR"/>
        </w:rPr>
        <w:t>familiares</w:t>
      </w:r>
      <w:r w:rsidRPr="00D13792">
        <w:rPr>
          <w:rFonts w:eastAsia="Batang" w:cs="Verdana"/>
          <w:spacing w:val="-2"/>
          <w:lang w:val="es-CR"/>
        </w:rPr>
        <w:t xml:space="preserve"> la </w:t>
      </w:r>
      <w:r w:rsidRPr="00D13792">
        <w:rPr>
          <w:rFonts w:eastAsia="Batang" w:cs="Verdana-Italic"/>
          <w:iCs/>
          <w:lang w:val="es-CR"/>
        </w:rPr>
        <w:t xml:space="preserve">recuperación </w:t>
      </w:r>
      <w:r w:rsidRPr="00D13792">
        <w:rPr>
          <w:rFonts w:eastAsia="Batang" w:cs="Times"/>
          <w:lang w:val="es-CR"/>
        </w:rPr>
        <w:t xml:space="preserve">e identificación </w:t>
      </w:r>
      <w:r w:rsidRPr="00D13792">
        <w:rPr>
          <w:lang w:val="es-CR"/>
        </w:rPr>
        <w:t xml:space="preserve">de los restos </w:t>
      </w:r>
      <w:r w:rsidRPr="00D13792">
        <w:rPr>
          <w:rFonts w:eastAsia="Batang" w:cs="Times"/>
          <w:lang w:val="es-CR"/>
        </w:rPr>
        <w:t xml:space="preserve">de las </w:t>
      </w:r>
      <w:r w:rsidRPr="00D13792">
        <w:rPr>
          <w:lang w:val="es-CR"/>
        </w:rPr>
        <w:t>personas que fallecieron y que fueron</w:t>
      </w:r>
      <w:r w:rsidRPr="00D13792">
        <w:rPr>
          <w:rFonts w:cs="Times"/>
          <w:lang w:val="es-CR"/>
        </w:rPr>
        <w:t xml:space="preserve"> inhumadas en fosas clandestinas </w:t>
      </w:r>
      <w:r w:rsidRPr="00D13792">
        <w:rPr>
          <w:lang w:val="es-CR"/>
        </w:rPr>
        <w:t>a raíz de los hechos del caso</w:t>
      </w:r>
      <w:r w:rsidRPr="00D13792">
        <w:rPr>
          <w:rFonts w:eastAsia="Batang" w:cs="Verdana"/>
          <w:spacing w:val="-2"/>
          <w:lang w:val="es-CR"/>
        </w:rPr>
        <w:t xml:space="preserve">. Recibir el cuerpo de una persona desaparecida forzadamente o ejecutada es de suma importancia para sus familiares, ya que les permite sepultarlos de acuerdo a sus creencias, así como cerrar el proceso de duelo. Adicionalmente, el Tribunal considera que los restos son una </w:t>
      </w:r>
      <w:r w:rsidRPr="00D13792">
        <w:rPr>
          <w:rFonts w:eastAsia="Batang" w:cs="Verdana"/>
          <w:spacing w:val="-2"/>
          <w:lang w:val="es-CR"/>
        </w:rPr>
        <w:lastRenderedPageBreak/>
        <w:t>prueba de lo sucedido y, junto al lugar en el cual sean encontrados, pueden proporcionar información valiosa sobre los autores de las violaciones o la institución a la que pertenecían</w:t>
      </w:r>
      <w:r w:rsidRPr="00D13792">
        <w:rPr>
          <w:rFonts w:eastAsia="Batang" w:cs="Times"/>
          <w:spacing w:val="-2"/>
          <w:vertAlign w:val="superscript"/>
          <w:lang w:val="es-CR"/>
        </w:rPr>
        <w:footnoteReference w:id="349"/>
      </w:r>
      <w:r w:rsidRPr="00D13792">
        <w:rPr>
          <w:rFonts w:eastAsia="Batang" w:cs="Verdana"/>
          <w:spacing w:val="-2"/>
          <w:lang w:val="es-CR"/>
        </w:rPr>
        <w:t>.</w:t>
      </w:r>
    </w:p>
    <w:p w:rsidR="006A0E1C" w:rsidRPr="00D13792" w:rsidRDefault="006A0E1C" w:rsidP="006A0E1C">
      <w:pPr>
        <w:tabs>
          <w:tab w:val="left" w:pos="-709"/>
          <w:tab w:val="left" w:pos="0"/>
          <w:tab w:val="left" w:pos="720"/>
          <w:tab w:val="left" w:pos="1440"/>
          <w:tab w:val="left" w:pos="2880"/>
          <w:tab w:val="left" w:pos="3600"/>
          <w:tab w:val="left" w:pos="4320"/>
          <w:tab w:val="left" w:pos="5760"/>
          <w:tab w:val="left" w:pos="6480"/>
          <w:tab w:val="left" w:pos="7200"/>
          <w:tab w:val="left" w:pos="7920"/>
        </w:tabs>
        <w:autoSpaceDE w:val="0"/>
        <w:autoSpaceDN w:val="0"/>
        <w:spacing w:line="240" w:lineRule="auto"/>
        <w:ind w:right="-138"/>
        <w:textAlignment w:val="auto"/>
        <w:rPr>
          <w:rFonts w:eastAsia="Batang" w:cs="Times"/>
          <w:spacing w:val="-2"/>
          <w:sz w:val="20"/>
          <w:szCs w:val="20"/>
          <w:lang w:eastAsia="en-US"/>
        </w:rPr>
      </w:pPr>
    </w:p>
    <w:p w:rsidR="006A0E1C" w:rsidRPr="00D13792" w:rsidRDefault="006A0E1C" w:rsidP="006A0E1C">
      <w:pPr>
        <w:pStyle w:val="Prrafodelista2"/>
        <w:numPr>
          <w:ilvl w:val="0"/>
          <w:numId w:val="23"/>
        </w:numPr>
        <w:tabs>
          <w:tab w:val="left" w:pos="720"/>
        </w:tabs>
        <w:ind w:right="-90"/>
        <w:jc w:val="both"/>
        <w:rPr>
          <w:lang w:val="es-CR"/>
        </w:rPr>
      </w:pPr>
      <w:r w:rsidRPr="00D13792">
        <w:rPr>
          <w:lang w:val="es-CR"/>
        </w:rPr>
        <w:t xml:space="preserve">La Corte valora la </w:t>
      </w:r>
      <w:r w:rsidRPr="00D13792">
        <w:rPr>
          <w:rFonts w:eastAsia="Batang" w:cs="Times"/>
          <w:lang w:val="es-CR"/>
        </w:rPr>
        <w:t>voluntad</w:t>
      </w:r>
      <w:r w:rsidRPr="00D13792">
        <w:rPr>
          <w:lang w:val="es-CR"/>
        </w:rPr>
        <w:t xml:space="preserve"> manifestada por el Estado de emprender las labores de búsqueda, recuperación y entrega de los restos de las personas desaparecidas o ejecutadas a sus familiares. No obstante, la Corte constató que en el </w:t>
      </w:r>
      <w:r w:rsidRPr="00D13792">
        <w:rPr>
          <w:rFonts w:cs="Tahoma"/>
          <w:lang w:val="es-CR"/>
        </w:rPr>
        <w:t>caso</w:t>
      </w:r>
      <w:r w:rsidRPr="00D13792">
        <w:rPr>
          <w:lang w:val="es-CR"/>
        </w:rPr>
        <w:t xml:space="preserve"> concreto, </w:t>
      </w:r>
      <w:r w:rsidRPr="00D13792">
        <w:rPr>
          <w:rFonts w:eastAsia="Batang" w:cs="Times"/>
          <w:lang w:val="es-CR"/>
        </w:rPr>
        <w:t xml:space="preserve">las investigaciones iniciadas no han estado encaminadas hacia la localización de todas las víctimas desaparecidas, ni han sido debida y oportunamente identificados todos los restos encontrados en las diversas exhumaciones realizadas por el impulso procesal de los familiares </w:t>
      </w:r>
      <w:r w:rsidRPr="00D13792">
        <w:rPr>
          <w:rFonts w:eastAsia="Calibri"/>
          <w:lang w:val="es-CR"/>
        </w:rPr>
        <w:t>(</w:t>
      </w:r>
      <w:r w:rsidRPr="00D13792">
        <w:rPr>
          <w:rFonts w:eastAsia="Calibri"/>
          <w:i/>
          <w:lang w:val="es-CR"/>
        </w:rPr>
        <w:t>supra</w:t>
      </w:r>
      <w:r w:rsidRPr="00D13792">
        <w:rPr>
          <w:rFonts w:eastAsia="Calibri"/>
          <w:lang w:val="es-CR"/>
        </w:rPr>
        <w:t xml:space="preserve"> párr. 263). </w:t>
      </w:r>
    </w:p>
    <w:p w:rsidR="006A0E1C" w:rsidRPr="00D13792" w:rsidRDefault="006A0E1C" w:rsidP="006A0E1C">
      <w:pPr>
        <w:tabs>
          <w:tab w:val="left" w:pos="-720"/>
          <w:tab w:val="left" w:pos="1440"/>
          <w:tab w:val="left" w:pos="2880"/>
          <w:tab w:val="left" w:pos="3600"/>
          <w:tab w:val="left" w:pos="4320"/>
          <w:tab w:val="left" w:pos="5760"/>
          <w:tab w:val="left" w:pos="6480"/>
          <w:tab w:val="left" w:pos="7200"/>
          <w:tab w:val="left" w:pos="7920"/>
        </w:tabs>
        <w:autoSpaceDE w:val="0"/>
        <w:autoSpaceDN w:val="0"/>
        <w:spacing w:line="240" w:lineRule="auto"/>
        <w:ind w:left="-720" w:right="-138"/>
        <w:textAlignment w:val="auto"/>
        <w:rPr>
          <w:rFonts w:eastAsia="MS Mincho"/>
          <w:b/>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Times"/>
          <w:spacing w:val="-2"/>
          <w:lang w:val="es-CR"/>
        </w:rPr>
      </w:pPr>
      <w:r w:rsidRPr="00D13792">
        <w:rPr>
          <w:rFonts w:eastAsia="Batang" w:cs="Times"/>
          <w:spacing w:val="-2"/>
          <w:lang w:val="es-CR"/>
        </w:rPr>
        <w:t xml:space="preserve">En consecuencia, la Corte considera que el Estado debe realizar o continuar, de manera sistemática, rigurosa y con los recursos humanos y económicos adecuados, </w:t>
      </w:r>
      <w:r w:rsidRPr="00D13792">
        <w:rPr>
          <w:rFonts w:eastAsia="Batang" w:cs="Cambria"/>
          <w:spacing w:val="-2"/>
          <w:lang w:val="es-CR"/>
        </w:rPr>
        <w:t>las</w:t>
      </w:r>
      <w:r w:rsidRPr="00D13792">
        <w:rPr>
          <w:rFonts w:eastAsia="Batang" w:cs="Times"/>
          <w:spacing w:val="-2"/>
          <w:lang w:val="es-CR"/>
        </w:rPr>
        <w:t xml:space="preserve"> acciones necesarias tanto</w:t>
      </w:r>
      <w:r w:rsidRPr="00D13792">
        <w:rPr>
          <w:rFonts w:cs="Verdana"/>
          <w:spacing w:val="-2"/>
          <w:lang w:val="es-CR"/>
        </w:rPr>
        <w:t xml:space="preserve"> para </w:t>
      </w:r>
      <w:r w:rsidRPr="00D13792">
        <w:rPr>
          <w:rFonts w:cs="Times"/>
          <w:lang w:val="es-CR"/>
        </w:rPr>
        <w:t xml:space="preserve">determinar el paradero de los miembros de la aldea de Chichupac y comunidades vecinas desaparecidos forzadamente, así como localizar, exhumar e identificar a las </w:t>
      </w:r>
      <w:r w:rsidRPr="00D13792">
        <w:rPr>
          <w:rFonts w:eastAsia="Batang" w:cs="Times"/>
          <w:spacing w:val="-2"/>
          <w:lang w:val="es-CR"/>
        </w:rPr>
        <w:t>personas</w:t>
      </w:r>
      <w:r w:rsidRPr="00D13792">
        <w:rPr>
          <w:rFonts w:cs="Times"/>
          <w:lang w:val="es-CR"/>
        </w:rPr>
        <w:t xml:space="preserve"> que </w:t>
      </w:r>
      <w:r w:rsidRPr="00D13792">
        <w:rPr>
          <w:lang w:val="es-CR"/>
        </w:rPr>
        <w:t>fallecieron y que fueron</w:t>
      </w:r>
      <w:r w:rsidRPr="00D13792">
        <w:rPr>
          <w:rFonts w:cs="Times"/>
          <w:lang w:val="es-CR"/>
        </w:rPr>
        <w:t xml:space="preserve"> inhumadas en fosas clandestinas </w:t>
      </w:r>
      <w:r w:rsidRPr="00D13792">
        <w:rPr>
          <w:lang w:val="es-CR"/>
        </w:rPr>
        <w:t>a raíz de los hechos del caso</w:t>
      </w:r>
      <w:r w:rsidRPr="00D13792">
        <w:rPr>
          <w:rFonts w:eastAsia="Batang" w:cs="Times"/>
          <w:spacing w:val="-2"/>
          <w:lang w:val="es-CR"/>
        </w:rPr>
        <w:t>. Para ello, el Estado deberá emplear todos los medios técnicos y científicos necesarios, tomando en cuenta las normas nacionales o internacionales pertinentes en la materia</w:t>
      </w:r>
      <w:r w:rsidRPr="00D13792">
        <w:rPr>
          <w:rFonts w:cs="Times"/>
          <w:spacing w:val="-2"/>
          <w:vertAlign w:val="superscript"/>
          <w:lang w:val="es-CR"/>
        </w:rPr>
        <w:footnoteReference w:id="350"/>
      </w:r>
      <w:r w:rsidRPr="00D13792">
        <w:rPr>
          <w:rFonts w:eastAsia="Batang" w:cs="Times"/>
          <w:spacing w:val="-2"/>
          <w:lang w:val="es-CR"/>
        </w:rPr>
        <w:t xml:space="preserve"> y procurar concluir con el total de las </w:t>
      </w:r>
      <w:r w:rsidRPr="00D13792">
        <w:rPr>
          <w:rFonts w:eastAsia="Batang" w:cs="Times"/>
          <w:lang w:val="es-CR"/>
        </w:rPr>
        <w:t>exhumaciones</w:t>
      </w:r>
      <w:r w:rsidRPr="00D13792">
        <w:rPr>
          <w:rFonts w:eastAsia="Batang" w:cs="Times"/>
          <w:spacing w:val="-2"/>
          <w:lang w:val="es-CR"/>
        </w:rPr>
        <w:t xml:space="preserve"> que sean necesarias en un plazo de 2 años, contados a partir de la notificación de la presente Sentencia. </w:t>
      </w:r>
    </w:p>
    <w:p w:rsidR="006A0E1C" w:rsidRPr="00D13792" w:rsidRDefault="006A0E1C" w:rsidP="006A0E1C">
      <w:pPr>
        <w:widowControl/>
        <w:tabs>
          <w:tab w:val="left" w:pos="-720"/>
        </w:tabs>
        <w:adjustRightInd/>
        <w:spacing w:line="240" w:lineRule="auto"/>
        <w:contextualSpacing/>
        <w:textAlignment w:val="auto"/>
        <w:rPr>
          <w:rFonts w:eastAsia="Calibri"/>
          <w:spacing w:val="-2"/>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Times"/>
          <w:spacing w:val="-2"/>
          <w:lang w:val="es-CR"/>
        </w:rPr>
      </w:pPr>
      <w:r w:rsidRPr="00D13792">
        <w:rPr>
          <w:rFonts w:eastAsia="Batang"/>
          <w:lang w:val="es-CR"/>
        </w:rPr>
        <w:t xml:space="preserve">En caso de identificar los restos, estos deberán ser entregados a sus familiares, previa </w:t>
      </w:r>
      <w:r w:rsidRPr="00D13792">
        <w:rPr>
          <w:rFonts w:cs="Times"/>
          <w:lang w:val="es-CR"/>
        </w:rPr>
        <w:t>comprobación</w:t>
      </w:r>
      <w:r w:rsidRPr="00D13792">
        <w:rPr>
          <w:rFonts w:eastAsia="Batang"/>
          <w:lang w:val="es-CR"/>
        </w:rPr>
        <w:t xml:space="preserve"> genética de filiación o reconocimiento por los medios adecuados e idóneos, según sea el caso, a la mayor brevedad y sin costo alguno </w:t>
      </w:r>
      <w:r w:rsidRPr="00D13792">
        <w:rPr>
          <w:lang w:val="es-CR"/>
        </w:rPr>
        <w:t>para</w:t>
      </w:r>
      <w:r w:rsidRPr="00D13792">
        <w:rPr>
          <w:rFonts w:eastAsia="Batang"/>
          <w:lang w:val="es-CR"/>
        </w:rPr>
        <w:t xml:space="preserve"> dichos familiares. Además, el Estado deberá cubrir los gastos fúnebres, en su caso, de común acuerdo con los familiares</w:t>
      </w:r>
      <w:r w:rsidRPr="00D13792">
        <w:rPr>
          <w:rFonts w:eastAsia="Calibri"/>
          <w:vertAlign w:val="superscript"/>
          <w:lang w:val="es-CR"/>
        </w:rPr>
        <w:footnoteReference w:id="351"/>
      </w:r>
      <w:r w:rsidRPr="00D13792">
        <w:rPr>
          <w:rFonts w:eastAsia="Batang"/>
          <w:lang w:val="es-CR"/>
        </w:rPr>
        <w:t>. Ahora bien, en cuanto a los problemas señalados por el Estado en realizar los análisis de ADN (</w:t>
      </w:r>
      <w:r w:rsidRPr="00D13792">
        <w:rPr>
          <w:rFonts w:eastAsia="Batang"/>
          <w:i/>
          <w:lang w:val="es-CR"/>
        </w:rPr>
        <w:t>supra</w:t>
      </w:r>
      <w:r w:rsidRPr="00D13792">
        <w:rPr>
          <w:rFonts w:eastAsia="Batang"/>
          <w:lang w:val="es-CR"/>
        </w:rPr>
        <w:t xml:space="preserve"> párr. 291), la Corte recuerda que los estándares internacionales exigen que la entrega de restos ocurra cuando la víctima esté claramente identificada, es decir, una vez que se haya conseguido una identificación positiva</w:t>
      </w:r>
      <w:r w:rsidRPr="00D13792">
        <w:rPr>
          <w:rFonts w:eastAsia="Batang"/>
          <w:vertAlign w:val="superscript"/>
          <w:lang w:val="es-CR"/>
        </w:rPr>
        <w:footnoteReference w:id="352"/>
      </w:r>
      <w:r w:rsidRPr="00D13792">
        <w:rPr>
          <w:rFonts w:eastAsia="Batang"/>
          <w:lang w:val="es-CR"/>
        </w:rPr>
        <w:t>. Sobre este punto, el Protocolo de Minnesota del año 1991 establece que “el cuerpo debe ser identificado por testigos confiables y otros métodos objetivos”</w:t>
      </w:r>
      <w:r w:rsidRPr="00D13792">
        <w:rPr>
          <w:rFonts w:eastAsia="Batang"/>
          <w:vertAlign w:val="superscript"/>
          <w:lang w:val="es-CR"/>
        </w:rPr>
        <w:footnoteReference w:id="353"/>
      </w:r>
      <w:r w:rsidRPr="00D13792">
        <w:rPr>
          <w:rFonts w:eastAsia="Batang"/>
          <w:lang w:val="es-CR"/>
        </w:rPr>
        <w:t>. La Corte reconoce que, debido a las circunstancias específicas de un caso, es posible que la identificación y entrega de restos mortales no pueda estar respaldada por al menos un método científico</w:t>
      </w:r>
      <w:r w:rsidRPr="00D13792">
        <w:rPr>
          <w:rFonts w:eastAsia="Batang"/>
          <w:vertAlign w:val="superscript"/>
          <w:lang w:val="es-CR"/>
        </w:rPr>
        <w:footnoteReference w:id="354"/>
      </w:r>
      <w:r w:rsidRPr="00D13792">
        <w:rPr>
          <w:rFonts w:eastAsia="Batang"/>
          <w:lang w:val="es-CR"/>
        </w:rPr>
        <w:t xml:space="preserve"> y la única opción práctica en dichos casos sea la identificación mediante el reconocimiento de los restos efectuado por familiares o conocidos de la persona desaparecida, así como la comparación de datos entre el perfil biológico (sexo, edad, estatura), sus características individuales (lesiones antiguas, defectos congénitos, tatuajes y rasgos dentales), sus objetos y documentos personales portados. En este sentido, el Comité </w:t>
      </w:r>
      <w:r w:rsidRPr="00D13792">
        <w:rPr>
          <w:rFonts w:eastAsia="Batang"/>
          <w:lang w:val="es-CR"/>
        </w:rPr>
        <w:lastRenderedPageBreak/>
        <w:t>Internacional de la Cruz Roja ha considerado que los métodos visuales deben utilizarse “como único medio de identificación sólo cuando los cuerpos no están descompuestos ni mutilados, y cuando se tiene una idea fundamentada de la identidad de la víctima, por ejemplo cuando hay testigos que han presenciado el asesinato y el entierro de una persona”</w:t>
      </w:r>
      <w:r w:rsidRPr="00D13792">
        <w:rPr>
          <w:rFonts w:eastAsia="Batang" w:cs="Times"/>
          <w:spacing w:val="-2"/>
          <w:vertAlign w:val="superscript"/>
          <w:lang w:val="es-CR"/>
        </w:rPr>
        <w:footnoteReference w:id="355"/>
      </w:r>
      <w:r w:rsidRPr="00D13792">
        <w:rPr>
          <w:rFonts w:eastAsia="Batang" w:cs="Times"/>
          <w:spacing w:val="-2"/>
          <w:lang w:val="es-CR"/>
        </w:rPr>
        <w:t>.</w:t>
      </w:r>
    </w:p>
    <w:p w:rsidR="006A0E1C" w:rsidRPr="00D13792" w:rsidRDefault="006A0E1C" w:rsidP="006A0E1C">
      <w:pPr>
        <w:widowControl/>
        <w:tabs>
          <w:tab w:val="left" w:pos="-720"/>
        </w:tabs>
        <w:adjustRightInd/>
        <w:spacing w:line="240" w:lineRule="auto"/>
        <w:contextualSpacing/>
        <w:textAlignment w:val="auto"/>
        <w:rPr>
          <w:rFonts w:eastAsia="Calibri"/>
          <w:spacing w:val="-2"/>
          <w:sz w:val="20"/>
          <w:szCs w:val="20"/>
          <w:lang w:eastAsia="en-US"/>
        </w:rPr>
      </w:pPr>
    </w:p>
    <w:p w:rsidR="006A0E1C" w:rsidRPr="00D13792" w:rsidRDefault="006A0E1C" w:rsidP="006A0E1C">
      <w:pPr>
        <w:widowControl/>
        <w:numPr>
          <w:ilvl w:val="0"/>
          <w:numId w:val="23"/>
        </w:numPr>
        <w:tabs>
          <w:tab w:val="left" w:pos="720"/>
        </w:tabs>
        <w:adjustRightInd/>
        <w:spacing w:line="240" w:lineRule="auto"/>
        <w:ind w:right="-90"/>
        <w:textAlignment w:val="auto"/>
        <w:rPr>
          <w:rFonts w:eastAsia="Batang" w:cs="Times"/>
          <w:spacing w:val="-2"/>
          <w:sz w:val="20"/>
          <w:szCs w:val="20"/>
          <w:lang w:eastAsia="en-US" w:bidi="en-US"/>
        </w:rPr>
      </w:pPr>
      <w:r w:rsidRPr="00D13792">
        <w:rPr>
          <w:rFonts w:eastAsia="Batang" w:cs="Times"/>
          <w:sz w:val="20"/>
          <w:szCs w:val="20"/>
          <w:lang w:eastAsia="en-US" w:bidi="en-US"/>
        </w:rPr>
        <w:t>Para hacer efectiva y viable la eventual localización, exhumación, identificación y entrega</w:t>
      </w:r>
      <w:r w:rsidRPr="00D13792">
        <w:rPr>
          <w:rFonts w:eastAsia="Batang" w:cs="Times"/>
          <w:spacing w:val="-2"/>
          <w:sz w:val="20"/>
          <w:szCs w:val="20"/>
          <w:lang w:eastAsia="en-US" w:bidi="en-US"/>
        </w:rPr>
        <w:t xml:space="preserve"> a sus familiares de los restos</w:t>
      </w:r>
      <w:r w:rsidRPr="00D13792">
        <w:rPr>
          <w:rFonts w:eastAsia="MS Mincho" w:cs="Times"/>
          <w:spacing w:val="-2"/>
          <w:sz w:val="20"/>
          <w:szCs w:val="20"/>
          <w:lang w:eastAsia="en-US" w:bidi="en-US"/>
        </w:rPr>
        <w:t xml:space="preserve">, este </w:t>
      </w:r>
      <w:r w:rsidRPr="00D13792">
        <w:rPr>
          <w:rFonts w:eastAsia="MS Mincho" w:cs="Times"/>
          <w:spacing w:val="-2"/>
          <w:sz w:val="20"/>
          <w:szCs w:val="16"/>
          <w:lang w:eastAsia="en-US" w:bidi="en-US"/>
        </w:rPr>
        <w:t>Tribunal dispone que</w:t>
      </w:r>
      <w:r w:rsidRPr="00D13792">
        <w:rPr>
          <w:rFonts w:eastAsia="Batang" w:cs="Times"/>
          <w:spacing w:val="-2"/>
          <w:sz w:val="20"/>
          <w:szCs w:val="16"/>
          <w:lang w:eastAsia="en-US" w:bidi="en-US"/>
        </w:rPr>
        <w:t xml:space="preserve"> el Estado deberá </w:t>
      </w:r>
      <w:r w:rsidRPr="00D13792">
        <w:rPr>
          <w:rFonts w:eastAsia="Batang" w:cs="Verdana-Italic"/>
          <w:iCs/>
          <w:spacing w:val="-2"/>
          <w:sz w:val="20"/>
          <w:szCs w:val="16"/>
        </w:rPr>
        <w:t>establecer una estrategia de comunicación con los familiares y acordar un marco de acción coordinada, para procurar su participación, conocimiento y presencia.</w:t>
      </w:r>
      <w:r w:rsidRPr="00D13792">
        <w:rPr>
          <w:rFonts w:eastAsia="Batang" w:cs="Verdana-Italic"/>
          <w:iCs/>
          <w:spacing w:val="-2"/>
          <w:sz w:val="32"/>
        </w:rPr>
        <w:t xml:space="preserve"> </w:t>
      </w:r>
    </w:p>
    <w:p w:rsidR="006A0E1C" w:rsidRPr="00D13792" w:rsidRDefault="006A0E1C" w:rsidP="006A0E1C">
      <w:pPr>
        <w:widowControl/>
        <w:tabs>
          <w:tab w:val="left" w:pos="-720"/>
        </w:tabs>
        <w:adjustRightInd/>
        <w:spacing w:line="240" w:lineRule="auto"/>
        <w:textAlignment w:val="auto"/>
        <w:rPr>
          <w:rFonts w:eastAsia="Batang" w:cs="Times"/>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Times"/>
          <w:lang w:val="es-CR"/>
        </w:rPr>
      </w:pPr>
      <w:r w:rsidRPr="00D13792">
        <w:rPr>
          <w:rFonts w:eastAsia="Batang" w:cs="Times"/>
          <w:lang w:val="es-CR"/>
        </w:rPr>
        <w:t>Por último, en cuanto a la creación de la referida “</w:t>
      </w:r>
      <w:r w:rsidRPr="00D13792">
        <w:rPr>
          <w:rFonts w:eastAsia="Calibri"/>
          <w:iCs/>
          <w:lang w:val="es-CR"/>
        </w:rPr>
        <w:t>Comisión de</w:t>
      </w:r>
      <w:r w:rsidRPr="00D13792">
        <w:rPr>
          <w:rFonts w:eastAsia="Calibri"/>
          <w:lang w:val="es-CR"/>
        </w:rPr>
        <w:t xml:space="preserve"> </w:t>
      </w:r>
      <w:r w:rsidRPr="00D13792">
        <w:rPr>
          <w:rFonts w:eastAsia="Calibri"/>
          <w:iCs/>
          <w:lang w:val="es-CR"/>
        </w:rPr>
        <w:t>Búsqueda de Personas Víctimas de la Desaparición Forzada y otras Formas de</w:t>
      </w:r>
      <w:r w:rsidRPr="00D13792">
        <w:rPr>
          <w:rFonts w:eastAsia="Calibri"/>
          <w:lang w:val="es-CR"/>
        </w:rPr>
        <w:t xml:space="preserve"> </w:t>
      </w:r>
      <w:r w:rsidRPr="00D13792">
        <w:rPr>
          <w:rFonts w:eastAsia="Calibri"/>
          <w:iCs/>
          <w:lang w:val="es-CR"/>
        </w:rPr>
        <w:t>Desaparición</w:t>
      </w:r>
      <w:r w:rsidRPr="00D13792">
        <w:rPr>
          <w:rFonts w:eastAsia="Batang" w:cs="Times"/>
          <w:lang w:val="es-CR"/>
        </w:rPr>
        <w:t>”, la Corte toma nota y valora los avances realizados por el Estado al respecto. En este sentido, el Tribunal insta al Estado a continuar adoptando todas las medidas legislativas, administrativas o de otra índole que sean necesarias para que se concrete la creación de la referida Comisión. La Corte considera que una entidad de este tipo coadyuvará favorablemente en la búsqueda e identificación de las víctimas del presente caso y, en general, de las víctimas de desaparición forzada en Guatemala</w:t>
      </w:r>
      <w:r w:rsidRPr="00D13792">
        <w:rPr>
          <w:rFonts w:eastAsia="Batang" w:cs="Times"/>
          <w:vertAlign w:val="superscript"/>
          <w:lang w:val="es-CR"/>
        </w:rPr>
        <w:footnoteReference w:id="356"/>
      </w:r>
      <w:r w:rsidRPr="00D13792">
        <w:rPr>
          <w:rFonts w:eastAsia="Batang" w:cs="Times"/>
          <w:lang w:val="es-CR"/>
        </w:rPr>
        <w:t xml:space="preserve">. </w:t>
      </w:r>
    </w:p>
    <w:p w:rsidR="006A0E1C" w:rsidRPr="00D13792" w:rsidRDefault="006A0E1C" w:rsidP="006A0E1C">
      <w:pPr>
        <w:tabs>
          <w:tab w:val="left" w:pos="-720"/>
          <w:tab w:val="left" w:pos="1440"/>
          <w:tab w:val="left" w:pos="2880"/>
          <w:tab w:val="left" w:pos="3600"/>
          <w:tab w:val="left" w:pos="4320"/>
          <w:tab w:val="left" w:pos="5760"/>
          <w:tab w:val="left" w:pos="6480"/>
          <w:tab w:val="left" w:pos="7200"/>
          <w:tab w:val="left" w:pos="7920"/>
        </w:tabs>
        <w:autoSpaceDE w:val="0"/>
        <w:autoSpaceDN w:val="0"/>
        <w:spacing w:line="240" w:lineRule="auto"/>
        <w:ind w:left="-720" w:right="-138"/>
        <w:textAlignment w:val="auto"/>
        <w:rPr>
          <w:rFonts w:eastAsia="MS Mincho"/>
          <w:b/>
          <w:sz w:val="20"/>
          <w:szCs w:val="20"/>
          <w:lang w:eastAsia="en-US"/>
        </w:rPr>
      </w:pPr>
    </w:p>
    <w:p w:rsidR="006A0E1C" w:rsidRPr="00D13792" w:rsidRDefault="006A0E1C" w:rsidP="006A0E1C">
      <w:pPr>
        <w:pStyle w:val="Heading2"/>
        <w:rPr>
          <w:rFonts w:eastAsia="MS Mincho"/>
          <w:lang w:val="es-CR"/>
        </w:rPr>
      </w:pPr>
      <w:bookmarkStart w:id="256" w:name="_Toc337405899"/>
      <w:bookmarkStart w:id="257" w:name="_Toc469670066"/>
      <w:r w:rsidRPr="00D13792">
        <w:rPr>
          <w:rFonts w:eastAsia="MS Mincho"/>
          <w:lang w:val="es-CR"/>
        </w:rPr>
        <w:t>D. Medidas de restitución, rehabilitación, satisfacción y garantías de no repetición</w:t>
      </w:r>
      <w:bookmarkEnd w:id="252"/>
      <w:bookmarkEnd w:id="253"/>
      <w:bookmarkEnd w:id="254"/>
      <w:bookmarkEnd w:id="255"/>
      <w:bookmarkEnd w:id="256"/>
      <w:bookmarkEnd w:id="257"/>
    </w:p>
    <w:p w:rsidR="006A0E1C" w:rsidRPr="00D13792" w:rsidRDefault="006A0E1C" w:rsidP="006A0E1C">
      <w:pPr>
        <w:widowControl/>
        <w:tabs>
          <w:tab w:val="left" w:pos="720"/>
        </w:tabs>
        <w:autoSpaceDE w:val="0"/>
        <w:autoSpaceDN w:val="0"/>
        <w:spacing w:line="240" w:lineRule="auto"/>
        <w:textAlignment w:val="auto"/>
        <w:rPr>
          <w:rFonts w:eastAsia="Batang" w:cs="Arial"/>
          <w:sz w:val="20"/>
          <w:szCs w:val="20"/>
          <w:lang w:eastAsia="en-US"/>
        </w:rPr>
      </w:pPr>
    </w:p>
    <w:p w:rsidR="006A0E1C" w:rsidRPr="00D13792" w:rsidRDefault="006A0E1C" w:rsidP="006A0E1C">
      <w:pPr>
        <w:pStyle w:val="Heading2"/>
        <w:rPr>
          <w:rFonts w:eastAsia="MS Mincho"/>
          <w:lang w:val="es-CR"/>
        </w:rPr>
      </w:pPr>
      <w:bookmarkStart w:id="258" w:name="_Toc469670067"/>
      <w:bookmarkStart w:id="259" w:name="_Toc302669946"/>
      <w:r w:rsidRPr="00D13792">
        <w:rPr>
          <w:rFonts w:eastAsia="Batang" w:cs="Times"/>
          <w:lang w:val="es-CR" w:eastAsia="en-US"/>
        </w:rPr>
        <w:t>D.1. Medida de restitución</w:t>
      </w:r>
      <w:r w:rsidRPr="00D13792">
        <w:rPr>
          <w:rFonts w:eastAsia="MS Mincho"/>
          <w:lang w:val="es-CR"/>
        </w:rPr>
        <w:t>: Garantizar el retorno a su lugar de origen de las víctimas que aún se encuentran desplazadas</w:t>
      </w:r>
      <w:bookmarkEnd w:id="258"/>
      <w:r w:rsidRPr="00D13792">
        <w:rPr>
          <w:rFonts w:eastAsia="MS Mincho"/>
          <w:strike/>
          <w:lang w:val="es-CR"/>
        </w:rPr>
        <w:t xml:space="preserve"> </w:t>
      </w:r>
    </w:p>
    <w:p w:rsidR="006A0E1C" w:rsidRPr="00D13792" w:rsidRDefault="006A0E1C" w:rsidP="006A0E1C">
      <w:pPr>
        <w:pStyle w:val="Prrafodelista2"/>
        <w:tabs>
          <w:tab w:val="left" w:pos="720"/>
        </w:tabs>
        <w:ind w:left="0" w:right="-90"/>
        <w:jc w:val="both"/>
        <w:rPr>
          <w:rFonts w:eastAsia="Batang" w:cs="Times"/>
          <w:lang w:val="es-CR" w:eastAsia="es-CR" w:bidi="ar-SA"/>
        </w:rPr>
      </w:pPr>
    </w:p>
    <w:p w:rsidR="006A0E1C" w:rsidRPr="00D13792" w:rsidRDefault="006A0E1C" w:rsidP="006A0E1C">
      <w:pPr>
        <w:pStyle w:val="Prrafodelista2"/>
        <w:numPr>
          <w:ilvl w:val="0"/>
          <w:numId w:val="23"/>
        </w:numPr>
        <w:tabs>
          <w:tab w:val="left" w:pos="720"/>
          <w:tab w:val="num" w:pos="14735"/>
        </w:tabs>
        <w:ind w:right="-90"/>
        <w:jc w:val="both"/>
        <w:rPr>
          <w:rFonts w:eastAsia="Calibri"/>
          <w:lang w:val="es-CR"/>
        </w:rPr>
      </w:pPr>
      <w:r w:rsidRPr="00D13792">
        <w:rPr>
          <w:rFonts w:eastAsia="Calibri"/>
          <w:lang w:val="es-CR"/>
        </w:rPr>
        <w:t xml:space="preserve">La </w:t>
      </w:r>
      <w:r w:rsidRPr="00D13792">
        <w:rPr>
          <w:rFonts w:eastAsia="Calibri"/>
          <w:b/>
          <w:i/>
          <w:lang w:val="es-CR"/>
        </w:rPr>
        <w:t>Comisión</w:t>
      </w:r>
      <w:r w:rsidRPr="00D13792">
        <w:rPr>
          <w:rFonts w:eastAsia="Calibri"/>
          <w:lang w:val="es-CR"/>
        </w:rPr>
        <w:t xml:space="preserve"> no precisó una medida específica al respecto, sino que de manera general, solicitó reparar adecuadamente en el ámbito individual y colectivo las violaciones de derechos humanos, y precisó que las reparaciones de carácter colectivo deberán ser plenamente consensuadas con los sobrevivientes de la aldea Chichupac y comunidades vecinas con la finalidad de reestablecer su vida comunitaria como parte del pueblo indígena maya achí, y el particular vínculo con sus tierras. Por su parte, los </w:t>
      </w:r>
      <w:r w:rsidRPr="00D13792">
        <w:rPr>
          <w:rFonts w:eastAsia="Calibri"/>
          <w:b/>
          <w:i/>
          <w:lang w:val="es-CR"/>
        </w:rPr>
        <w:t>representantes</w:t>
      </w:r>
      <w:r w:rsidRPr="00D13792">
        <w:rPr>
          <w:rFonts w:eastAsia="Calibri"/>
          <w:lang w:val="es-CR"/>
        </w:rPr>
        <w:t xml:space="preserve"> </w:t>
      </w:r>
      <w:r w:rsidRPr="00D13792">
        <w:rPr>
          <w:rFonts w:cs="Arial"/>
          <w:lang w:val="es-CR"/>
        </w:rPr>
        <w:t xml:space="preserve">no solicitaron reparaciones tendientes a garantizar </w:t>
      </w:r>
      <w:r w:rsidRPr="00D13792">
        <w:rPr>
          <w:rFonts w:eastAsia="Calibri"/>
          <w:lang w:val="es-CR"/>
        </w:rPr>
        <w:t>condiciones</w:t>
      </w:r>
      <w:r w:rsidRPr="00D13792">
        <w:rPr>
          <w:rFonts w:cs="Arial"/>
          <w:lang w:val="es-CR"/>
        </w:rPr>
        <w:t xml:space="preserve"> dignas de retorno a </w:t>
      </w:r>
      <w:r w:rsidRPr="00D13792">
        <w:rPr>
          <w:rFonts w:eastAsia="Batang" w:cs="Times"/>
          <w:lang w:val="es-CR"/>
        </w:rPr>
        <w:t>los</w:t>
      </w:r>
      <w:r w:rsidRPr="00D13792">
        <w:rPr>
          <w:rFonts w:cs="Arial"/>
          <w:lang w:val="es-CR"/>
        </w:rPr>
        <w:t xml:space="preserve"> </w:t>
      </w:r>
      <w:r w:rsidRPr="00D13792">
        <w:rPr>
          <w:rFonts w:eastAsia="Batang" w:cs="Times"/>
          <w:lang w:val="es-CR"/>
        </w:rPr>
        <w:t>lugares</w:t>
      </w:r>
      <w:r w:rsidRPr="00D13792">
        <w:rPr>
          <w:rFonts w:cs="Arial"/>
          <w:lang w:val="es-CR"/>
        </w:rPr>
        <w:t xml:space="preserve"> de </w:t>
      </w:r>
      <w:r w:rsidRPr="00D13792">
        <w:rPr>
          <w:rFonts w:eastAsia="Batang" w:cs="Times"/>
          <w:lang w:val="es-CR"/>
        </w:rPr>
        <w:t>origen</w:t>
      </w:r>
      <w:r w:rsidRPr="00D13792">
        <w:rPr>
          <w:rFonts w:cs="Arial"/>
          <w:lang w:val="es-CR"/>
        </w:rPr>
        <w:t xml:space="preserve"> de las víctimas en el momento procesal oportuno</w:t>
      </w:r>
      <w:r w:rsidRPr="00D13792">
        <w:rPr>
          <w:rFonts w:cs="Arial"/>
          <w:vertAlign w:val="superscript"/>
          <w:lang w:val="es-CR"/>
        </w:rPr>
        <w:footnoteReference w:id="357"/>
      </w:r>
      <w:r w:rsidRPr="00D13792">
        <w:rPr>
          <w:rFonts w:cs="Arial"/>
          <w:lang w:val="es-CR"/>
        </w:rPr>
        <w:t>.</w:t>
      </w:r>
      <w:r w:rsidRPr="00D13792">
        <w:rPr>
          <w:rFonts w:eastAsia="Times New Roman" w:cs="Arial"/>
          <w:lang w:val="es-CR" w:eastAsia="es-CR" w:bidi="ar-SA"/>
        </w:rPr>
        <w:t xml:space="preserve"> Teniendo esto presente</w:t>
      </w:r>
      <w:r w:rsidRPr="00D13792">
        <w:rPr>
          <w:rFonts w:eastAsia="Batang" w:cs="Times"/>
          <w:lang w:val="es-CR" w:eastAsia="es-CR" w:bidi="ar-SA"/>
        </w:rPr>
        <w:t xml:space="preserve">, </w:t>
      </w:r>
      <w:r w:rsidRPr="00D13792">
        <w:rPr>
          <w:rFonts w:eastAsia="Times New Roman"/>
          <w:lang w:val="es-CR" w:eastAsia="es-CR" w:bidi="ar-SA"/>
        </w:rPr>
        <w:t xml:space="preserve">la </w:t>
      </w:r>
      <w:r w:rsidRPr="00D13792">
        <w:rPr>
          <w:rFonts w:eastAsia="Times New Roman"/>
          <w:b/>
          <w:i/>
          <w:lang w:val="es-CR" w:eastAsia="es-CR" w:bidi="ar-SA"/>
        </w:rPr>
        <w:t>Corte</w:t>
      </w:r>
      <w:r w:rsidRPr="00D13792">
        <w:rPr>
          <w:rFonts w:eastAsia="Times New Roman"/>
          <w:lang w:val="es-CR" w:eastAsia="es-CR" w:bidi="ar-SA"/>
        </w:rPr>
        <w:t xml:space="preserve"> requiere al Estado implementar las medidas necesarias para garantizar, en coordinación con los representantes del presente caso, las condiciones adecuadas para</w:t>
      </w:r>
      <w:r w:rsidRPr="00D13792">
        <w:rPr>
          <w:rFonts w:eastAsia="Times New Roman" w:cs="Arial"/>
          <w:lang w:val="es-CR" w:eastAsia="es-CR" w:bidi="ar-SA"/>
        </w:rPr>
        <w:t xml:space="preserve"> que</w:t>
      </w:r>
      <w:r w:rsidRPr="00D13792">
        <w:rPr>
          <w:rFonts w:eastAsia="Times New Roman"/>
          <w:lang w:val="es-CR" w:eastAsia="es-CR" w:bidi="ar-SA"/>
        </w:rPr>
        <w:t xml:space="preserve"> las personas que permanecen desplazadas puedan retornar a sus comunidades de origen, si así lo desean. En particular, en lo que se refiere a las condiciones de seguridad en dichas aldeas. En razón de las particularidades de este caso, l</w:t>
      </w:r>
      <w:r w:rsidRPr="00D13792">
        <w:rPr>
          <w:rFonts w:eastAsia="Batang" w:cs="Times"/>
          <w:lang w:val="es-CR" w:eastAsia="es-CR" w:bidi="ar-SA"/>
        </w:rPr>
        <w:t>a Corte no supervisará el cumplimiento de este punto.</w:t>
      </w:r>
    </w:p>
    <w:p w:rsidR="006A0E1C" w:rsidRPr="00D13792" w:rsidRDefault="006A0E1C" w:rsidP="006A0E1C">
      <w:pPr>
        <w:pStyle w:val="Heading2"/>
        <w:ind w:left="720"/>
        <w:rPr>
          <w:rFonts w:eastAsia="Batang" w:cs="Times"/>
          <w:lang w:val="es-CR" w:eastAsia="es-CR"/>
        </w:rPr>
      </w:pPr>
    </w:p>
    <w:p w:rsidR="006A0E1C" w:rsidRPr="00D13792" w:rsidRDefault="006A0E1C" w:rsidP="006A0E1C">
      <w:pPr>
        <w:pStyle w:val="Heading2"/>
        <w:tabs>
          <w:tab w:val="clear" w:pos="720"/>
        </w:tabs>
        <w:rPr>
          <w:rFonts w:eastAsia="Batang"/>
          <w:lang w:val="es-CR"/>
        </w:rPr>
      </w:pPr>
      <w:bookmarkStart w:id="260" w:name="_Toc460938903"/>
      <w:bookmarkStart w:id="261" w:name="_Toc469670068"/>
      <w:r w:rsidRPr="00D13792">
        <w:rPr>
          <w:rFonts w:eastAsia="Calibri"/>
          <w:lang w:val="es-CR"/>
        </w:rPr>
        <w:t>D.2. Medidas de rehabilitación:</w:t>
      </w:r>
      <w:r w:rsidRPr="00D13792">
        <w:rPr>
          <w:rFonts w:eastAsia="Calibri"/>
          <w:i w:val="0"/>
          <w:lang w:val="es-CR"/>
        </w:rPr>
        <w:t xml:space="preserve"> </w:t>
      </w:r>
      <w:r w:rsidRPr="00D13792">
        <w:rPr>
          <w:rFonts w:eastAsia="Batang"/>
          <w:lang w:val="es-CR"/>
        </w:rPr>
        <w:t>Atención médica, psicológica o psiquiátrica a las víctimas</w:t>
      </w:r>
      <w:bookmarkEnd w:id="260"/>
      <w:bookmarkEnd w:id="261"/>
    </w:p>
    <w:p w:rsidR="006A0E1C" w:rsidRPr="00D13792" w:rsidRDefault="006A0E1C" w:rsidP="006A0E1C">
      <w:pPr>
        <w:widowControl/>
        <w:tabs>
          <w:tab w:val="left" w:pos="720"/>
        </w:tabs>
        <w:adjustRightInd/>
        <w:spacing w:line="240" w:lineRule="auto"/>
        <w:textAlignment w:val="auto"/>
        <w:rPr>
          <w:rFonts w:eastAsia="Batang" w:cs="Times"/>
          <w:sz w:val="16"/>
          <w:szCs w:val="20"/>
          <w:lang w:eastAsia="en-US"/>
        </w:rPr>
      </w:pPr>
    </w:p>
    <w:p w:rsidR="006A0E1C" w:rsidRPr="00D13792" w:rsidRDefault="006A0E1C" w:rsidP="006A0E1C">
      <w:pPr>
        <w:pStyle w:val="Prrafodelista2"/>
        <w:numPr>
          <w:ilvl w:val="0"/>
          <w:numId w:val="23"/>
        </w:numPr>
        <w:tabs>
          <w:tab w:val="left" w:pos="720"/>
        </w:tabs>
        <w:ind w:right="-90"/>
        <w:jc w:val="both"/>
        <w:rPr>
          <w:rFonts w:cs="Arial"/>
          <w:lang w:val="es-CR"/>
        </w:rPr>
      </w:pPr>
      <w:r w:rsidRPr="00D13792">
        <w:rPr>
          <w:rFonts w:cs="Times"/>
          <w:lang w:val="es-CR"/>
        </w:rPr>
        <w:lastRenderedPageBreak/>
        <w:t xml:space="preserve">La </w:t>
      </w:r>
      <w:r w:rsidRPr="00D13792">
        <w:rPr>
          <w:rFonts w:cs="Times"/>
          <w:b/>
          <w:i/>
          <w:lang w:val="es-CR"/>
        </w:rPr>
        <w:t>Comisión</w:t>
      </w:r>
      <w:r w:rsidRPr="00D13792">
        <w:rPr>
          <w:rFonts w:cs="Times"/>
          <w:lang w:val="es-CR"/>
        </w:rPr>
        <w:t xml:space="preserve"> solicitó a la Corte que ordene al Estado “</w:t>
      </w:r>
      <w:r w:rsidRPr="00D13792">
        <w:rPr>
          <w:rFonts w:cs="Arial"/>
          <w:lang w:val="es-CR"/>
        </w:rPr>
        <w:t xml:space="preserve">la implementación de un programa de </w:t>
      </w:r>
      <w:r w:rsidRPr="00D13792">
        <w:rPr>
          <w:rFonts w:eastAsia="Batang" w:cs="Times"/>
          <w:lang w:val="es-CR"/>
        </w:rPr>
        <w:t>atención</w:t>
      </w:r>
      <w:r w:rsidRPr="00D13792">
        <w:rPr>
          <w:rFonts w:cs="Arial"/>
          <w:lang w:val="es-CR"/>
        </w:rPr>
        <w:t xml:space="preserve"> psicosocial culturalmente adecuado a los sobrevivientes y familiares de las víctimas ejecutadas y desaparecidas”. </w:t>
      </w:r>
      <w:r w:rsidRPr="00D13792">
        <w:rPr>
          <w:rFonts w:cs="Times"/>
          <w:lang w:val="es-CR"/>
        </w:rPr>
        <w:t xml:space="preserve"> </w:t>
      </w:r>
    </w:p>
    <w:p w:rsidR="006A0E1C" w:rsidRPr="00D13792" w:rsidRDefault="006A0E1C" w:rsidP="006A0E1C">
      <w:pPr>
        <w:tabs>
          <w:tab w:val="left" w:pos="-720"/>
          <w:tab w:val="left" w:pos="0"/>
          <w:tab w:val="left" w:pos="2880"/>
          <w:tab w:val="left" w:pos="3600"/>
          <w:tab w:val="left" w:pos="4320"/>
          <w:tab w:val="left" w:pos="5760"/>
          <w:tab w:val="left" w:pos="6480"/>
          <w:tab w:val="left" w:pos="7200"/>
          <w:tab w:val="left" w:pos="7920"/>
        </w:tabs>
        <w:adjustRightInd/>
        <w:spacing w:line="240" w:lineRule="auto"/>
        <w:ind w:left="-720"/>
        <w:textAlignment w:val="auto"/>
        <w:rPr>
          <w:rFonts w:eastAsia="MS Mincho" w:cs="Arial"/>
          <w:sz w:val="20"/>
          <w:szCs w:val="20"/>
          <w:lang w:eastAsia="en-US"/>
        </w:rPr>
      </w:pPr>
    </w:p>
    <w:p w:rsidR="006A0E1C" w:rsidRPr="00D13792" w:rsidRDefault="006A0E1C" w:rsidP="006A0E1C">
      <w:pPr>
        <w:pStyle w:val="Prrafodelista2"/>
        <w:numPr>
          <w:ilvl w:val="0"/>
          <w:numId w:val="23"/>
        </w:numPr>
        <w:tabs>
          <w:tab w:val="left" w:pos="720"/>
        </w:tabs>
        <w:ind w:right="-90"/>
        <w:jc w:val="both"/>
        <w:rPr>
          <w:rFonts w:cs="Arial"/>
          <w:lang w:val="es-CR"/>
        </w:rPr>
      </w:pPr>
      <w:r w:rsidRPr="00D13792">
        <w:rPr>
          <w:rFonts w:cs="Arial"/>
          <w:lang w:val="es-CR"/>
        </w:rPr>
        <w:t xml:space="preserve">Los </w:t>
      </w:r>
      <w:r w:rsidRPr="00D13792">
        <w:rPr>
          <w:rFonts w:cs="Arial"/>
          <w:b/>
          <w:i/>
          <w:lang w:val="es-CR"/>
        </w:rPr>
        <w:t>representantes</w:t>
      </w:r>
      <w:r w:rsidRPr="00D13792">
        <w:rPr>
          <w:rFonts w:cs="Arial"/>
          <w:lang w:val="es-CR"/>
        </w:rPr>
        <w:t xml:space="preserve"> </w:t>
      </w:r>
      <w:r w:rsidRPr="00D13792">
        <w:rPr>
          <w:rFonts w:eastAsia="Calibri" w:cs="Calibri"/>
          <w:lang w:val="es-CR"/>
        </w:rPr>
        <w:t xml:space="preserve">solicitaron “la determinación de medidas que permitan la rehabilitación de las víctimas de las violaciones denunciadas en el presente caso y de sus familiares”. En sus alegatos finales solicitaron, en particular, </w:t>
      </w:r>
      <w:r w:rsidRPr="00D13792">
        <w:rPr>
          <w:rFonts w:eastAsia="Batang" w:cs="Times"/>
          <w:lang w:val="es-CR"/>
        </w:rPr>
        <w:t>tratamiento médico, psicológico, y odontológico gratuito.</w:t>
      </w:r>
      <w:r w:rsidRPr="00D13792">
        <w:rPr>
          <w:rFonts w:eastAsia="Calibri" w:cs="Calibri"/>
          <w:lang w:val="es-CR"/>
        </w:rPr>
        <w:t xml:space="preserve"> Así, solicitaron que la Corte ordene al </w:t>
      </w:r>
      <w:r w:rsidRPr="00D13792">
        <w:rPr>
          <w:rFonts w:eastAsia="Batang" w:cs="Times"/>
          <w:lang w:val="es-CR"/>
        </w:rPr>
        <w:t>Estado</w:t>
      </w:r>
      <w:r w:rsidRPr="00D13792">
        <w:rPr>
          <w:rFonts w:eastAsia="Calibri" w:cs="Calibri"/>
          <w:lang w:val="es-CR"/>
        </w:rPr>
        <w:t xml:space="preserve"> brindar </w:t>
      </w:r>
      <w:r w:rsidRPr="00D13792">
        <w:rPr>
          <w:rFonts w:eastAsia="Calibri" w:cs="Verdana"/>
          <w:lang w:val="es-CR"/>
        </w:rPr>
        <w:t xml:space="preserve">“de forma </w:t>
      </w:r>
      <w:r w:rsidRPr="00D13792">
        <w:rPr>
          <w:rFonts w:eastAsia="Batang" w:cs="Times"/>
          <w:spacing w:val="-2"/>
          <w:lang w:val="es-CR"/>
        </w:rPr>
        <w:t>inmediata</w:t>
      </w:r>
      <w:r w:rsidRPr="00D13792">
        <w:rPr>
          <w:rFonts w:eastAsia="Calibri" w:cs="Verdana"/>
          <w:lang w:val="es-CR"/>
        </w:rPr>
        <w:t>, a las víctimas que lo deseen y previo consentimiento informado, tratamiento médico y psicológico por el tiempo que sea necesario, incluida la provisión gratuita de medicamentos. El tratamiento médico y psicológico debe brindarse por personal e instituciones estatales [, y…] dicha atención médica y psicológica podrá llevarse a cabo a través de los sanadores de la comunidad maya [a]chí, de acuerdo a sus propias prácticas de salud y mediante el uso de medicinas tradicionales”.</w:t>
      </w:r>
    </w:p>
    <w:p w:rsidR="006A0E1C" w:rsidRPr="00D13792" w:rsidRDefault="006A0E1C" w:rsidP="006A0E1C">
      <w:pPr>
        <w:widowControl/>
        <w:adjustRightInd/>
        <w:spacing w:line="240" w:lineRule="auto"/>
        <w:ind w:left="720"/>
        <w:contextualSpacing/>
        <w:textAlignment w:val="auto"/>
        <w:rPr>
          <w:rFonts w:eastAsia="MS Mincho" w:cs="Arial"/>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Verdana"/>
          <w:lang w:val="es-CR"/>
        </w:rPr>
      </w:pPr>
      <w:r w:rsidRPr="00D13792">
        <w:rPr>
          <w:rFonts w:eastAsia="Batang" w:cs="Times"/>
          <w:lang w:val="es-CR"/>
        </w:rPr>
        <w:t xml:space="preserve">El </w:t>
      </w:r>
      <w:r w:rsidRPr="00D13792">
        <w:rPr>
          <w:rFonts w:eastAsia="Batang" w:cs="Times"/>
          <w:b/>
          <w:i/>
          <w:lang w:val="es-CR"/>
        </w:rPr>
        <w:t>Estado</w:t>
      </w:r>
      <w:r w:rsidRPr="00D13792">
        <w:rPr>
          <w:rFonts w:eastAsia="Batang" w:cs="Times"/>
          <w:lang w:val="es-CR"/>
        </w:rPr>
        <w:t xml:space="preserve"> informó que el </w:t>
      </w:r>
      <w:r w:rsidRPr="00D13792">
        <w:rPr>
          <w:rFonts w:eastAsia="Calibri" w:cs="Verdana"/>
          <w:lang w:val="es-CR"/>
        </w:rPr>
        <w:t>PNR</w:t>
      </w:r>
      <w:r w:rsidRPr="00D13792">
        <w:rPr>
          <w:rFonts w:eastAsia="Batang" w:cs="Times"/>
          <w:lang w:val="es-CR"/>
        </w:rPr>
        <w:t xml:space="preserve"> otorga a las víctimas sobrevivientes y a los familiares de víctimas, la medida de reparación psicosocial, </w:t>
      </w:r>
      <w:r w:rsidRPr="00D13792">
        <w:rPr>
          <w:rFonts w:eastAsia="Batang" w:cs="Times"/>
          <w:spacing w:val="-2"/>
          <w:lang w:val="es-CR"/>
        </w:rPr>
        <w:t>que</w:t>
      </w:r>
      <w:r w:rsidRPr="00D13792">
        <w:rPr>
          <w:rFonts w:eastAsia="Batang" w:cs="Times"/>
          <w:lang w:val="es-CR"/>
        </w:rPr>
        <w:t xml:space="preserve"> consiste en brindar atención profesional a las víctimas de violaciones de derechos humanos durante el enfrentamiento armado, tanto a nivel individual, como familiar y comunitario, con atención dirigida a mujeres, niños, niñas y jóvenes, y con absoluto respeto a la </w:t>
      </w:r>
      <w:r w:rsidRPr="00D13792">
        <w:rPr>
          <w:rFonts w:eastAsia="Calibri"/>
          <w:lang w:val="es-CR"/>
        </w:rPr>
        <w:t>identidad</w:t>
      </w:r>
      <w:r w:rsidRPr="00D13792">
        <w:rPr>
          <w:rFonts w:eastAsia="Batang" w:cs="Times"/>
          <w:lang w:val="es-CR"/>
        </w:rPr>
        <w:t xml:space="preserve"> étnica y cultural de cada uno. Para la implementación de estas acciones el PNR coordina acciones con el Programa Nacional de Salud Mental del Ministerio de Salud Pública y Asistencia Social. Este componente incluye capacitaciones con enfoque multicultural y comunitario dirigidas a profesionales. El Estado consideró “muy acertada la sugerencia de los representantes respecto a que la atención psicológica que se brinde a las víctimas sea con su </w:t>
      </w:r>
      <w:r w:rsidRPr="00D13792">
        <w:rPr>
          <w:rFonts w:eastAsia="Batang" w:cs="Times"/>
          <w:bCs/>
          <w:lang w:val="es-CR"/>
        </w:rPr>
        <w:t>previo consentimiento</w:t>
      </w:r>
      <w:r w:rsidRPr="00D13792">
        <w:rPr>
          <w:rFonts w:eastAsia="Batang" w:cs="Times"/>
          <w:lang w:val="es-CR"/>
        </w:rPr>
        <w:t>, esto debido a que en comunidades, como por ejemplo la aldea de Plan de Sánchez y Concúl del mismo municipio de Rabinal, las víctimas no acuden a recibir la terapia psicológica, pero no se les puede obligar a recibirla con el solo fin de dar cumplimiento a una obligación internacional. Por lo cual, el Estado está de acuerdo en que las terapias psicológicas y médicas deben ser opcionales y no obligatorias, además que se emita una lista de personas que deberán recibir estos tratamientos”.</w:t>
      </w:r>
    </w:p>
    <w:p w:rsidR="006A0E1C" w:rsidRPr="00D13792" w:rsidRDefault="006A0E1C" w:rsidP="006A0E1C">
      <w:pPr>
        <w:tabs>
          <w:tab w:val="left" w:pos="-720"/>
          <w:tab w:val="left" w:pos="0"/>
          <w:tab w:val="left" w:pos="2880"/>
          <w:tab w:val="left" w:pos="3600"/>
          <w:tab w:val="left" w:pos="4320"/>
          <w:tab w:val="left" w:pos="5760"/>
          <w:tab w:val="left" w:pos="6480"/>
          <w:tab w:val="left" w:pos="7200"/>
          <w:tab w:val="left" w:pos="7920"/>
        </w:tabs>
        <w:adjustRightInd/>
        <w:spacing w:line="240" w:lineRule="auto"/>
        <w:ind w:left="-709"/>
        <w:contextualSpacing/>
        <w:textAlignment w:val="auto"/>
        <w:rPr>
          <w:rFonts w:eastAsia="Calibri" w:cs="Verdana"/>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Verdana"/>
          <w:lang w:val="es-CR"/>
        </w:rPr>
      </w:pPr>
      <w:r w:rsidRPr="00D13792">
        <w:rPr>
          <w:rFonts w:eastAsia="Batang" w:cs="Times"/>
          <w:spacing w:val="-2"/>
          <w:lang w:val="es-CR"/>
        </w:rPr>
        <w:t xml:space="preserve">En los </w:t>
      </w:r>
      <w:r w:rsidRPr="00D13792">
        <w:rPr>
          <w:rFonts w:eastAsia="Batang"/>
          <w:spacing w:val="-2"/>
          <w:lang w:val="es-CR"/>
        </w:rPr>
        <w:t>Capítulos IX.I y IX.II</w:t>
      </w:r>
      <w:r w:rsidRPr="00D13792">
        <w:rPr>
          <w:rFonts w:eastAsia="Batang" w:cs="Arial"/>
          <w:spacing w:val="-2"/>
          <w:lang w:val="es-CR"/>
        </w:rPr>
        <w:t xml:space="preserve"> </w:t>
      </w:r>
      <w:r w:rsidRPr="00D13792">
        <w:rPr>
          <w:rFonts w:eastAsia="Batang" w:cs="Times"/>
          <w:spacing w:val="-2"/>
          <w:lang w:val="es-CR"/>
        </w:rPr>
        <w:t xml:space="preserve">de esta Sentencia, la </w:t>
      </w:r>
      <w:r w:rsidRPr="00D13792">
        <w:rPr>
          <w:rFonts w:eastAsia="Batang" w:cs="Times"/>
          <w:b/>
          <w:i/>
          <w:spacing w:val="-2"/>
          <w:lang w:val="es-CR"/>
        </w:rPr>
        <w:t>Corte</w:t>
      </w:r>
      <w:r w:rsidRPr="00D13792">
        <w:rPr>
          <w:rFonts w:eastAsia="Batang" w:cs="Times"/>
          <w:spacing w:val="-2"/>
          <w:lang w:val="es-CR"/>
        </w:rPr>
        <w:t xml:space="preserve"> concluyó que la desaparición forzada de </w:t>
      </w:r>
      <w:r w:rsidRPr="00D13792">
        <w:rPr>
          <w:rFonts w:eastAsia="Batang"/>
          <w:spacing w:val="-2"/>
          <w:lang w:val="es-CR"/>
        </w:rPr>
        <w:t>22</w:t>
      </w:r>
      <w:r w:rsidRPr="00D13792">
        <w:rPr>
          <w:rFonts w:eastAsia="Batang" w:cs="Times"/>
          <w:spacing w:val="-2"/>
          <w:lang w:val="es-CR"/>
        </w:rPr>
        <w:t xml:space="preserve"> víctima</w:t>
      </w:r>
      <w:r w:rsidRPr="00D13792">
        <w:rPr>
          <w:rFonts w:eastAsia="Batang" w:cs="Arial"/>
          <w:spacing w:val="-2"/>
          <w:lang w:val="es-CR"/>
        </w:rPr>
        <w:t>s</w:t>
      </w:r>
      <w:r w:rsidRPr="00D13792">
        <w:rPr>
          <w:rFonts w:eastAsia="Batang" w:cs="Times"/>
          <w:spacing w:val="-2"/>
          <w:lang w:val="es-CR"/>
        </w:rPr>
        <w:t xml:space="preserve"> generó en sus familiares una violación a </w:t>
      </w:r>
      <w:r w:rsidRPr="00D13792">
        <w:rPr>
          <w:rFonts w:eastAsia="Calibri" w:cs="Times"/>
          <w:spacing w:val="-2"/>
          <w:lang w:val="es-CR"/>
        </w:rPr>
        <w:t xml:space="preserve">su integridad psíquica y moral, y que </w:t>
      </w:r>
      <w:r w:rsidRPr="00D13792">
        <w:rPr>
          <w:rFonts w:eastAsia="Batang" w:cs="Times"/>
          <w:lang w:val="es-CR"/>
        </w:rPr>
        <w:t xml:space="preserve">la omisión de garantizar medidas de retorno o reasentamiento en las víctimas desplazadas tuvieron afectaciones e impactos diferenciados en sus proyectos de vida, relaciones y </w:t>
      </w:r>
      <w:r w:rsidRPr="00D13792">
        <w:rPr>
          <w:rFonts w:eastAsia="Times"/>
          <w:lang w:val="es-CR"/>
        </w:rPr>
        <w:t xml:space="preserve">estructura familiar, y </w:t>
      </w:r>
      <w:r w:rsidRPr="00D13792">
        <w:rPr>
          <w:rFonts w:eastAsia="Batang" w:cs="Times"/>
          <w:lang w:val="es-CR"/>
        </w:rPr>
        <w:t xml:space="preserve">en su identidad étnica y cultural, así como en las víctimas mujeres, niñas y niños </w:t>
      </w:r>
      <w:r w:rsidRPr="00D13792">
        <w:rPr>
          <w:rFonts w:eastAsia="Calibri" w:cs="Times"/>
          <w:spacing w:val="-2"/>
          <w:lang w:val="es-CR"/>
        </w:rPr>
        <w:t>(</w:t>
      </w:r>
      <w:r w:rsidRPr="00D13792">
        <w:rPr>
          <w:rFonts w:eastAsia="Calibri"/>
          <w:i/>
          <w:spacing w:val="-2"/>
          <w:lang w:val="es-CR"/>
        </w:rPr>
        <w:t xml:space="preserve">supra </w:t>
      </w:r>
      <w:r w:rsidRPr="00D13792">
        <w:rPr>
          <w:rFonts w:eastAsia="Calibri"/>
          <w:spacing w:val="-2"/>
          <w:lang w:val="es-CR"/>
        </w:rPr>
        <w:t>párrs. 164, 190, 197, 198 y 202).</w:t>
      </w:r>
      <w:r w:rsidRPr="00D13792" w:rsidDel="00AB04D0">
        <w:rPr>
          <w:rFonts w:eastAsia="Batang" w:cs="Verdana"/>
          <w:lang w:val="es-CR"/>
        </w:rPr>
        <w:t xml:space="preserve"> </w:t>
      </w:r>
      <w:r w:rsidRPr="00D13792">
        <w:rPr>
          <w:rFonts w:eastAsia="Batang" w:cs="Verdana"/>
          <w:lang w:val="es-CR"/>
        </w:rPr>
        <w:t>Al respecto, durante la audiencia pública el perito Luís Raúl Salvadó</w:t>
      </w:r>
      <w:r w:rsidRPr="00D13792">
        <w:rPr>
          <w:rFonts w:eastAsia="Batang" w:cs="Times"/>
          <w:lang w:val="es-CR"/>
        </w:rPr>
        <w:t xml:space="preserve"> Cardoza</w:t>
      </w:r>
      <w:r w:rsidRPr="00D13792">
        <w:rPr>
          <w:rFonts w:eastAsia="Batang" w:cs="Verdana"/>
          <w:lang w:val="es-CR"/>
        </w:rPr>
        <w:t xml:space="preserve"> señaló la importancia de la ayuda psicológica a la </w:t>
      </w:r>
      <w:r w:rsidRPr="00D13792">
        <w:rPr>
          <w:rFonts w:eastAsia="Batang" w:cs="Times"/>
          <w:spacing w:val="-2"/>
          <w:lang w:val="es-CR"/>
        </w:rPr>
        <w:t>población</w:t>
      </w:r>
      <w:r w:rsidRPr="00D13792">
        <w:rPr>
          <w:rFonts w:eastAsia="Batang" w:cs="Verdana"/>
          <w:lang w:val="es-CR"/>
        </w:rPr>
        <w:t xml:space="preserve"> desplazada, resaltando la necesidad de acciones de “psicología social”</w:t>
      </w:r>
      <w:r w:rsidRPr="00D13792">
        <w:rPr>
          <w:rFonts w:eastAsia="Batang" w:cs="Times"/>
          <w:lang w:val="es-CR"/>
        </w:rPr>
        <w:t>.</w:t>
      </w:r>
      <w:r w:rsidRPr="00D13792">
        <w:rPr>
          <w:rFonts w:eastAsia="Batang" w:cs="Times"/>
          <w:b/>
          <w:lang w:val="es-CR"/>
        </w:rPr>
        <w:t xml:space="preserve"> </w:t>
      </w:r>
      <w:r w:rsidRPr="00D13792">
        <w:rPr>
          <w:rFonts w:eastAsia="Batang" w:cs="Times"/>
          <w:lang w:val="es-CR"/>
        </w:rPr>
        <w:t>Por otra parte, si bien el Acuerdo Gubernativo 539-2013 del Presidente de la República dispone como medida de resarcimiento dentro del PRN, la medida de “Reparación Psicosocial y Rehabilitación”</w:t>
      </w:r>
      <w:r w:rsidRPr="00D13792">
        <w:rPr>
          <w:rFonts w:eastAsia="Batang" w:cs="Times"/>
          <w:vertAlign w:val="superscript"/>
          <w:lang w:val="es-CR"/>
        </w:rPr>
        <w:footnoteReference w:id="358"/>
      </w:r>
      <w:r w:rsidRPr="00D13792">
        <w:rPr>
          <w:rFonts w:eastAsia="Batang" w:cs="Times"/>
          <w:lang w:val="es-CR"/>
        </w:rPr>
        <w:t xml:space="preserve">, el Estado no ha demostrado que ha brindado tal medida a las víctimas del presente caso. Además, tal como se ha señalado, el Estado no ha controvertido que la oficina del PRN del municipio de Rabinal se cerró </w:t>
      </w:r>
      <w:r w:rsidRPr="00D13792">
        <w:rPr>
          <w:rFonts w:eastAsia="Batang"/>
          <w:lang w:val="es-CR"/>
        </w:rPr>
        <w:t>(</w:t>
      </w:r>
      <w:r w:rsidRPr="00D13792">
        <w:rPr>
          <w:rFonts w:eastAsia="Batang"/>
          <w:i/>
          <w:lang w:val="es-CR"/>
        </w:rPr>
        <w:t xml:space="preserve">supra </w:t>
      </w:r>
      <w:r w:rsidRPr="00D13792">
        <w:rPr>
          <w:rFonts w:eastAsia="Batang"/>
          <w:lang w:val="es-CR"/>
        </w:rPr>
        <w:t>párr. 280)</w:t>
      </w:r>
      <w:r w:rsidRPr="00D13792">
        <w:rPr>
          <w:rFonts w:eastAsia="Batang" w:cs="Times"/>
          <w:lang w:val="es-CR"/>
        </w:rPr>
        <w:t xml:space="preserve">.  </w:t>
      </w:r>
    </w:p>
    <w:p w:rsidR="006A0E1C" w:rsidRPr="00D13792" w:rsidRDefault="006A0E1C" w:rsidP="006A0E1C">
      <w:pPr>
        <w:widowControl/>
        <w:adjustRightInd/>
        <w:spacing w:line="240" w:lineRule="auto"/>
        <w:ind w:right="-138"/>
        <w:contextualSpacing/>
        <w:textAlignment w:val="auto"/>
        <w:rPr>
          <w:rFonts w:eastAsia="Calibri" w:cs="Verdana"/>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Times"/>
          <w:spacing w:val="-2"/>
          <w:lang w:val="es-CR"/>
        </w:rPr>
      </w:pPr>
      <w:r w:rsidRPr="00D13792">
        <w:rPr>
          <w:rFonts w:eastAsia="Batang" w:cs="Times"/>
          <w:spacing w:val="-2"/>
          <w:lang w:val="es-CR"/>
        </w:rPr>
        <w:t>Por lo tanto, l</w:t>
      </w:r>
      <w:r w:rsidRPr="00D13792">
        <w:rPr>
          <w:rFonts w:eastAsia="Batang" w:cs="Verdana-Italic"/>
          <w:spacing w:val="-2"/>
          <w:lang w:val="es-CR"/>
        </w:rPr>
        <w:t xml:space="preserve">a Corte </w:t>
      </w:r>
      <w:r w:rsidRPr="00D13792">
        <w:rPr>
          <w:rFonts w:eastAsia="Batang" w:cs="Times"/>
          <w:spacing w:val="-2"/>
          <w:lang w:val="es-CR"/>
        </w:rPr>
        <w:t>estima, como lo ha hecho en otros casos</w:t>
      </w:r>
      <w:r w:rsidRPr="00D13792">
        <w:rPr>
          <w:rFonts w:eastAsia="Batang" w:cs="Times"/>
          <w:spacing w:val="-2"/>
          <w:vertAlign w:val="superscript"/>
          <w:lang w:val="es-CR"/>
        </w:rPr>
        <w:footnoteReference w:id="359"/>
      </w:r>
      <w:r w:rsidRPr="00D13792">
        <w:rPr>
          <w:rFonts w:eastAsia="Batang" w:cs="Times"/>
          <w:spacing w:val="-2"/>
          <w:lang w:val="es-CR"/>
        </w:rPr>
        <w:t xml:space="preserve">, que es preciso disponer una medida de reparación que brinde una atención adecuada a los padecimientos psicológicos y físicos sufridos por las víctimas derivados de las violaciones establecidas en la presente Sentencia. Con el fin de contribuir a la reparación de estos daños, el Tribunal dispone la obligación a cargo del Estado de brindar </w:t>
      </w:r>
      <w:r w:rsidRPr="00D13792">
        <w:rPr>
          <w:rFonts w:eastAsia="Calibri" w:cs="Verdana"/>
          <w:lang w:val="es-CR"/>
        </w:rPr>
        <w:t>gratuitamente</w:t>
      </w:r>
      <w:r w:rsidRPr="00D13792">
        <w:rPr>
          <w:rFonts w:eastAsia="Batang" w:cs="Times"/>
          <w:spacing w:val="-2"/>
          <w:lang w:val="es-CR"/>
        </w:rPr>
        <w:t xml:space="preserve">, a través de sus instituciones de salud especializadas, y de forma inmediata, </w:t>
      </w:r>
      <w:r w:rsidRPr="00D13792">
        <w:rPr>
          <w:rFonts w:eastAsia="Batang" w:cs="Times"/>
          <w:lang w:val="es-CR"/>
        </w:rPr>
        <w:t>adecuada</w:t>
      </w:r>
      <w:r w:rsidRPr="00D13792">
        <w:rPr>
          <w:rFonts w:eastAsia="Batang" w:cs="Times"/>
          <w:spacing w:val="-2"/>
          <w:lang w:val="es-CR"/>
        </w:rPr>
        <w:t xml:space="preserve">, integral y efectiva, tratamiento médico y </w:t>
      </w:r>
      <w:r w:rsidRPr="00D13792">
        <w:rPr>
          <w:rFonts w:eastAsia="Batang" w:cs="Times"/>
          <w:spacing w:val="-2"/>
          <w:lang w:val="es-CR"/>
        </w:rPr>
        <w:lastRenderedPageBreak/>
        <w:t xml:space="preserve">psicológico o psiquiátrico a las víctimas que así lo soliciten, </w:t>
      </w:r>
      <w:r w:rsidRPr="00D13792">
        <w:rPr>
          <w:rFonts w:eastAsia="Batang" w:cs="Verdana-Italic"/>
          <w:spacing w:val="-2"/>
          <w:lang w:val="es-CR"/>
        </w:rPr>
        <w:t>previo consentimiento informado,</w:t>
      </w:r>
      <w:r w:rsidRPr="00D13792">
        <w:rPr>
          <w:rFonts w:eastAsia="Batang" w:cs="Times"/>
          <w:spacing w:val="-2"/>
          <w:lang w:val="es-CR"/>
        </w:rPr>
        <w:t xml:space="preserve"> incluyendo el suministro gratuito de los medicamentos que eventualmente se requieran, tomando en consideración los padecimientos de cada uno de ellos. Lo anterior implica que, al ser víctimas de violaciones de derechos humanos, aquellas deberán recibir un tratamiento preferencial en relación con el trámite y procedimiento que debieran realizar para ser atendidos en instituciones públicas. Asimismo, los tratamientos respectivos deberán prestarse, en la medida de lo posible, en los centros más cercanos a sus lugares de residencia por el tiempo que sea necesario. Al proveer el tratamiento psicológico o psiquiátrico se debe considerar, además, las circunstancias y necesidades particulares de cada víctima, de manera que se les brinden tratamientos colectivos, familiares e individuales, según lo que se acuerde con cada una de ellas y después de una evaluación individual. Las víctimas que soliciten esta medida de reparación, o sus representantes legales, disponen de un plazo de seis meses, contado a partir de la notificación de la presente Sentencia, para dar a conocer a COPREDEH su intención de recibir atención médica, psicológica o psiquiátrica. </w:t>
      </w:r>
    </w:p>
    <w:p w:rsidR="006A0E1C" w:rsidRPr="00D13792" w:rsidRDefault="006A0E1C" w:rsidP="006A0E1C">
      <w:pPr>
        <w:pStyle w:val="Prrafodelista2"/>
        <w:tabs>
          <w:tab w:val="left" w:pos="720"/>
        </w:tabs>
        <w:ind w:right="-90"/>
        <w:jc w:val="both"/>
        <w:rPr>
          <w:rFonts w:eastAsia="Calibri"/>
          <w:szCs w:val="22"/>
          <w:lang w:val="es-CR"/>
        </w:rPr>
      </w:pPr>
    </w:p>
    <w:p w:rsidR="006A0E1C" w:rsidRPr="00D13792" w:rsidRDefault="006A0E1C" w:rsidP="006A0E1C">
      <w:pPr>
        <w:pStyle w:val="Prrafodelista2"/>
        <w:numPr>
          <w:ilvl w:val="0"/>
          <w:numId w:val="23"/>
        </w:numPr>
        <w:tabs>
          <w:tab w:val="left" w:pos="720"/>
        </w:tabs>
        <w:ind w:right="-90"/>
        <w:jc w:val="both"/>
        <w:rPr>
          <w:rFonts w:eastAsia="Batang" w:cs="Verdana"/>
          <w:lang w:val="es-CR"/>
        </w:rPr>
      </w:pPr>
      <w:r w:rsidRPr="00D13792">
        <w:rPr>
          <w:rFonts w:eastAsia="Batang" w:cs="Times"/>
          <w:lang w:val="es-CR"/>
        </w:rPr>
        <w:t xml:space="preserve">En atención a lo solicitado por los representantes </w:t>
      </w:r>
      <w:r w:rsidRPr="00D13792">
        <w:rPr>
          <w:rFonts w:eastAsia="Batang"/>
          <w:lang w:val="es-CR"/>
        </w:rPr>
        <w:t>(</w:t>
      </w:r>
      <w:r w:rsidRPr="00D13792">
        <w:rPr>
          <w:rFonts w:eastAsia="Batang"/>
          <w:i/>
          <w:lang w:val="es-CR"/>
        </w:rPr>
        <w:t xml:space="preserve">supra </w:t>
      </w:r>
      <w:r w:rsidRPr="00D13792">
        <w:rPr>
          <w:rFonts w:eastAsia="Batang"/>
          <w:lang w:val="es-CR"/>
        </w:rPr>
        <w:t>párr. 300),</w:t>
      </w:r>
      <w:r w:rsidRPr="00D13792">
        <w:rPr>
          <w:rFonts w:eastAsia="Batang" w:cs="Times"/>
          <w:lang w:val="es-CR"/>
        </w:rPr>
        <w:t xml:space="preserve"> dicha atención </w:t>
      </w:r>
      <w:r w:rsidRPr="00D13792">
        <w:rPr>
          <w:rFonts w:eastAsia="Batang"/>
          <w:spacing w:val="-2"/>
          <w:lang w:val="es-CR"/>
        </w:rPr>
        <w:t>médica</w:t>
      </w:r>
      <w:r w:rsidRPr="00D13792">
        <w:rPr>
          <w:rFonts w:eastAsia="Batang" w:cs="Times"/>
          <w:lang w:val="es-CR"/>
        </w:rPr>
        <w:t xml:space="preserve"> y psicológica podrá llevarse a cabo a través de los sanadores de la comunidad maya achí, de acuerdo a sus </w:t>
      </w:r>
      <w:r w:rsidRPr="00D13792">
        <w:rPr>
          <w:rFonts w:eastAsia="Batang" w:cs="Times"/>
          <w:spacing w:val="-2"/>
          <w:lang w:val="es-CR"/>
        </w:rPr>
        <w:t>propias</w:t>
      </w:r>
      <w:r w:rsidRPr="00D13792">
        <w:rPr>
          <w:rFonts w:eastAsia="Batang" w:cs="Times"/>
          <w:lang w:val="es-CR"/>
        </w:rPr>
        <w:t xml:space="preserve"> </w:t>
      </w:r>
      <w:r w:rsidRPr="00D13792">
        <w:rPr>
          <w:rFonts w:eastAsia="Calibri" w:cs="Verdana"/>
          <w:lang w:val="es-CR"/>
        </w:rPr>
        <w:t>prácticas</w:t>
      </w:r>
      <w:r w:rsidRPr="00D13792">
        <w:rPr>
          <w:rFonts w:eastAsia="Batang" w:cs="Times"/>
          <w:lang w:val="es-CR"/>
        </w:rPr>
        <w:t xml:space="preserve"> de salud y mediante el uso de medicinas tradicionales</w:t>
      </w:r>
      <w:r w:rsidRPr="00D13792">
        <w:rPr>
          <w:rFonts w:eastAsia="Batang" w:cs="Times"/>
          <w:vertAlign w:val="superscript"/>
          <w:lang w:val="es-CR"/>
        </w:rPr>
        <w:footnoteReference w:id="360"/>
      </w:r>
      <w:r w:rsidRPr="00D13792">
        <w:rPr>
          <w:rFonts w:eastAsia="Batang" w:cs="Times"/>
          <w:lang w:val="es-CR"/>
        </w:rPr>
        <w:t xml:space="preserve">, para lo cual el Estado deberá, a través de la entidad estatal encargada de brindar atención a la salud de los pueblos indígenas de Guatemala, acordar con los representantes la forma en que esta reparación se llevará a cabo. </w:t>
      </w:r>
    </w:p>
    <w:p w:rsidR="006A0E1C" w:rsidRPr="00D13792" w:rsidRDefault="006A0E1C" w:rsidP="006A0E1C">
      <w:pPr>
        <w:pStyle w:val="Prrafodelista2"/>
        <w:tabs>
          <w:tab w:val="left" w:pos="720"/>
        </w:tabs>
        <w:ind w:left="0" w:right="-90"/>
        <w:jc w:val="both"/>
        <w:rPr>
          <w:rFonts w:eastAsia="Batang" w:cs="Verdana"/>
          <w:b/>
          <w:lang w:val="es-CR"/>
        </w:rPr>
      </w:pPr>
    </w:p>
    <w:p w:rsidR="006A0E1C" w:rsidRPr="00D13792" w:rsidRDefault="006A0E1C" w:rsidP="006A0E1C">
      <w:pPr>
        <w:pStyle w:val="Heading2"/>
        <w:tabs>
          <w:tab w:val="clear" w:pos="720"/>
        </w:tabs>
        <w:rPr>
          <w:rFonts w:eastAsia="Calibri"/>
          <w:lang w:val="es-CR"/>
        </w:rPr>
      </w:pPr>
      <w:bookmarkStart w:id="262" w:name="_Toc460938904"/>
      <w:bookmarkStart w:id="263" w:name="_Toc469670069"/>
      <w:r w:rsidRPr="00D13792">
        <w:rPr>
          <w:rFonts w:eastAsia="Calibri"/>
          <w:lang w:val="es-CR"/>
        </w:rPr>
        <w:t>D.3. Medidas de satisfacción</w:t>
      </w:r>
      <w:bookmarkEnd w:id="262"/>
      <w:bookmarkEnd w:id="263"/>
    </w:p>
    <w:p w:rsidR="006A0E1C" w:rsidRPr="00D13792" w:rsidRDefault="006A0E1C" w:rsidP="006A0E1C">
      <w:pPr>
        <w:tabs>
          <w:tab w:val="left" w:pos="720"/>
          <w:tab w:val="left" w:pos="2160"/>
          <w:tab w:val="left" w:pos="2880"/>
          <w:tab w:val="left" w:pos="3600"/>
          <w:tab w:val="left" w:pos="4320"/>
          <w:tab w:val="left" w:pos="5760"/>
          <w:tab w:val="left" w:pos="6480"/>
          <w:tab w:val="left" w:pos="7200"/>
          <w:tab w:val="left" w:pos="7920"/>
        </w:tabs>
        <w:adjustRightInd/>
        <w:spacing w:line="240" w:lineRule="auto"/>
        <w:textAlignment w:val="auto"/>
        <w:rPr>
          <w:rFonts w:eastAsia="MS Mincho"/>
          <w:i/>
          <w:sz w:val="16"/>
          <w:szCs w:val="20"/>
          <w:lang w:eastAsia="en-US"/>
        </w:rPr>
      </w:pPr>
    </w:p>
    <w:p w:rsidR="006A0E1C" w:rsidRPr="00D13792" w:rsidRDefault="006A0E1C" w:rsidP="006A0E1C">
      <w:pPr>
        <w:pStyle w:val="Heading2"/>
        <w:tabs>
          <w:tab w:val="clear" w:pos="720"/>
        </w:tabs>
        <w:rPr>
          <w:rFonts w:eastAsia="Batang" w:cs="Verdana"/>
          <w:b w:val="0"/>
          <w:i w:val="0"/>
          <w:lang w:val="es-CR" w:eastAsia="en-US" w:bidi="en-US"/>
        </w:rPr>
      </w:pPr>
      <w:bookmarkStart w:id="264" w:name="_Toc469670070"/>
      <w:r w:rsidRPr="00D13792">
        <w:rPr>
          <w:rFonts w:eastAsia="Batang" w:cs="Times"/>
          <w:lang w:val="es-CR" w:eastAsia="en-US"/>
        </w:rPr>
        <w:t xml:space="preserve">D.3.1. Acto </w:t>
      </w:r>
      <w:r w:rsidRPr="00D13792">
        <w:rPr>
          <w:rFonts w:eastAsia="Calibri"/>
          <w:lang w:val="es-CR"/>
        </w:rPr>
        <w:t>público</w:t>
      </w:r>
      <w:r w:rsidRPr="00D13792">
        <w:rPr>
          <w:rFonts w:eastAsia="Batang" w:cs="Times"/>
          <w:lang w:val="es-CR" w:eastAsia="en-US"/>
        </w:rPr>
        <w:t xml:space="preserve"> de reconocimiento de responsabilidad</w:t>
      </w:r>
      <w:bookmarkEnd w:id="264"/>
    </w:p>
    <w:p w:rsidR="006A0E1C" w:rsidRPr="00D13792" w:rsidRDefault="006A0E1C" w:rsidP="006A0E1C">
      <w:pPr>
        <w:tabs>
          <w:tab w:val="left" w:pos="720"/>
          <w:tab w:val="left" w:pos="2160"/>
          <w:tab w:val="left" w:pos="2880"/>
          <w:tab w:val="left" w:pos="3600"/>
          <w:tab w:val="left" w:pos="4320"/>
          <w:tab w:val="left" w:pos="5760"/>
          <w:tab w:val="left" w:pos="6480"/>
          <w:tab w:val="left" w:pos="7200"/>
          <w:tab w:val="left" w:pos="7920"/>
        </w:tabs>
        <w:adjustRightInd/>
        <w:spacing w:line="240" w:lineRule="auto"/>
        <w:textAlignment w:val="auto"/>
        <w:rPr>
          <w:rFonts w:eastAsia="MS Mincho"/>
          <w:sz w:val="16"/>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Verdana"/>
          <w:b/>
          <w:lang w:val="es-CR"/>
        </w:rPr>
      </w:pPr>
      <w:r w:rsidRPr="00D13792">
        <w:rPr>
          <w:rFonts w:eastAsia="Batang" w:cs="Verdana"/>
          <w:lang w:val="es-CR"/>
        </w:rPr>
        <w:t xml:space="preserve">La </w:t>
      </w:r>
      <w:r w:rsidRPr="00D13792">
        <w:rPr>
          <w:rFonts w:eastAsia="Batang" w:cs="Verdana"/>
          <w:b/>
          <w:i/>
          <w:lang w:val="es-CR"/>
        </w:rPr>
        <w:t>Comisión</w:t>
      </w:r>
      <w:r w:rsidRPr="00D13792">
        <w:rPr>
          <w:rFonts w:eastAsia="Batang" w:cs="Verdana"/>
          <w:lang w:val="es-CR"/>
        </w:rPr>
        <w:t xml:space="preserve"> </w:t>
      </w:r>
      <w:r w:rsidRPr="00D13792">
        <w:rPr>
          <w:rFonts w:cs="Times"/>
          <w:lang w:val="es-CR"/>
        </w:rPr>
        <w:t>solicitó</w:t>
      </w:r>
      <w:r w:rsidRPr="00D13792">
        <w:rPr>
          <w:rFonts w:eastAsia="Batang" w:cs="Verdana"/>
          <w:lang w:val="es-CR"/>
        </w:rPr>
        <w:t xml:space="preserve"> la recuperación de la memoria de las víctimas fallecidas y desaparecidas.</w:t>
      </w:r>
      <w:r w:rsidRPr="00D13792">
        <w:rPr>
          <w:rFonts w:eastAsia="Batang" w:cs="Verdana"/>
          <w:b/>
          <w:lang w:val="es-CR"/>
        </w:rPr>
        <w:t xml:space="preserve"> </w:t>
      </w:r>
      <w:r w:rsidRPr="00D13792">
        <w:rPr>
          <w:rFonts w:eastAsia="Batang" w:cs="Verdana"/>
          <w:lang w:val="es-CR"/>
        </w:rPr>
        <w:t xml:space="preserve">Los </w:t>
      </w:r>
      <w:r w:rsidRPr="00D13792">
        <w:rPr>
          <w:rFonts w:eastAsia="Batang" w:cs="Verdana"/>
          <w:b/>
          <w:i/>
          <w:lang w:val="es-CR"/>
        </w:rPr>
        <w:t xml:space="preserve">representantes </w:t>
      </w:r>
      <w:r w:rsidRPr="00D13792">
        <w:rPr>
          <w:rFonts w:eastAsia="Batang" w:cs="Verdana"/>
          <w:lang w:val="es-CR"/>
        </w:rPr>
        <w:t xml:space="preserve">no se </w:t>
      </w:r>
      <w:r w:rsidRPr="00D13792">
        <w:rPr>
          <w:rFonts w:eastAsia="Calibri" w:cs="Verdana"/>
          <w:lang w:val="es-CR"/>
        </w:rPr>
        <w:t>refirieron</w:t>
      </w:r>
      <w:r w:rsidRPr="00D13792">
        <w:rPr>
          <w:rFonts w:eastAsia="Batang" w:cs="Verdana"/>
          <w:lang w:val="es-CR"/>
        </w:rPr>
        <w:t xml:space="preserve"> a este punto en su escrito de solicitudes y argumentos</w:t>
      </w:r>
      <w:r w:rsidRPr="00D13792">
        <w:rPr>
          <w:rFonts w:eastAsia="Batang" w:cs="Verdana"/>
          <w:vertAlign w:val="superscript"/>
          <w:lang w:val="es-CR"/>
        </w:rPr>
        <w:footnoteReference w:id="361"/>
      </w:r>
      <w:r w:rsidRPr="00D13792">
        <w:rPr>
          <w:rFonts w:eastAsia="Batang" w:cs="Verdana"/>
          <w:lang w:val="es-CR"/>
        </w:rPr>
        <w:t xml:space="preserve">. El </w:t>
      </w:r>
      <w:r w:rsidRPr="00D13792">
        <w:rPr>
          <w:rFonts w:eastAsia="Batang" w:cs="Verdana"/>
          <w:b/>
          <w:i/>
          <w:lang w:val="es-CR"/>
        </w:rPr>
        <w:t>Estado</w:t>
      </w:r>
      <w:r w:rsidRPr="00D13792">
        <w:rPr>
          <w:rFonts w:eastAsia="Batang" w:cs="Verdana"/>
          <w:lang w:val="es-CR"/>
        </w:rPr>
        <w:t xml:space="preserve"> manifestó en su contestación que </w:t>
      </w:r>
      <w:r w:rsidRPr="00D13792">
        <w:rPr>
          <w:rFonts w:eastAsia="Batang" w:cs="Times"/>
          <w:lang w:val="es-CR"/>
        </w:rPr>
        <w:t xml:space="preserve">el PNR cuenta con una oficina en el </w:t>
      </w:r>
      <w:r w:rsidRPr="00D13792">
        <w:rPr>
          <w:rFonts w:cs="Times"/>
          <w:lang w:val="es-CR"/>
        </w:rPr>
        <w:t>municipio</w:t>
      </w:r>
      <w:r w:rsidRPr="00D13792">
        <w:rPr>
          <w:rFonts w:eastAsia="Batang" w:cs="Times"/>
          <w:lang w:val="es-CR"/>
        </w:rPr>
        <w:t xml:space="preserve"> de Rabinal, y otorga “medidas de </w:t>
      </w:r>
      <w:r w:rsidRPr="00D13792">
        <w:rPr>
          <w:rFonts w:eastAsia="Calibri" w:cs="Verdana"/>
          <w:lang w:val="es-CR"/>
        </w:rPr>
        <w:t>dignificación</w:t>
      </w:r>
      <w:r w:rsidRPr="00D13792">
        <w:rPr>
          <w:rFonts w:eastAsia="Batang" w:cs="Times"/>
          <w:lang w:val="es-CR"/>
        </w:rPr>
        <w:t xml:space="preserve"> de las víctimas (resarcimiento moral y comunitario)”.</w:t>
      </w:r>
    </w:p>
    <w:p w:rsidR="006A0E1C" w:rsidRPr="00D13792" w:rsidRDefault="006A0E1C" w:rsidP="006A0E1C">
      <w:pPr>
        <w:tabs>
          <w:tab w:val="left" w:pos="-709"/>
          <w:tab w:val="left" w:pos="0"/>
          <w:tab w:val="left" w:pos="1440"/>
          <w:tab w:val="left" w:pos="2880"/>
          <w:tab w:val="left" w:pos="3600"/>
          <w:tab w:val="left" w:pos="4320"/>
          <w:tab w:val="left" w:pos="5760"/>
          <w:tab w:val="left" w:pos="6480"/>
          <w:tab w:val="left" w:pos="7200"/>
          <w:tab w:val="left" w:pos="7920"/>
        </w:tabs>
        <w:autoSpaceDE w:val="0"/>
        <w:autoSpaceDN w:val="0"/>
        <w:spacing w:line="240" w:lineRule="auto"/>
        <w:ind w:right="-138"/>
        <w:textAlignment w:val="auto"/>
        <w:rPr>
          <w:rFonts w:eastAsia="Batang" w:cs="Verdana"/>
          <w:b/>
          <w:sz w:val="16"/>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Verdana"/>
          <w:b/>
          <w:lang w:val="es-CR"/>
        </w:rPr>
      </w:pPr>
      <w:r w:rsidRPr="00D13792">
        <w:rPr>
          <w:rFonts w:eastAsia="Batang" w:cs="Verdana"/>
          <w:lang w:val="es-CR"/>
        </w:rPr>
        <w:t>Así como lo ha hecho en otros casos contra Guatemala</w:t>
      </w:r>
      <w:r w:rsidRPr="00D13792">
        <w:rPr>
          <w:rFonts w:eastAsia="Batang" w:cs="Verdana"/>
          <w:vertAlign w:val="superscript"/>
          <w:lang w:val="es-CR"/>
        </w:rPr>
        <w:footnoteReference w:id="362"/>
      </w:r>
      <w:r w:rsidRPr="00D13792">
        <w:rPr>
          <w:rFonts w:eastAsia="Batang" w:cs="Verdana"/>
          <w:lang w:val="es-CR"/>
        </w:rPr>
        <w:t xml:space="preserve">, la </w:t>
      </w:r>
      <w:r w:rsidRPr="00D13792">
        <w:rPr>
          <w:rFonts w:eastAsia="Batang" w:cs="Verdana"/>
          <w:b/>
          <w:i/>
          <w:lang w:val="es-CR"/>
        </w:rPr>
        <w:t>Corte</w:t>
      </w:r>
      <w:r w:rsidRPr="00D13792">
        <w:rPr>
          <w:rFonts w:eastAsia="Batang" w:cs="Times"/>
          <w:lang w:val="es-CR"/>
        </w:rPr>
        <w:t xml:space="preserve"> ordena al Estado realizar un acto público de reconocimiento de </w:t>
      </w:r>
      <w:r w:rsidRPr="00D13792">
        <w:rPr>
          <w:rFonts w:cs="Times"/>
          <w:lang w:val="es-CR"/>
        </w:rPr>
        <w:t>responsabilidad en el cual se haga referencia a los hechos</w:t>
      </w:r>
      <w:r w:rsidRPr="00D13792">
        <w:rPr>
          <w:rFonts w:eastAsia="Batang" w:cs="Times"/>
          <w:lang w:val="es-CR"/>
        </w:rPr>
        <w:t xml:space="preserve"> del caso, al contexto de violaciones graves y masivas de derechos humanos perpetradas por el Estado, y a la responsabilidad internacional declarada en los términos de esta Sentencia. El acto deberá realizarse en</w:t>
      </w:r>
      <w:r w:rsidRPr="00D13792">
        <w:rPr>
          <w:rFonts w:eastAsia="Batang" w:cs="Calibri"/>
          <w:lang w:val="es-CR"/>
        </w:rPr>
        <w:t xml:space="preserve"> la aldea Chichupac</w:t>
      </w:r>
      <w:r w:rsidRPr="00D13792">
        <w:rPr>
          <w:rFonts w:eastAsia="Batang" w:cs="Times"/>
          <w:lang w:val="es-CR"/>
        </w:rPr>
        <w:t>, en idioma español y en la lengua maya achí, y</w:t>
      </w:r>
      <w:r w:rsidRPr="00D13792">
        <w:rPr>
          <w:rFonts w:eastAsia="Batang" w:cs="Times"/>
          <w:i/>
          <w:lang w:val="es-CR"/>
        </w:rPr>
        <w:t xml:space="preserve"> </w:t>
      </w:r>
      <w:r w:rsidRPr="00D13792">
        <w:rPr>
          <w:rFonts w:eastAsia="Batang" w:cs="Times"/>
          <w:lang w:val="es-CR"/>
        </w:rPr>
        <w:t xml:space="preserve">transmitido a través de medios de comunicación televisivos y/o radiales, dentro del plazo de un año contado a partir de la notificación de la presente Sentencia. De igual forma, por las características específicas del presente caso, y en aras de crear conciencia sobre las consecuencias de los hechos del mismo, en dicho evento de reconocimiento deberán estar presentes altos funcionarios estatales. </w:t>
      </w:r>
      <w:r w:rsidRPr="00D13792">
        <w:rPr>
          <w:rFonts w:cs="Times"/>
          <w:lang w:val="es-CR"/>
        </w:rPr>
        <w:t xml:space="preserve">La realización y particularidades de dicha ceremonia </w:t>
      </w:r>
      <w:r w:rsidRPr="00D13792">
        <w:rPr>
          <w:rFonts w:cs="Times"/>
          <w:lang w:val="es-CR"/>
        </w:rPr>
        <w:lastRenderedPageBreak/>
        <w:t xml:space="preserve">pública </w:t>
      </w:r>
      <w:r w:rsidRPr="00D13792">
        <w:rPr>
          <w:rFonts w:eastAsia="Batang" w:cs="Verdana"/>
          <w:lang w:val="es-CR"/>
        </w:rPr>
        <w:t xml:space="preserve">deberán acordarse con las víctimas y sus representantes. Asimismo, el Estado </w:t>
      </w:r>
      <w:r w:rsidRPr="00D13792">
        <w:rPr>
          <w:rFonts w:cs="Times"/>
          <w:lang w:val="es-CR"/>
        </w:rPr>
        <w:t>deberá garantizar y sufragar los gastos de transporte necesarios para que las víctimas</w:t>
      </w:r>
      <w:r w:rsidRPr="00D13792">
        <w:rPr>
          <w:lang w:val="es-CR"/>
        </w:rPr>
        <w:t xml:space="preserve"> </w:t>
      </w:r>
      <w:r w:rsidRPr="00D13792">
        <w:rPr>
          <w:rFonts w:cs="Times"/>
          <w:lang w:val="es-CR"/>
        </w:rPr>
        <w:t xml:space="preserve">que se encuentran en Guatemala puedan asistir al acto de reconocimiento.  </w:t>
      </w:r>
    </w:p>
    <w:p w:rsidR="006A0E1C" w:rsidRPr="00D13792" w:rsidRDefault="006A0E1C" w:rsidP="006A0E1C">
      <w:pPr>
        <w:widowControl/>
        <w:adjustRightInd/>
        <w:spacing w:line="240" w:lineRule="auto"/>
        <w:ind w:right="-138"/>
        <w:contextualSpacing/>
        <w:textAlignment w:val="auto"/>
        <w:rPr>
          <w:rFonts w:eastAsia="MS Mincho"/>
          <w:sz w:val="16"/>
          <w:szCs w:val="20"/>
          <w:lang w:eastAsia="en-US"/>
        </w:rPr>
      </w:pPr>
    </w:p>
    <w:p w:rsidR="006A0E1C" w:rsidRPr="00D13792" w:rsidRDefault="006A0E1C" w:rsidP="006A0E1C">
      <w:pPr>
        <w:pStyle w:val="Heading2"/>
        <w:tabs>
          <w:tab w:val="clear" w:pos="720"/>
        </w:tabs>
        <w:rPr>
          <w:rFonts w:eastAsia="Calibri"/>
          <w:i w:val="0"/>
          <w:lang w:val="es-CR"/>
        </w:rPr>
      </w:pPr>
      <w:bookmarkStart w:id="265" w:name="_Toc469670071"/>
      <w:r w:rsidRPr="00D13792">
        <w:rPr>
          <w:rFonts w:eastAsia="Calibri"/>
          <w:lang w:val="es-CR"/>
        </w:rPr>
        <w:t>D.3.2. Publicación de la Sentencia</w:t>
      </w:r>
      <w:bookmarkEnd w:id="265"/>
    </w:p>
    <w:p w:rsidR="006A0E1C" w:rsidRPr="00D13792" w:rsidRDefault="006A0E1C" w:rsidP="006A0E1C">
      <w:pPr>
        <w:pStyle w:val="Prrafodelista2"/>
        <w:tabs>
          <w:tab w:val="left" w:pos="720"/>
        </w:tabs>
        <w:ind w:left="0" w:right="-90"/>
        <w:jc w:val="both"/>
        <w:rPr>
          <w:rFonts w:cs="Arial"/>
          <w:lang w:val="es-CR"/>
        </w:rPr>
      </w:pPr>
    </w:p>
    <w:p w:rsidR="006A0E1C" w:rsidRPr="00D13792" w:rsidRDefault="006A0E1C" w:rsidP="006A0E1C">
      <w:pPr>
        <w:pStyle w:val="Prrafodelista2"/>
        <w:numPr>
          <w:ilvl w:val="0"/>
          <w:numId w:val="23"/>
        </w:numPr>
        <w:tabs>
          <w:tab w:val="left" w:pos="720"/>
        </w:tabs>
        <w:ind w:right="-90"/>
        <w:jc w:val="both"/>
        <w:rPr>
          <w:rFonts w:cs="Arial"/>
          <w:lang w:val="es-CR"/>
        </w:rPr>
      </w:pPr>
      <w:r w:rsidRPr="00D13792">
        <w:rPr>
          <w:lang w:val="es-CR"/>
        </w:rPr>
        <w:t xml:space="preserve">La </w:t>
      </w:r>
      <w:r w:rsidRPr="00D13792">
        <w:rPr>
          <w:b/>
          <w:i/>
          <w:lang w:val="es-CR"/>
        </w:rPr>
        <w:t>Comisión</w:t>
      </w:r>
      <w:r w:rsidRPr="00D13792">
        <w:rPr>
          <w:lang w:val="es-CR"/>
        </w:rPr>
        <w:t xml:space="preserve"> solicitó a la Corte que ordene al Estado </w:t>
      </w:r>
      <w:r w:rsidRPr="00D13792">
        <w:rPr>
          <w:rFonts w:cs="Arial"/>
          <w:lang w:val="es-CR"/>
        </w:rPr>
        <w:t xml:space="preserve">el establecimiento y difusión de la verdad histórica de los </w:t>
      </w:r>
      <w:r w:rsidRPr="00D13792">
        <w:rPr>
          <w:rFonts w:eastAsia="Batang" w:cs="Times"/>
          <w:lang w:val="es-CR"/>
        </w:rPr>
        <w:t>hechos</w:t>
      </w:r>
      <w:r w:rsidRPr="00D13792">
        <w:rPr>
          <w:rFonts w:cs="Arial"/>
          <w:lang w:val="es-CR"/>
        </w:rPr>
        <w:t xml:space="preserve">. </w:t>
      </w:r>
      <w:r w:rsidRPr="00D13792">
        <w:rPr>
          <w:lang w:val="es-CR"/>
        </w:rPr>
        <w:t xml:space="preserve">Los </w:t>
      </w:r>
      <w:r w:rsidRPr="00D13792">
        <w:rPr>
          <w:b/>
          <w:i/>
          <w:lang w:val="es-CR"/>
        </w:rPr>
        <w:t>representantes</w:t>
      </w:r>
      <w:r w:rsidRPr="00D13792">
        <w:rPr>
          <w:lang w:val="es-CR"/>
        </w:rPr>
        <w:t xml:space="preserve"> solicitaron a la </w:t>
      </w:r>
      <w:r w:rsidRPr="00D13792">
        <w:rPr>
          <w:rFonts w:cs="Verdana"/>
          <w:lang w:val="es-CR"/>
        </w:rPr>
        <w:t>Corte</w:t>
      </w:r>
      <w:r w:rsidRPr="00D13792">
        <w:rPr>
          <w:lang w:val="es-CR"/>
        </w:rPr>
        <w:t xml:space="preserve"> que ordene al Estado </w:t>
      </w:r>
      <w:r w:rsidRPr="00D13792">
        <w:rPr>
          <w:rFonts w:eastAsia="Calibri" w:cs="Calibri"/>
          <w:lang w:val="es-CR"/>
        </w:rPr>
        <w:t xml:space="preserve">la publicación del resumen oficial de la Sentencia en un diario de mayor circulación y en el Diario Oficial, así como la versión de la Sentencia con los nombres de las víctimas en su integridad, por un período de un año, en un sitio </w:t>
      </w:r>
      <w:r w:rsidRPr="00D13792">
        <w:rPr>
          <w:rFonts w:eastAsia="Calibri" w:cs="Calibri"/>
          <w:i/>
          <w:lang w:val="es-CR"/>
        </w:rPr>
        <w:t>web</w:t>
      </w:r>
      <w:r w:rsidRPr="00D13792">
        <w:rPr>
          <w:rFonts w:eastAsia="Calibri" w:cs="Calibri"/>
          <w:lang w:val="es-CR"/>
        </w:rPr>
        <w:t xml:space="preserve"> oficial de Guatemala.</w:t>
      </w:r>
    </w:p>
    <w:p w:rsidR="006A0E1C" w:rsidRPr="00D13792" w:rsidRDefault="006A0E1C" w:rsidP="006A0E1C">
      <w:pPr>
        <w:tabs>
          <w:tab w:val="left" w:pos="-709"/>
          <w:tab w:val="left" w:pos="0"/>
          <w:tab w:val="left" w:pos="1440"/>
          <w:tab w:val="left" w:pos="2880"/>
          <w:tab w:val="left" w:pos="3600"/>
          <w:tab w:val="left" w:pos="4320"/>
          <w:tab w:val="left" w:pos="5760"/>
          <w:tab w:val="left" w:pos="6480"/>
          <w:tab w:val="left" w:pos="7200"/>
          <w:tab w:val="left" w:pos="7920"/>
        </w:tabs>
        <w:autoSpaceDE w:val="0"/>
        <w:autoSpaceDN w:val="0"/>
        <w:spacing w:line="240" w:lineRule="auto"/>
        <w:ind w:left="-720" w:right="-138"/>
        <w:textAlignment w:val="auto"/>
        <w:rPr>
          <w:rFonts w:eastAsia="MS Mincho" w:cs="Arial"/>
          <w:sz w:val="20"/>
          <w:szCs w:val="20"/>
          <w:lang w:eastAsia="en-US"/>
        </w:rPr>
      </w:pPr>
    </w:p>
    <w:p w:rsidR="006A0E1C" w:rsidRPr="00D13792" w:rsidRDefault="006A0E1C" w:rsidP="006A0E1C">
      <w:pPr>
        <w:pStyle w:val="Prrafodelista2"/>
        <w:numPr>
          <w:ilvl w:val="0"/>
          <w:numId w:val="23"/>
        </w:numPr>
        <w:tabs>
          <w:tab w:val="left" w:pos="720"/>
        </w:tabs>
        <w:ind w:right="-90"/>
        <w:jc w:val="both"/>
        <w:rPr>
          <w:rFonts w:cs="Arial"/>
          <w:lang w:val="es-CR"/>
        </w:rPr>
      </w:pPr>
      <w:r w:rsidRPr="00D13792">
        <w:rPr>
          <w:rFonts w:eastAsia="Calibri" w:cs="Calibri"/>
          <w:lang w:val="es-CR"/>
        </w:rPr>
        <w:t xml:space="preserve">El </w:t>
      </w:r>
      <w:r w:rsidRPr="00D13792">
        <w:rPr>
          <w:rFonts w:eastAsia="Calibri" w:cs="Calibri"/>
          <w:b/>
          <w:i/>
          <w:lang w:val="es-CR"/>
        </w:rPr>
        <w:t>Estado</w:t>
      </w:r>
      <w:r w:rsidRPr="00D13792">
        <w:rPr>
          <w:rFonts w:eastAsia="Calibri" w:cs="Calibri"/>
          <w:lang w:val="es-CR"/>
        </w:rPr>
        <w:t xml:space="preserve"> sostuvo que los representantes “se est[aban] adelantando mucho al solicitar como medida de reparación la </w:t>
      </w:r>
      <w:r w:rsidRPr="00D13792">
        <w:rPr>
          <w:rFonts w:cs="Times"/>
          <w:lang w:val="es-CR"/>
        </w:rPr>
        <w:t>publicación</w:t>
      </w:r>
      <w:r w:rsidRPr="00D13792">
        <w:rPr>
          <w:rFonts w:eastAsia="Calibri" w:cs="Calibri"/>
          <w:lang w:val="es-CR"/>
        </w:rPr>
        <w:t xml:space="preserve"> de la [S]entencia, pues la Corte deb[ía] aún analizar las excepciones preliminares presentadas […]. Razón por la cual, el </w:t>
      </w:r>
      <w:r w:rsidRPr="00D13792">
        <w:rPr>
          <w:rFonts w:eastAsia="Batang" w:cs="Times"/>
          <w:spacing w:val="-2"/>
          <w:lang w:val="es-CR"/>
        </w:rPr>
        <w:t>Estado</w:t>
      </w:r>
      <w:r w:rsidRPr="00D13792">
        <w:rPr>
          <w:rFonts w:eastAsia="Calibri" w:cs="Calibri"/>
          <w:lang w:val="es-CR"/>
        </w:rPr>
        <w:t xml:space="preserve"> no se pronunci[ó] respecto a esta solicitud”</w:t>
      </w:r>
      <w:r w:rsidRPr="00D13792">
        <w:rPr>
          <w:rFonts w:eastAsia="Calibri"/>
          <w:lang w:val="es-CR"/>
        </w:rPr>
        <w:t xml:space="preserve">. </w:t>
      </w:r>
      <w:r w:rsidRPr="00D13792">
        <w:rPr>
          <w:rFonts w:eastAsia="Batang" w:cs="Times"/>
          <w:lang w:val="es-CR"/>
        </w:rPr>
        <w:t>En sus alegatos finales escritos, el Estado solicitó a la Corte que t</w:t>
      </w:r>
      <w:r w:rsidRPr="00D13792">
        <w:rPr>
          <w:rFonts w:eastAsia="Calibri"/>
          <w:lang w:val="es-CR"/>
        </w:rPr>
        <w:t>ome</w:t>
      </w:r>
      <w:r w:rsidRPr="00D13792">
        <w:rPr>
          <w:rFonts w:eastAsia="Batang" w:cs="Times"/>
          <w:lang w:val="es-CR"/>
        </w:rPr>
        <w:t xml:space="preserve"> en cuenta las posibilidades económicas del país al momento de efectuarse las </w:t>
      </w:r>
      <w:r w:rsidRPr="00D13792">
        <w:rPr>
          <w:rFonts w:eastAsia="Calibri"/>
          <w:lang w:val="es-CR"/>
        </w:rPr>
        <w:t xml:space="preserve">publicaciones en un diario de mayor </w:t>
      </w:r>
      <w:r w:rsidRPr="00D13792">
        <w:rPr>
          <w:rFonts w:eastAsia="Batang" w:cs="Times"/>
          <w:lang w:val="es-CR"/>
        </w:rPr>
        <w:t>circulació</w:t>
      </w:r>
      <w:r w:rsidRPr="00D13792">
        <w:rPr>
          <w:rFonts w:eastAsia="Calibri"/>
          <w:lang w:val="es-CR"/>
        </w:rPr>
        <w:t>n y</w:t>
      </w:r>
      <w:r w:rsidRPr="00D13792">
        <w:rPr>
          <w:rFonts w:eastAsia="Batang" w:cs="Times"/>
          <w:lang w:val="es-CR"/>
        </w:rPr>
        <w:t xml:space="preserve"> </w:t>
      </w:r>
      <w:r w:rsidRPr="00D13792">
        <w:rPr>
          <w:rFonts w:eastAsia="Calibri"/>
          <w:lang w:val="es-CR"/>
        </w:rPr>
        <w:t>en el Diario Oficial.</w:t>
      </w:r>
    </w:p>
    <w:p w:rsidR="006A0E1C" w:rsidRPr="00D13792" w:rsidRDefault="006A0E1C" w:rsidP="006A0E1C">
      <w:pPr>
        <w:tabs>
          <w:tab w:val="left" w:pos="-720"/>
          <w:tab w:val="left" w:pos="0"/>
          <w:tab w:val="left" w:pos="2880"/>
          <w:tab w:val="left" w:pos="3600"/>
          <w:tab w:val="left" w:pos="4320"/>
          <w:tab w:val="left" w:pos="5760"/>
          <w:tab w:val="left" w:pos="6480"/>
          <w:tab w:val="left" w:pos="7200"/>
          <w:tab w:val="left" w:pos="7920"/>
        </w:tabs>
        <w:adjustRightInd/>
        <w:spacing w:line="240" w:lineRule="auto"/>
        <w:ind w:left="-720"/>
        <w:textAlignment w:val="auto"/>
        <w:rPr>
          <w:rFonts w:eastAsia="MS Mincho" w:cs="Arial"/>
          <w:sz w:val="16"/>
          <w:szCs w:val="20"/>
          <w:lang w:eastAsia="en-US"/>
        </w:rPr>
      </w:pPr>
    </w:p>
    <w:p w:rsidR="006A0E1C" w:rsidRPr="00D13792" w:rsidRDefault="006A0E1C" w:rsidP="006A0E1C">
      <w:pPr>
        <w:pStyle w:val="Prrafodelista2"/>
        <w:numPr>
          <w:ilvl w:val="0"/>
          <w:numId w:val="23"/>
        </w:numPr>
        <w:tabs>
          <w:tab w:val="left" w:pos="720"/>
        </w:tabs>
        <w:ind w:right="-90"/>
        <w:jc w:val="both"/>
        <w:rPr>
          <w:rFonts w:cs="Times"/>
          <w:lang w:val="es-CR" w:eastAsia="es-MX"/>
        </w:rPr>
      </w:pPr>
      <w:r w:rsidRPr="00D13792">
        <w:rPr>
          <w:rFonts w:eastAsia="Batang" w:cs="Verdana"/>
          <w:lang w:val="es-CR"/>
        </w:rPr>
        <w:t>Así como lo ha hecho en otros casos contra Guatemala</w:t>
      </w:r>
      <w:r w:rsidRPr="00D13792">
        <w:rPr>
          <w:rFonts w:eastAsia="Batang" w:cs="Verdana"/>
          <w:vertAlign w:val="superscript"/>
          <w:lang w:val="es-CR"/>
        </w:rPr>
        <w:footnoteReference w:id="363"/>
      </w:r>
      <w:r w:rsidRPr="00D13792">
        <w:rPr>
          <w:rFonts w:eastAsia="Batang" w:cs="Verdana"/>
          <w:lang w:val="es-CR"/>
        </w:rPr>
        <w:t>, l</w:t>
      </w:r>
      <w:r w:rsidRPr="00D13792">
        <w:rPr>
          <w:rFonts w:eastAsia="Batang" w:cs="Times"/>
          <w:spacing w:val="-2"/>
          <w:lang w:val="es-CR"/>
        </w:rPr>
        <w:t xml:space="preserve">a </w:t>
      </w:r>
      <w:r w:rsidRPr="00D13792">
        <w:rPr>
          <w:rFonts w:eastAsia="Batang" w:cs="Times"/>
          <w:b/>
          <w:i/>
          <w:spacing w:val="-2"/>
          <w:lang w:val="es-CR"/>
        </w:rPr>
        <w:t>Corte</w:t>
      </w:r>
      <w:r w:rsidRPr="00D13792">
        <w:rPr>
          <w:rFonts w:eastAsia="Batang" w:cs="Times"/>
          <w:spacing w:val="-2"/>
          <w:lang w:val="es-CR"/>
        </w:rPr>
        <w:t xml:space="preserve"> dispone que el Estado publique </w:t>
      </w:r>
      <w:r w:rsidRPr="00D13792">
        <w:rPr>
          <w:lang w:val="es-CR"/>
        </w:rPr>
        <w:t>en un tamaño de letra legible y adecuado</w:t>
      </w:r>
      <w:r w:rsidRPr="00D13792">
        <w:rPr>
          <w:rFonts w:eastAsia="Batang" w:cs="Times"/>
          <w:spacing w:val="-2"/>
          <w:lang w:val="es-CR"/>
        </w:rPr>
        <w:t xml:space="preserve">, </w:t>
      </w:r>
      <w:r w:rsidRPr="00D13792">
        <w:rPr>
          <w:rFonts w:eastAsia="Times" w:cs="Times"/>
          <w:lang w:val="es-CR" w:eastAsia="es-MX"/>
        </w:rPr>
        <w:t xml:space="preserve">en idiomas español y maya achí, y </w:t>
      </w:r>
      <w:r w:rsidRPr="00D13792">
        <w:rPr>
          <w:rFonts w:eastAsia="Batang" w:cs="Times"/>
          <w:spacing w:val="-2"/>
          <w:lang w:val="es-CR"/>
        </w:rPr>
        <w:t xml:space="preserve">en un plazo de seis meses, contado a partir de la notificación de la presente Sentencia: a) el resumen oficial de la Sentencia elaborado por la Corte, por una sola vez, </w:t>
      </w:r>
      <w:r w:rsidRPr="00D13792">
        <w:rPr>
          <w:rFonts w:eastAsia="Calibri" w:cs="Calibri"/>
          <w:lang w:val="es-CR"/>
        </w:rPr>
        <w:t>en</w:t>
      </w:r>
      <w:r w:rsidRPr="00D13792">
        <w:rPr>
          <w:rFonts w:eastAsia="Batang" w:cs="Times"/>
          <w:spacing w:val="-2"/>
          <w:lang w:val="es-CR"/>
        </w:rPr>
        <w:t xml:space="preserve"> el Diario </w:t>
      </w:r>
      <w:r w:rsidRPr="00D13792">
        <w:rPr>
          <w:rFonts w:eastAsia="Times" w:cs="Times"/>
          <w:lang w:val="es-CR" w:eastAsia="es-MX"/>
        </w:rPr>
        <w:t>Oficial</w:t>
      </w:r>
      <w:r w:rsidRPr="00D13792">
        <w:rPr>
          <w:rFonts w:eastAsia="Batang" w:cs="Times"/>
          <w:spacing w:val="-2"/>
          <w:lang w:val="es-CR"/>
        </w:rPr>
        <w:t xml:space="preserve"> y en un diario nacional de amplia circulación, y b) la presente Sentencia en su integridad, junto con sus anexos, disponible al menos por un período de un año, en </w:t>
      </w:r>
      <w:r w:rsidRPr="00D13792">
        <w:rPr>
          <w:rFonts w:eastAsia="Batang" w:cs="Times"/>
          <w:lang w:val="es-CR"/>
        </w:rPr>
        <w:t xml:space="preserve">un el sitio </w:t>
      </w:r>
      <w:r w:rsidRPr="00D13792">
        <w:rPr>
          <w:rFonts w:eastAsia="Batang" w:cs="Times"/>
          <w:i/>
          <w:lang w:val="es-CR"/>
        </w:rPr>
        <w:t>web</w:t>
      </w:r>
      <w:r w:rsidRPr="00D13792">
        <w:rPr>
          <w:rFonts w:eastAsia="Batang" w:cs="Times"/>
          <w:lang w:val="es-CR"/>
        </w:rPr>
        <w:t xml:space="preserve"> oficial del Estado</w:t>
      </w:r>
      <w:r w:rsidRPr="00D13792">
        <w:rPr>
          <w:rFonts w:eastAsia="Batang" w:cs="Times"/>
          <w:spacing w:val="-2"/>
          <w:lang w:val="es-CR"/>
        </w:rPr>
        <w:t>. El Estado deberá realizar l</w:t>
      </w:r>
      <w:r w:rsidRPr="00D13792">
        <w:rPr>
          <w:rFonts w:eastAsia="Times" w:cs="Times"/>
          <w:lang w:val="es-CR" w:eastAsia="es-MX"/>
        </w:rPr>
        <w:t>a traducción del resumen oficial y la Sentencias y estas deberán contar con el aval de los representantes antes de ser publicada</w:t>
      </w:r>
      <w:r w:rsidRPr="00D13792">
        <w:rPr>
          <w:rFonts w:eastAsia="Times" w:cs="Times"/>
          <w:vertAlign w:val="superscript"/>
          <w:lang w:val="es-CR" w:eastAsia="es-MX"/>
        </w:rPr>
        <w:footnoteReference w:id="364"/>
      </w:r>
      <w:r w:rsidRPr="00D13792">
        <w:rPr>
          <w:rFonts w:eastAsia="Times" w:cs="Times"/>
          <w:lang w:val="es-CR" w:eastAsia="es-MX"/>
        </w:rPr>
        <w:t xml:space="preserve">. </w:t>
      </w:r>
      <w:r w:rsidRPr="00D13792">
        <w:rPr>
          <w:rFonts w:cs="Times"/>
          <w:lang w:val="es-CR" w:eastAsia="es-MX"/>
        </w:rPr>
        <w:t xml:space="preserve">El </w:t>
      </w:r>
      <w:r w:rsidRPr="00D13792">
        <w:rPr>
          <w:lang w:val="es-CR"/>
        </w:rPr>
        <w:t>Estado deberá informar de forma inmediata a esta Corte una vez que proceda a realizar cada una de las publicaciones dispuestas, independientemente del plazo de un año para presentar su primer informe dispuesto en el punto resolutivo 28 de la Sentencia.</w:t>
      </w:r>
    </w:p>
    <w:p w:rsidR="006A0E1C" w:rsidRPr="00D13792" w:rsidRDefault="006A0E1C" w:rsidP="006A0E1C">
      <w:pPr>
        <w:tabs>
          <w:tab w:val="left" w:pos="-709"/>
          <w:tab w:val="left" w:pos="0"/>
          <w:tab w:val="left" w:pos="1440"/>
          <w:tab w:val="left" w:pos="2880"/>
          <w:tab w:val="left" w:pos="3600"/>
          <w:tab w:val="left" w:pos="4320"/>
          <w:tab w:val="left" w:pos="5760"/>
          <w:tab w:val="left" w:pos="6480"/>
          <w:tab w:val="left" w:pos="7200"/>
          <w:tab w:val="left" w:pos="7920"/>
        </w:tabs>
        <w:autoSpaceDE w:val="0"/>
        <w:autoSpaceDN w:val="0"/>
        <w:spacing w:line="240" w:lineRule="auto"/>
        <w:ind w:left="-720" w:right="-138"/>
        <w:textAlignment w:val="auto"/>
        <w:rPr>
          <w:rFonts w:eastAsia="Batang" w:cs="Times"/>
          <w:spacing w:val="-2"/>
          <w:sz w:val="20"/>
          <w:szCs w:val="20"/>
          <w:lang w:eastAsia="en-US"/>
        </w:rPr>
      </w:pPr>
    </w:p>
    <w:p w:rsidR="006A0E1C" w:rsidRPr="00D13792" w:rsidRDefault="006A0E1C" w:rsidP="006A0E1C">
      <w:pPr>
        <w:pStyle w:val="Heading2"/>
        <w:tabs>
          <w:tab w:val="clear" w:pos="720"/>
        </w:tabs>
        <w:rPr>
          <w:rFonts w:eastAsia="Calibri"/>
          <w:lang w:val="es-CR"/>
        </w:rPr>
      </w:pPr>
      <w:bookmarkStart w:id="266" w:name="_Toc469670072"/>
      <w:r w:rsidRPr="00D13792">
        <w:rPr>
          <w:rFonts w:eastAsia="Calibri"/>
          <w:lang w:val="es-CR"/>
        </w:rPr>
        <w:t>D.4. Garantías de no repetición</w:t>
      </w:r>
      <w:bookmarkEnd w:id="266"/>
    </w:p>
    <w:p w:rsidR="006A0E1C" w:rsidRPr="00D13792" w:rsidRDefault="006A0E1C" w:rsidP="006A0E1C">
      <w:pPr>
        <w:widowControl/>
        <w:tabs>
          <w:tab w:val="left" w:pos="720"/>
        </w:tabs>
        <w:adjustRightInd/>
        <w:spacing w:line="240" w:lineRule="auto"/>
        <w:textAlignment w:val="auto"/>
        <w:rPr>
          <w:bCs/>
          <w:sz w:val="20"/>
          <w:szCs w:val="20"/>
          <w:lang w:eastAsia="en-US"/>
        </w:rPr>
      </w:pPr>
    </w:p>
    <w:p w:rsidR="006A0E1C" w:rsidRPr="00D13792" w:rsidRDefault="006A0E1C" w:rsidP="006A0E1C">
      <w:pPr>
        <w:pStyle w:val="Heading2"/>
        <w:tabs>
          <w:tab w:val="clear" w:pos="720"/>
        </w:tabs>
        <w:rPr>
          <w:rFonts w:eastAsia="Calibri"/>
          <w:b w:val="0"/>
          <w:i w:val="0"/>
          <w:lang w:val="es-CR"/>
        </w:rPr>
      </w:pPr>
      <w:bookmarkStart w:id="267" w:name="_Toc469670073"/>
      <w:r w:rsidRPr="00D13792">
        <w:rPr>
          <w:rFonts w:eastAsia="Calibri"/>
          <w:lang w:val="es-CR"/>
        </w:rPr>
        <w:t>D.4.1. Formación de los miembros del Ejército de Guatemala</w:t>
      </w:r>
      <w:bookmarkEnd w:id="267"/>
    </w:p>
    <w:p w:rsidR="006A0E1C" w:rsidRPr="00D13792" w:rsidRDefault="006A0E1C" w:rsidP="006A0E1C">
      <w:pPr>
        <w:widowControl/>
        <w:tabs>
          <w:tab w:val="left" w:pos="720"/>
        </w:tabs>
        <w:adjustRightInd/>
        <w:spacing w:line="240" w:lineRule="auto"/>
        <w:textAlignment w:val="auto"/>
        <w:rPr>
          <w:rFonts w:eastAsia="Batang" w:cs="Times"/>
          <w:sz w:val="16"/>
          <w:szCs w:val="20"/>
          <w:lang w:eastAsia="en-US"/>
        </w:rPr>
      </w:pPr>
    </w:p>
    <w:p w:rsidR="006A0E1C" w:rsidRPr="00D13792" w:rsidRDefault="006A0E1C" w:rsidP="006A0E1C">
      <w:pPr>
        <w:pStyle w:val="Heading2"/>
        <w:tabs>
          <w:tab w:val="clear" w:pos="720"/>
        </w:tabs>
        <w:rPr>
          <w:rFonts w:eastAsia="Batang" w:cs="Times"/>
          <w:sz w:val="16"/>
          <w:lang w:val="es-CR" w:eastAsia="en-US"/>
        </w:rPr>
      </w:pPr>
    </w:p>
    <w:p w:rsidR="006A0E1C" w:rsidRPr="00D13792" w:rsidRDefault="006A0E1C" w:rsidP="006A0E1C">
      <w:pPr>
        <w:pStyle w:val="Prrafodelista2"/>
        <w:numPr>
          <w:ilvl w:val="0"/>
          <w:numId w:val="23"/>
        </w:numPr>
        <w:tabs>
          <w:tab w:val="left" w:pos="720"/>
        </w:tabs>
        <w:ind w:right="-90"/>
        <w:jc w:val="both"/>
        <w:rPr>
          <w:rFonts w:eastAsia="Batang" w:cs="Arial"/>
          <w:lang w:val="es-CR"/>
        </w:rPr>
      </w:pPr>
      <w:r w:rsidRPr="00D13792">
        <w:rPr>
          <w:rFonts w:cs="Times"/>
          <w:lang w:val="es-CR"/>
        </w:rPr>
        <w:t xml:space="preserve">La </w:t>
      </w:r>
      <w:r w:rsidRPr="00D13792">
        <w:rPr>
          <w:rFonts w:cs="Times"/>
          <w:b/>
          <w:i/>
          <w:lang w:val="es-CR"/>
        </w:rPr>
        <w:t>Comisión</w:t>
      </w:r>
      <w:r w:rsidRPr="00D13792">
        <w:rPr>
          <w:rFonts w:cs="Times"/>
          <w:lang w:val="es-CR"/>
        </w:rPr>
        <w:t xml:space="preserve"> solicitó a la Corte que ordene al Estado </w:t>
      </w:r>
      <w:r w:rsidRPr="00D13792">
        <w:rPr>
          <w:rFonts w:eastAsia="Batang" w:cs="Arial"/>
          <w:lang w:val="es-CR"/>
        </w:rPr>
        <w:t xml:space="preserve">implementar programas permanentes de derechos humanos y derecho internacional humanitario en las escuelas de formación de las Fuerzas Armadas. Los </w:t>
      </w:r>
      <w:r w:rsidRPr="00D13792">
        <w:rPr>
          <w:rFonts w:eastAsia="Batang" w:cs="Arial"/>
          <w:b/>
          <w:i/>
          <w:lang w:val="es-CR"/>
        </w:rPr>
        <w:t>representantes</w:t>
      </w:r>
      <w:r w:rsidRPr="00D13792">
        <w:rPr>
          <w:rFonts w:eastAsia="Batang" w:cs="Arial"/>
          <w:lang w:val="es-CR"/>
        </w:rPr>
        <w:t xml:space="preserve"> no se refirieron a este punto en su </w:t>
      </w:r>
      <w:r w:rsidRPr="00D13792">
        <w:rPr>
          <w:rFonts w:eastAsia="Calibri" w:cs="Calibri"/>
          <w:lang w:val="es-CR"/>
        </w:rPr>
        <w:t>escrito</w:t>
      </w:r>
      <w:r w:rsidRPr="00D13792">
        <w:rPr>
          <w:rFonts w:eastAsia="Batang" w:cs="Arial"/>
          <w:lang w:val="es-CR"/>
        </w:rPr>
        <w:t xml:space="preserve"> de solicitudes y argumentos</w:t>
      </w:r>
      <w:r w:rsidRPr="00D13792">
        <w:rPr>
          <w:rFonts w:eastAsia="Batang" w:cs="Arial"/>
          <w:vertAlign w:val="superscript"/>
          <w:lang w:val="es-CR"/>
        </w:rPr>
        <w:footnoteReference w:id="365"/>
      </w:r>
      <w:r w:rsidRPr="00D13792">
        <w:rPr>
          <w:rFonts w:eastAsia="Batang" w:cs="Arial"/>
          <w:lang w:val="es-CR"/>
        </w:rPr>
        <w:t xml:space="preserve">. </w:t>
      </w:r>
    </w:p>
    <w:p w:rsidR="006A0E1C" w:rsidRPr="00D13792" w:rsidRDefault="006A0E1C" w:rsidP="006A0E1C">
      <w:pPr>
        <w:tabs>
          <w:tab w:val="left" w:pos="0"/>
          <w:tab w:val="left" w:pos="720"/>
          <w:tab w:val="left" w:pos="2880"/>
          <w:tab w:val="left" w:pos="3600"/>
          <w:tab w:val="left" w:pos="4320"/>
          <w:tab w:val="left" w:pos="5760"/>
          <w:tab w:val="left" w:pos="6480"/>
          <w:tab w:val="left" w:pos="7200"/>
          <w:tab w:val="left" w:pos="7920"/>
        </w:tabs>
        <w:adjustRightInd/>
        <w:spacing w:line="240" w:lineRule="auto"/>
        <w:textAlignment w:val="auto"/>
        <w:rPr>
          <w:rFonts w:eastAsia="MS Mincho"/>
          <w:sz w:val="20"/>
          <w:szCs w:val="20"/>
          <w:lang w:eastAsia="en-US"/>
        </w:rPr>
      </w:pPr>
    </w:p>
    <w:p w:rsidR="006A0E1C" w:rsidRPr="00D13792" w:rsidRDefault="006A0E1C" w:rsidP="006A0E1C">
      <w:pPr>
        <w:pStyle w:val="Prrafodelista2"/>
        <w:numPr>
          <w:ilvl w:val="0"/>
          <w:numId w:val="23"/>
        </w:numPr>
        <w:tabs>
          <w:tab w:val="left" w:pos="720"/>
        </w:tabs>
        <w:ind w:right="-90"/>
        <w:jc w:val="both"/>
        <w:rPr>
          <w:lang w:val="es-CR"/>
        </w:rPr>
      </w:pPr>
      <w:r w:rsidRPr="00D13792">
        <w:rPr>
          <w:lang w:val="es-CR"/>
        </w:rPr>
        <w:t xml:space="preserve">El </w:t>
      </w:r>
      <w:r w:rsidRPr="00D13792">
        <w:rPr>
          <w:b/>
          <w:i/>
          <w:lang w:val="es-CR"/>
        </w:rPr>
        <w:t>Estado</w:t>
      </w:r>
      <w:r w:rsidRPr="00D13792">
        <w:rPr>
          <w:lang w:val="es-CR"/>
        </w:rPr>
        <w:t xml:space="preserve"> señaló que </w:t>
      </w:r>
      <w:r w:rsidRPr="00D13792">
        <w:rPr>
          <w:rFonts w:eastAsia="Calibri"/>
          <w:lang w:val="es-CR"/>
        </w:rPr>
        <w:t>el Ministerio de la Defensa Nacional de Guatemala es miembro de la Conferencia de</w:t>
      </w:r>
      <w:r w:rsidRPr="00D13792">
        <w:rPr>
          <w:lang w:val="es-CR"/>
        </w:rPr>
        <w:t xml:space="preserve"> </w:t>
      </w:r>
      <w:r w:rsidRPr="00D13792">
        <w:rPr>
          <w:rFonts w:eastAsia="Calibri"/>
          <w:lang w:val="es-CR"/>
        </w:rPr>
        <w:t xml:space="preserve">Fuerzas Armadas Centroamericanas (CFAC), </w:t>
      </w:r>
      <w:r w:rsidRPr="00D13792">
        <w:rPr>
          <w:rFonts w:eastAsia="Batang" w:cs="Times"/>
          <w:spacing w:val="-2"/>
          <w:lang w:val="es-CR"/>
        </w:rPr>
        <w:t>creada</w:t>
      </w:r>
      <w:r w:rsidRPr="00D13792">
        <w:rPr>
          <w:rFonts w:eastAsia="Calibri"/>
          <w:lang w:val="es-CR"/>
        </w:rPr>
        <w:t xml:space="preserve"> en 1997 mediante un</w:t>
      </w:r>
      <w:r w:rsidRPr="00D13792">
        <w:rPr>
          <w:lang w:val="es-CR"/>
        </w:rPr>
        <w:t xml:space="preserve"> </w:t>
      </w:r>
      <w:r w:rsidRPr="00D13792">
        <w:rPr>
          <w:rFonts w:eastAsia="Calibri"/>
          <w:lang w:val="es-CR"/>
        </w:rPr>
        <w:t>Acuerdo Presidencial de los Presidentes de Guatemala, El Salvador, Honduras y Nicaragua,</w:t>
      </w:r>
      <w:r w:rsidRPr="00D13792">
        <w:rPr>
          <w:lang w:val="es-CR"/>
        </w:rPr>
        <w:t xml:space="preserve"> </w:t>
      </w:r>
      <w:r w:rsidRPr="00D13792">
        <w:rPr>
          <w:rFonts w:eastAsia="Calibri"/>
          <w:lang w:val="es-CR"/>
        </w:rPr>
        <w:t xml:space="preserve">como un organismo internacional de carácter militar. La CFAC participa en la Escuela de Graduados en Derechos Humanos y Derecho Internacional Humanitario (EGDHDIH), que es una </w:t>
      </w:r>
      <w:r w:rsidRPr="00D13792">
        <w:rPr>
          <w:rFonts w:eastAsia="Calibri" w:cs="Calibri"/>
          <w:lang w:val="es-CR"/>
        </w:rPr>
        <w:t>dependencia</w:t>
      </w:r>
      <w:r w:rsidRPr="00D13792">
        <w:rPr>
          <w:rFonts w:eastAsia="Calibri"/>
          <w:lang w:val="es-CR"/>
        </w:rPr>
        <w:t xml:space="preserve"> de la Secretaría de Estado de las Fuerzas Armadas de la República Dominicana e imparte enseñanza en esta materia y, a su vez, el Ministerio de la Defensa Nacional de </w:t>
      </w:r>
      <w:r w:rsidRPr="00D13792">
        <w:rPr>
          <w:rFonts w:eastAsia="Calibri"/>
          <w:lang w:val="es-CR"/>
        </w:rPr>
        <w:lastRenderedPageBreak/>
        <w:t>Guatemala, como miembro de la CFAC, participa en esta Escuela. También mencionó la participación de “integrantes del Curso Superior de Guerra del Ejército de Guatemala”, de la Escuela Politécnica del Ejército de Guatemala y de oficiales superiores del Comando Superior de Educación del Ejército, en cursos de derechos humanos y derecho humanitario.</w:t>
      </w:r>
      <w:r w:rsidRPr="00D13792">
        <w:rPr>
          <w:rFonts w:eastAsia="Calibri"/>
          <w:b/>
          <w:lang w:val="es-CR"/>
        </w:rPr>
        <w:t xml:space="preserve"> </w:t>
      </w:r>
      <w:r w:rsidRPr="00D13792">
        <w:rPr>
          <w:rFonts w:eastAsia="Calibri"/>
          <w:lang w:val="es-CR"/>
        </w:rPr>
        <w:t xml:space="preserve">Asimismo, en sus alegatos finales escritos, señaló que “[p]ersonal del Comité de la Cruz Roja, en coordinación con la Dirección General de Derechos Humanos y Derecho Internacional Humanitario del Ministerio de la Defensa Nacional”, desarrollan un taller dirigido a oficiales que ejercen mando en el Ejército. </w:t>
      </w:r>
    </w:p>
    <w:p w:rsidR="006A0E1C" w:rsidRPr="00D13792" w:rsidRDefault="006A0E1C" w:rsidP="006A0E1C">
      <w:pPr>
        <w:widowControl/>
        <w:tabs>
          <w:tab w:val="left" w:pos="720"/>
        </w:tabs>
        <w:adjustRightInd/>
        <w:spacing w:line="240" w:lineRule="auto"/>
        <w:textAlignment w:val="auto"/>
        <w:rPr>
          <w:rFonts w:eastAsia="Times"/>
          <w:sz w:val="20"/>
          <w:szCs w:val="20"/>
          <w:lang w:eastAsia="en-US"/>
        </w:rPr>
      </w:pPr>
    </w:p>
    <w:p w:rsidR="006A0E1C" w:rsidRPr="00D13792" w:rsidRDefault="006A0E1C" w:rsidP="006A0E1C">
      <w:pPr>
        <w:pStyle w:val="Prrafodelista2"/>
        <w:numPr>
          <w:ilvl w:val="0"/>
          <w:numId w:val="23"/>
        </w:numPr>
        <w:tabs>
          <w:tab w:val="left" w:pos="720"/>
        </w:tabs>
        <w:ind w:right="-90"/>
        <w:jc w:val="both"/>
        <w:rPr>
          <w:lang w:val="es-CR"/>
        </w:rPr>
      </w:pPr>
      <w:r w:rsidRPr="00D13792">
        <w:rPr>
          <w:rFonts w:cs="Verdana"/>
          <w:lang w:val="es-CR"/>
        </w:rPr>
        <w:t xml:space="preserve">En este caso, las graves violaciones de los derechos humanos determinadas por el Tribunal fueron perpetradas por el </w:t>
      </w:r>
      <w:r w:rsidRPr="00D13792">
        <w:rPr>
          <w:lang w:val="es-CR"/>
        </w:rPr>
        <w:t xml:space="preserve">Ejército de Guatemala y otros </w:t>
      </w:r>
      <w:r w:rsidRPr="00D13792">
        <w:rPr>
          <w:rFonts w:cs="Verdana"/>
          <w:lang w:val="es-CR"/>
        </w:rPr>
        <w:t>miembros de las fuerzas de seguridad del Estado (</w:t>
      </w:r>
      <w:r w:rsidRPr="00D13792">
        <w:rPr>
          <w:rFonts w:cs="Verdana"/>
          <w:i/>
          <w:lang w:val="es-CR"/>
        </w:rPr>
        <w:t>supra</w:t>
      </w:r>
      <w:r w:rsidRPr="00D13792">
        <w:rPr>
          <w:rFonts w:cs="Verdana"/>
          <w:lang w:val="es-CR"/>
        </w:rPr>
        <w:t xml:space="preserve"> párrs. 148 y 160). Al respecto, la </w:t>
      </w:r>
      <w:r w:rsidRPr="00D13792">
        <w:rPr>
          <w:rFonts w:cs="Verdana"/>
          <w:b/>
          <w:i/>
          <w:lang w:val="es-CR"/>
        </w:rPr>
        <w:t>Corte</w:t>
      </w:r>
      <w:r w:rsidRPr="00D13792">
        <w:rPr>
          <w:rFonts w:cs="Verdana"/>
          <w:lang w:val="es-CR"/>
        </w:rPr>
        <w:t xml:space="preserve"> estima pertinente recordar que la eficacia e </w:t>
      </w:r>
      <w:r w:rsidRPr="00D13792">
        <w:rPr>
          <w:rFonts w:eastAsia="Batang" w:cs="Times"/>
          <w:spacing w:val="-2"/>
          <w:lang w:val="es-CR"/>
        </w:rPr>
        <w:t>impacto</w:t>
      </w:r>
      <w:r w:rsidRPr="00D13792">
        <w:rPr>
          <w:rFonts w:cs="Verdana"/>
          <w:lang w:val="es-CR"/>
        </w:rPr>
        <w:t xml:space="preserve"> de la </w:t>
      </w:r>
      <w:r w:rsidRPr="00D13792">
        <w:rPr>
          <w:rFonts w:eastAsia="Calibri" w:cs="Calibri"/>
          <w:lang w:val="es-CR"/>
        </w:rPr>
        <w:t>implementación</w:t>
      </w:r>
      <w:r w:rsidRPr="00D13792">
        <w:rPr>
          <w:rFonts w:cs="Verdana"/>
          <w:lang w:val="es-CR"/>
        </w:rPr>
        <w:t xml:space="preserve"> de los programas de educación en derechos humanos en el seno de las </w:t>
      </w:r>
      <w:r w:rsidRPr="00D13792">
        <w:rPr>
          <w:lang w:val="es-CR"/>
        </w:rPr>
        <w:t>fuerzas</w:t>
      </w:r>
      <w:r w:rsidRPr="00D13792">
        <w:rPr>
          <w:rFonts w:cs="Verdana"/>
          <w:lang w:val="es-CR"/>
        </w:rPr>
        <w:t xml:space="preserve"> de seguridad es crucial para generar garantías de no repetición de hechos como los del presente caso</w:t>
      </w:r>
      <w:r w:rsidRPr="00D13792">
        <w:rPr>
          <w:lang w:val="es-CR"/>
        </w:rPr>
        <w:t xml:space="preserve">. Tales </w:t>
      </w:r>
      <w:r w:rsidRPr="00D13792">
        <w:rPr>
          <w:rFonts w:eastAsia="Calibri"/>
          <w:lang w:val="es-CR"/>
        </w:rPr>
        <w:t>programas</w:t>
      </w:r>
      <w:r w:rsidRPr="00D13792">
        <w:rPr>
          <w:lang w:val="es-CR"/>
        </w:rPr>
        <w:t xml:space="preserve"> deben reflejarse en resultados de acción y prevención que acrediten su eficacia, más allá de que su evaluación deba realizarse a través de indicadores adecuados</w:t>
      </w:r>
      <w:r w:rsidRPr="00D13792">
        <w:rPr>
          <w:rFonts w:eastAsia="Batang" w:cs="Times"/>
          <w:vertAlign w:val="superscript"/>
          <w:lang w:val="es-CR"/>
        </w:rPr>
        <w:footnoteReference w:id="366"/>
      </w:r>
      <w:r w:rsidRPr="00D13792">
        <w:rPr>
          <w:lang w:val="es-CR"/>
        </w:rPr>
        <w:t>.</w:t>
      </w:r>
    </w:p>
    <w:p w:rsidR="006A0E1C" w:rsidRPr="00D13792" w:rsidRDefault="006A0E1C" w:rsidP="006A0E1C">
      <w:pPr>
        <w:tabs>
          <w:tab w:val="left" w:pos="-709"/>
          <w:tab w:val="left" w:pos="0"/>
          <w:tab w:val="left" w:pos="1440"/>
          <w:tab w:val="left" w:pos="2880"/>
          <w:tab w:val="left" w:pos="3600"/>
          <w:tab w:val="left" w:pos="4320"/>
          <w:tab w:val="left" w:pos="5760"/>
          <w:tab w:val="left" w:pos="6480"/>
          <w:tab w:val="left" w:pos="7200"/>
          <w:tab w:val="left" w:pos="7920"/>
        </w:tabs>
        <w:autoSpaceDE w:val="0"/>
        <w:autoSpaceDN w:val="0"/>
        <w:spacing w:line="240" w:lineRule="auto"/>
        <w:ind w:left="-720" w:right="-138"/>
        <w:textAlignment w:val="auto"/>
        <w:rPr>
          <w:rFonts w:eastAsia="Times"/>
          <w:sz w:val="16"/>
          <w:szCs w:val="20"/>
          <w:lang w:eastAsia="en-US"/>
        </w:rPr>
      </w:pPr>
    </w:p>
    <w:p w:rsidR="006A0E1C" w:rsidRPr="00D13792" w:rsidRDefault="006A0E1C" w:rsidP="006A0E1C">
      <w:pPr>
        <w:pStyle w:val="Prrafodelista2"/>
        <w:numPr>
          <w:ilvl w:val="0"/>
          <w:numId w:val="23"/>
        </w:numPr>
        <w:tabs>
          <w:tab w:val="left" w:pos="720"/>
        </w:tabs>
        <w:ind w:right="-90"/>
        <w:jc w:val="both"/>
        <w:rPr>
          <w:lang w:val="es-CR"/>
        </w:rPr>
      </w:pPr>
      <w:r w:rsidRPr="00D13792">
        <w:rPr>
          <w:lang w:val="es-CR"/>
        </w:rPr>
        <w:t>En el presente caso, el Estado informó sobre los cursos que estarían recibiendo miembros del Ejército de Guatemala; sin embargo, no presentó documentación que sustente lo informado, que establezca la permanencia de los cursos mencionados o que indique cuántos integrantes de sus fuerzas reciben dicha capacitación. Por tanto, la Corte ordena al Estado incluir formación en derechos humanos y derecho internacional humanitario de forma permanente en el pensum de los diferencies centros de formación, profesionalización vocacional y capacitación de todas las ramas del Ejército de Guatemala. Dicha capacitación debe ser implementada en el plazo de un año y dirigida a todos los niveles jerárquicos del Ejército de Guatemala e incorporar la necesidad de erradicar la discriminación racial y étnica, los estereotipos raciales y étnicos, y la violencia contra los pueblos indígenas, a la luz de la normativa internacional en la materia y</w:t>
      </w:r>
      <w:r w:rsidRPr="00D13792">
        <w:rPr>
          <w:b/>
          <w:lang w:val="es-CR"/>
        </w:rPr>
        <w:t xml:space="preserve"> </w:t>
      </w:r>
      <w:r w:rsidRPr="00D13792">
        <w:rPr>
          <w:lang w:val="es-CR"/>
        </w:rPr>
        <w:t xml:space="preserve">la jurisprudencia de la Corte sobre graves violaciones a los derechos humanos, particularmente en casos guatemaltecos. </w:t>
      </w:r>
    </w:p>
    <w:p w:rsidR="006A0E1C" w:rsidRPr="00D13792" w:rsidRDefault="006A0E1C" w:rsidP="006A0E1C">
      <w:pPr>
        <w:widowControl/>
        <w:adjustRightInd/>
        <w:spacing w:line="276" w:lineRule="auto"/>
        <w:ind w:left="-720"/>
        <w:contextualSpacing/>
        <w:jc w:val="left"/>
        <w:textAlignment w:val="auto"/>
        <w:rPr>
          <w:rFonts w:eastAsia="MS Mincho"/>
          <w:b/>
          <w:sz w:val="16"/>
          <w:szCs w:val="16"/>
          <w:lang w:eastAsia="en-US"/>
        </w:rPr>
      </w:pPr>
    </w:p>
    <w:p w:rsidR="006A0E1C" w:rsidRPr="00D13792" w:rsidRDefault="006A0E1C" w:rsidP="006A0E1C">
      <w:pPr>
        <w:pStyle w:val="Heading2"/>
        <w:tabs>
          <w:tab w:val="clear" w:pos="720"/>
        </w:tabs>
        <w:rPr>
          <w:rFonts w:eastAsia="Calibri"/>
          <w:b w:val="0"/>
          <w:i w:val="0"/>
          <w:lang w:val="es-CR"/>
        </w:rPr>
      </w:pPr>
      <w:bookmarkStart w:id="268" w:name="_Toc469670074"/>
      <w:r w:rsidRPr="00D13792">
        <w:rPr>
          <w:rFonts w:eastAsia="Calibri"/>
          <w:lang w:val="es-CR"/>
        </w:rPr>
        <w:t>D.4.2. Fortalecimiento de la capacidad del poder judicial y del ministerio público de investigar los hechos y sancionar a los responsables</w:t>
      </w:r>
      <w:bookmarkEnd w:id="268"/>
      <w:r w:rsidRPr="00D13792">
        <w:rPr>
          <w:rFonts w:eastAsia="Calibri"/>
          <w:lang w:val="es-CR"/>
        </w:rPr>
        <w:t xml:space="preserve"> </w:t>
      </w:r>
    </w:p>
    <w:p w:rsidR="006A0E1C" w:rsidRPr="00D13792" w:rsidRDefault="006A0E1C" w:rsidP="006A0E1C">
      <w:pPr>
        <w:pStyle w:val="Prrafodelista2"/>
        <w:tabs>
          <w:tab w:val="left" w:pos="720"/>
        </w:tabs>
        <w:ind w:left="0" w:right="-90"/>
        <w:jc w:val="both"/>
        <w:rPr>
          <w:rFonts w:eastAsia="Batang" w:cs="Times"/>
          <w:sz w:val="16"/>
          <w:lang w:val="es-CR"/>
        </w:rPr>
      </w:pPr>
    </w:p>
    <w:p w:rsidR="006A0E1C" w:rsidRPr="00D13792" w:rsidRDefault="006A0E1C" w:rsidP="006A0E1C">
      <w:pPr>
        <w:pStyle w:val="Prrafodelista2"/>
        <w:numPr>
          <w:ilvl w:val="0"/>
          <w:numId w:val="23"/>
        </w:numPr>
        <w:tabs>
          <w:tab w:val="left" w:pos="720"/>
        </w:tabs>
        <w:ind w:right="-90"/>
        <w:jc w:val="both"/>
        <w:rPr>
          <w:rFonts w:eastAsia="Batang" w:cs="Times"/>
          <w:lang w:val="es-CR"/>
        </w:rPr>
      </w:pPr>
      <w:r w:rsidRPr="00D13792">
        <w:rPr>
          <w:rFonts w:eastAsia="Batang" w:cs="Times"/>
          <w:lang w:val="es-CR"/>
        </w:rPr>
        <w:t>La</w:t>
      </w:r>
      <w:r w:rsidRPr="00D13792">
        <w:rPr>
          <w:rFonts w:eastAsia="Batang" w:cs="Times"/>
          <w:b/>
          <w:lang w:val="es-CR"/>
        </w:rPr>
        <w:t xml:space="preserve"> </w:t>
      </w:r>
      <w:r w:rsidRPr="00D13792">
        <w:rPr>
          <w:rFonts w:eastAsia="Batang" w:cs="Times"/>
          <w:b/>
          <w:i/>
          <w:lang w:val="es-CR"/>
        </w:rPr>
        <w:t>Comisión</w:t>
      </w:r>
      <w:r w:rsidRPr="00D13792">
        <w:rPr>
          <w:rFonts w:eastAsia="Batang" w:cs="Times"/>
          <w:lang w:val="es-CR"/>
        </w:rPr>
        <w:t xml:space="preserve"> solicitó a la Corte que ordene al Estado fortalecer la capacidad del poder judicial de investigar de </w:t>
      </w:r>
      <w:r w:rsidRPr="00D13792">
        <w:rPr>
          <w:lang w:val="es-CR"/>
        </w:rPr>
        <w:t>forma</w:t>
      </w:r>
      <w:r w:rsidRPr="00D13792">
        <w:rPr>
          <w:rFonts w:eastAsia="Batang" w:cs="Times"/>
          <w:lang w:val="es-CR"/>
        </w:rPr>
        <w:t xml:space="preserve"> adecuada y eficiente los hechos y sancionar a los responsables incluso con los recursos materiales y técnicos necesarios para asegurar el</w:t>
      </w:r>
      <w:r w:rsidRPr="00D13792">
        <w:rPr>
          <w:rFonts w:cs="Times"/>
          <w:lang w:val="es-CR"/>
        </w:rPr>
        <w:t xml:space="preserve"> </w:t>
      </w:r>
      <w:r w:rsidRPr="00D13792">
        <w:rPr>
          <w:rFonts w:eastAsia="Batang" w:cs="Times"/>
          <w:lang w:val="es-CR"/>
        </w:rPr>
        <w:t>correcto desarrollo de los procesos. Los</w:t>
      </w:r>
      <w:r w:rsidRPr="00D13792">
        <w:rPr>
          <w:rFonts w:eastAsia="Batang" w:cs="Times"/>
          <w:b/>
          <w:lang w:val="es-CR"/>
        </w:rPr>
        <w:t xml:space="preserve"> </w:t>
      </w:r>
      <w:r w:rsidRPr="00D13792">
        <w:rPr>
          <w:rFonts w:eastAsia="Batang" w:cs="Times"/>
          <w:b/>
          <w:i/>
          <w:lang w:val="es-CR"/>
        </w:rPr>
        <w:t>representantes</w:t>
      </w:r>
      <w:r w:rsidRPr="00D13792">
        <w:rPr>
          <w:rFonts w:eastAsia="Batang" w:cs="Times"/>
          <w:lang w:val="es-CR"/>
        </w:rPr>
        <w:t xml:space="preserve"> no </w:t>
      </w:r>
      <w:r w:rsidRPr="00D13792">
        <w:rPr>
          <w:rFonts w:eastAsia="Calibri"/>
          <w:lang w:val="es-CR"/>
        </w:rPr>
        <w:t>se refirieron a este punto</w:t>
      </w:r>
      <w:r w:rsidRPr="00D13792">
        <w:rPr>
          <w:lang w:val="es-CR"/>
        </w:rPr>
        <w:t xml:space="preserve"> </w:t>
      </w:r>
      <w:r w:rsidRPr="00D13792">
        <w:rPr>
          <w:rFonts w:eastAsia="Calibri"/>
          <w:lang w:val="es-CR"/>
        </w:rPr>
        <w:t>en su escrito de solicitudes y argumentos</w:t>
      </w:r>
      <w:r w:rsidRPr="00D13792">
        <w:rPr>
          <w:rStyle w:val="FootnoteReference"/>
          <w:rFonts w:eastAsia="Calibri"/>
          <w:lang w:val="es-CR"/>
        </w:rPr>
        <w:footnoteReference w:id="367"/>
      </w:r>
      <w:r w:rsidRPr="00D13792">
        <w:rPr>
          <w:rFonts w:eastAsia="Batang" w:cs="Times"/>
          <w:lang w:val="es-CR"/>
        </w:rPr>
        <w:t xml:space="preserve">. </w:t>
      </w:r>
    </w:p>
    <w:p w:rsidR="006A0E1C" w:rsidRPr="00D13792" w:rsidRDefault="006A0E1C" w:rsidP="006A0E1C">
      <w:pPr>
        <w:tabs>
          <w:tab w:val="left" w:pos="-709"/>
          <w:tab w:val="left" w:pos="0"/>
          <w:tab w:val="left" w:pos="1440"/>
          <w:tab w:val="left" w:pos="2880"/>
          <w:tab w:val="left" w:pos="3600"/>
          <w:tab w:val="left" w:pos="4320"/>
          <w:tab w:val="left" w:pos="5760"/>
          <w:tab w:val="left" w:pos="6480"/>
          <w:tab w:val="left" w:pos="7200"/>
          <w:tab w:val="left" w:pos="7920"/>
        </w:tabs>
        <w:autoSpaceDE w:val="0"/>
        <w:autoSpaceDN w:val="0"/>
        <w:spacing w:line="240" w:lineRule="auto"/>
        <w:ind w:left="-720" w:right="-138"/>
        <w:textAlignment w:val="auto"/>
        <w:rPr>
          <w:rFonts w:eastAsia="Batang" w:cs="Times"/>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Times"/>
          <w:lang w:val="es-CR"/>
        </w:rPr>
      </w:pPr>
      <w:r w:rsidRPr="00D13792">
        <w:rPr>
          <w:rFonts w:eastAsia="Batang" w:cs="Times"/>
          <w:lang w:val="es-CR"/>
        </w:rPr>
        <w:t>El</w:t>
      </w:r>
      <w:r w:rsidRPr="00D13792">
        <w:rPr>
          <w:rFonts w:eastAsia="Batang" w:cs="Times"/>
          <w:b/>
          <w:lang w:val="es-CR"/>
        </w:rPr>
        <w:t xml:space="preserve"> </w:t>
      </w:r>
      <w:r w:rsidRPr="00D13792">
        <w:rPr>
          <w:rFonts w:eastAsia="Batang" w:cs="Times"/>
          <w:b/>
          <w:i/>
          <w:lang w:val="es-CR"/>
        </w:rPr>
        <w:t>Estado</w:t>
      </w:r>
      <w:r w:rsidRPr="00D13792">
        <w:rPr>
          <w:rFonts w:eastAsia="Batang" w:cs="Times"/>
          <w:lang w:val="es-CR"/>
        </w:rPr>
        <w:t xml:space="preserve"> manifestó que </w:t>
      </w:r>
      <w:r w:rsidRPr="00D13792">
        <w:rPr>
          <w:rFonts w:eastAsia="Times" w:cs="Times"/>
          <w:lang w:val="es-CR" w:eastAsia="es-ES"/>
        </w:rPr>
        <w:t>cuenta</w:t>
      </w:r>
      <w:r w:rsidRPr="00D13792">
        <w:rPr>
          <w:rFonts w:eastAsia="Batang" w:cs="Times"/>
          <w:lang w:val="es-CR"/>
        </w:rPr>
        <w:t xml:space="preserve"> con el Instituto Nacional de Administración Pública (INAP) para la formación, capacitación, adiestramiento y </w:t>
      </w:r>
      <w:r w:rsidRPr="00D13792">
        <w:rPr>
          <w:rFonts w:eastAsia="Batang" w:cs="Times"/>
          <w:spacing w:val="-2"/>
          <w:lang w:val="es-CR"/>
        </w:rPr>
        <w:t>actualización</w:t>
      </w:r>
      <w:r w:rsidRPr="00D13792">
        <w:rPr>
          <w:rFonts w:eastAsia="Batang" w:cs="Times"/>
          <w:lang w:val="es-CR"/>
        </w:rPr>
        <w:t xml:space="preserve"> de los servidores públicos.</w:t>
      </w:r>
      <w:r w:rsidRPr="00D13792">
        <w:rPr>
          <w:rFonts w:eastAsia="Batang"/>
          <w:b/>
          <w:lang w:val="es-CR"/>
        </w:rPr>
        <w:t xml:space="preserve"> </w:t>
      </w:r>
      <w:r w:rsidRPr="00D13792">
        <w:rPr>
          <w:rFonts w:eastAsia="Batang" w:cs="Times"/>
          <w:lang w:val="es-CR"/>
        </w:rPr>
        <w:t xml:space="preserve">Para el fortalecimiento de capacidades específicamente en el sistema judicial, el Estado indicó que cuenta con la Unidad de Capacitación del Ministerio Público (UNICAP) y con la Escuela de Estudios Judiciales. Detalló los cursos impartidos por la UNICAP entre los años 2010 y 2014, en particular en materia de discriminación racial, étnica y de género, así como de estrategias de litigio en casos del enfrentamiento armado interno e inducción a los derechos humanos, entre otros. Por otro lado, detalló los niveles de formación dentro de la Escuela de Estudios Judiciales, </w:t>
      </w:r>
      <w:r w:rsidRPr="00D13792">
        <w:rPr>
          <w:rFonts w:eastAsia="Batang" w:cs="Times"/>
          <w:lang w:val="es-CR"/>
        </w:rPr>
        <w:lastRenderedPageBreak/>
        <w:t xml:space="preserve">y mencionó que esta ofrece diplomados en femicidio y otras formas de violencia contra la mujer. </w:t>
      </w:r>
    </w:p>
    <w:p w:rsidR="006A0E1C" w:rsidRPr="00D13792" w:rsidRDefault="006A0E1C" w:rsidP="006A0E1C">
      <w:pPr>
        <w:tabs>
          <w:tab w:val="left" w:pos="567"/>
        </w:tabs>
        <w:spacing w:line="240" w:lineRule="auto"/>
        <w:ind w:left="-709" w:right="6"/>
        <w:contextualSpacing/>
        <w:rPr>
          <w:rFonts w:eastAsia="Calibri"/>
          <w:sz w:val="16"/>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Times"/>
          <w:lang w:val="es-CR"/>
        </w:rPr>
      </w:pPr>
      <w:r w:rsidRPr="00D13792">
        <w:rPr>
          <w:rFonts w:eastAsia="Batang" w:cs="Times"/>
          <w:lang w:val="es-CR"/>
        </w:rPr>
        <w:t xml:space="preserve">En el presente caso, la </w:t>
      </w:r>
      <w:r w:rsidRPr="00D13792">
        <w:rPr>
          <w:rFonts w:eastAsia="Batang" w:cs="Times"/>
          <w:b/>
          <w:i/>
          <w:lang w:val="es-CR"/>
        </w:rPr>
        <w:t>Corte</w:t>
      </w:r>
      <w:r w:rsidRPr="00D13792">
        <w:rPr>
          <w:rFonts w:eastAsia="Batang" w:cs="Times"/>
          <w:lang w:val="es-CR"/>
        </w:rPr>
        <w:t xml:space="preserve"> estableció diversas faltas de debida diligencia y efectividad en la investigación de los hechos que han permitido que estos continúen en la impunidad, dentro de un contexto de impunidad generalizada por graves violaciones de derechos humanos cometidos durante el conflicto armado interno (</w:t>
      </w:r>
      <w:r w:rsidRPr="00D13792">
        <w:rPr>
          <w:rFonts w:eastAsia="Batang" w:cs="Times"/>
          <w:i/>
          <w:lang w:val="es-CR"/>
        </w:rPr>
        <w:t xml:space="preserve">supra </w:t>
      </w:r>
      <w:r w:rsidRPr="00D13792">
        <w:rPr>
          <w:rFonts w:eastAsia="Batang" w:cs="Times"/>
          <w:lang w:val="es-CR"/>
        </w:rPr>
        <w:t>párrs. 262 a 265). El Tribunal valora las medidas señaladas por el Estado a fin de capacitar a miembros del Ministerio Público y el Poder Judicial; sin embargo, advierte que el Estado no proporcionó documentación que permita establecer el alcance, la idoneidad y la permanencia de los cursos y programas de formación señalados, a fin de fortalecer la investigación de las graves violaciones de derechos humanos, particularmente aquellas cometidas durante el conflicto armado</w:t>
      </w:r>
      <w:r w:rsidRPr="00D13792">
        <w:rPr>
          <w:rFonts w:eastAsia="Batang" w:cs="Times"/>
          <w:vertAlign w:val="superscript"/>
          <w:lang w:val="es-CR"/>
        </w:rPr>
        <w:footnoteReference w:id="368"/>
      </w:r>
      <w:r w:rsidRPr="00D13792">
        <w:rPr>
          <w:rFonts w:eastAsia="Batang" w:cs="Times"/>
          <w:lang w:val="es-CR"/>
        </w:rPr>
        <w:t xml:space="preserve">. En particular, la Corte nota que el Estado no mencionó capacitaciones en este sentido dirigidas a miembros de Organismo Judicial. </w:t>
      </w:r>
    </w:p>
    <w:p w:rsidR="006A0E1C" w:rsidRPr="00D13792" w:rsidRDefault="006A0E1C" w:rsidP="006A0E1C">
      <w:pPr>
        <w:tabs>
          <w:tab w:val="left" w:pos="-709"/>
          <w:tab w:val="left" w:pos="0"/>
          <w:tab w:val="left" w:pos="1440"/>
          <w:tab w:val="left" w:pos="2880"/>
          <w:tab w:val="left" w:pos="3600"/>
          <w:tab w:val="left" w:pos="4320"/>
          <w:tab w:val="left" w:pos="5760"/>
          <w:tab w:val="left" w:pos="6480"/>
          <w:tab w:val="left" w:pos="7200"/>
          <w:tab w:val="left" w:pos="7920"/>
        </w:tabs>
        <w:autoSpaceDE w:val="0"/>
        <w:autoSpaceDN w:val="0"/>
        <w:spacing w:line="240" w:lineRule="auto"/>
        <w:ind w:left="-720" w:right="-138"/>
        <w:textAlignment w:val="auto"/>
        <w:rPr>
          <w:rFonts w:eastAsia="Batang" w:cs="Times"/>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lang w:val="es-CR"/>
        </w:rPr>
      </w:pPr>
      <w:r w:rsidRPr="00D13792">
        <w:rPr>
          <w:rFonts w:eastAsia="Batang" w:cs="Verdana"/>
          <w:lang w:val="es-CR"/>
        </w:rPr>
        <w:t xml:space="preserve">En su Resolución de Supervisión de Cumplimiento de Sentencias emitidas en 12 casos guatemaltecos, de 24 de noviembre de </w:t>
      </w:r>
      <w:r w:rsidRPr="00D13792">
        <w:rPr>
          <w:lang w:val="es-CR"/>
        </w:rPr>
        <w:t>2015</w:t>
      </w:r>
      <w:r w:rsidRPr="00D13792">
        <w:rPr>
          <w:rFonts w:eastAsia="Batang"/>
          <w:vertAlign w:val="superscript"/>
          <w:lang w:val="es-CR"/>
        </w:rPr>
        <w:footnoteReference w:id="369"/>
      </w:r>
      <w:r w:rsidRPr="00D13792">
        <w:rPr>
          <w:rFonts w:eastAsia="Batang"/>
          <w:lang w:val="es-CR"/>
        </w:rPr>
        <w:t xml:space="preserve">, la Corte observó que mediante un Informe del Ministerio Público de mayo de 2014 se expuso que la Unidad de Casos Especiales del Conflicto Armado Interno “no cuenta con una partida presupuestaria especial para la contratación de personal suficiente u otros insumos para enfrentar el trabajo que […] representa los más de 3,500 a su cargo, los cuales además, incluyen multiplicidad de víctimas y son particularmente complejos”. Asimismo, en dicho Informe el Ministerio Público identificó diversas </w:t>
      </w:r>
      <w:r w:rsidRPr="00D13792">
        <w:rPr>
          <w:lang w:val="es-CR"/>
        </w:rPr>
        <w:t xml:space="preserve">“problemáticas estructurales” </w:t>
      </w:r>
      <w:r w:rsidRPr="00D13792">
        <w:rPr>
          <w:rFonts w:eastAsia="Batang"/>
          <w:lang w:val="es-CR"/>
        </w:rPr>
        <w:t xml:space="preserve">en el cumplimiento de la obligación de investigar, juzgar y, en su caso, sancionar a los responsables de las graves violaciones de derechos humanos ocurridas en Guatemala, en relación con los casos analizados en esa Resolución. También señaló que “propició capacitación en materia de derechos humanos a sus funcionarios, cursos en los que se incluyó el manejo de los instrumentos internacionales en dicha materia, derecho internacional humanitario, así como, el estudio de las sentencias dictadas por la Corte IDH, en contra […] de Guatemala y muchas otras que se consideraron importantes. Todo ello ha sido incorporado al pensum permanente de capacitación de la carrera fiscal”. </w:t>
      </w:r>
    </w:p>
    <w:p w:rsidR="006A0E1C" w:rsidRPr="00D13792" w:rsidRDefault="006A0E1C" w:rsidP="006A0E1C">
      <w:pPr>
        <w:tabs>
          <w:tab w:val="left" w:pos="-709"/>
          <w:tab w:val="left" w:pos="0"/>
          <w:tab w:val="left" w:pos="1440"/>
          <w:tab w:val="left" w:pos="2880"/>
          <w:tab w:val="left" w:pos="3600"/>
          <w:tab w:val="left" w:pos="4320"/>
          <w:tab w:val="left" w:pos="5760"/>
          <w:tab w:val="left" w:pos="6480"/>
          <w:tab w:val="left" w:pos="7200"/>
          <w:tab w:val="left" w:pos="7920"/>
        </w:tabs>
        <w:autoSpaceDE w:val="0"/>
        <w:autoSpaceDN w:val="0"/>
        <w:spacing w:line="240" w:lineRule="auto"/>
        <w:ind w:left="-720" w:right="-138"/>
        <w:textAlignment w:val="auto"/>
        <w:rPr>
          <w:rFonts w:eastAsia="Batang" w:cs="Verdana"/>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Verdana"/>
          <w:color w:val="7030A0"/>
          <w:lang w:val="es-CR"/>
        </w:rPr>
      </w:pPr>
      <w:r w:rsidRPr="00D13792">
        <w:rPr>
          <w:rFonts w:eastAsia="Batang" w:cs="Times"/>
          <w:lang w:val="es-CR"/>
        </w:rPr>
        <w:t>Ahora bien, esta Corte ya ordenó al Estado garantizar</w:t>
      </w:r>
      <w:r w:rsidRPr="00D13792">
        <w:rPr>
          <w:rFonts w:eastAsia="Batang" w:cs="Verdana"/>
          <w:lang w:val="es-CR"/>
        </w:rPr>
        <w:t xml:space="preserve"> que los distintos órganos del sistema de justicia involucrados en el caso deben </w:t>
      </w:r>
      <w:r w:rsidRPr="00D13792">
        <w:rPr>
          <w:rFonts w:eastAsia="Batang" w:cs="Times"/>
          <w:lang w:val="es-CR"/>
        </w:rPr>
        <w:t>contar</w:t>
      </w:r>
      <w:r w:rsidRPr="00D13792">
        <w:rPr>
          <w:rFonts w:eastAsia="Batang" w:cs="Verdana"/>
          <w:lang w:val="es-CR"/>
        </w:rPr>
        <w:t xml:space="preserve"> con los recursos humanos necesarios para desempeñar sus tareas de manera adecuada, independiente e imparcial </w:t>
      </w:r>
      <w:r w:rsidRPr="00D13792">
        <w:rPr>
          <w:rFonts w:eastAsia="Batang"/>
          <w:lang w:val="es-CR"/>
        </w:rPr>
        <w:t>(</w:t>
      </w:r>
      <w:r w:rsidRPr="00D13792">
        <w:rPr>
          <w:rFonts w:eastAsia="Batang"/>
          <w:i/>
          <w:lang w:val="es-CR"/>
        </w:rPr>
        <w:t>supra</w:t>
      </w:r>
      <w:r w:rsidRPr="00D13792">
        <w:rPr>
          <w:rFonts w:eastAsia="Batang"/>
          <w:lang w:val="es-CR"/>
        </w:rPr>
        <w:t xml:space="preserve"> párr. 285.d).</w:t>
      </w:r>
      <w:r w:rsidRPr="00D13792">
        <w:rPr>
          <w:rFonts w:eastAsia="Batang" w:cs="Verdana"/>
          <w:lang w:val="es-CR"/>
        </w:rPr>
        <w:t xml:space="preserve"> </w:t>
      </w:r>
      <w:r w:rsidRPr="00D13792">
        <w:rPr>
          <w:rFonts w:eastAsia="Batang" w:cs="Times"/>
          <w:lang w:val="es-CR"/>
        </w:rPr>
        <w:t>Por tanto, a la luz de lo expuesto, el Tribunal considera necesario que las entidades de formación de los miembros del Organismo Judicial y del Ministerio Público diseñen e implementen, en los pensum permanentes de las carreras judiciales y fiscales, respectivamente, programas de educación en derechos humanos y derecho internacional humanitario, si no los hubiere</w:t>
      </w:r>
      <w:r w:rsidRPr="00D13792">
        <w:rPr>
          <w:rFonts w:eastAsia="Batang" w:cs="Verdana"/>
          <w:lang w:val="es-CR"/>
        </w:rPr>
        <w:t xml:space="preserve">. Dichos programas deben </w:t>
      </w:r>
      <w:r w:rsidRPr="00D13792">
        <w:rPr>
          <w:lang w:val="es-CR"/>
        </w:rPr>
        <w:t xml:space="preserve">incorporar la necesidad de erradicar la discriminación racial y étnica, los estereotipos raciales y étnicos, y la violencia contra los pueblos indígenas, a la luz de la normativa internacional en la materia y la jurisprudencia de la Corte sobre graves violaciones a los derechos humanos y el acceso a la justicia de las víctimas, particularmente en casos guatemaltecos, y deben </w:t>
      </w:r>
      <w:r w:rsidRPr="00D13792">
        <w:rPr>
          <w:rFonts w:eastAsia="Batang" w:cs="Verdana"/>
          <w:lang w:val="es-CR"/>
        </w:rPr>
        <w:t xml:space="preserve">ser implementados en el plazo de un año, contado a partir de la notificación de esta Sentencia. </w:t>
      </w:r>
    </w:p>
    <w:p w:rsidR="006A0E1C" w:rsidRPr="00D13792" w:rsidRDefault="006A0E1C" w:rsidP="006A0E1C">
      <w:pPr>
        <w:tabs>
          <w:tab w:val="left" w:pos="-709"/>
          <w:tab w:val="left" w:pos="0"/>
          <w:tab w:val="left" w:pos="1440"/>
          <w:tab w:val="left" w:pos="2880"/>
          <w:tab w:val="left" w:pos="3600"/>
          <w:tab w:val="left" w:pos="4320"/>
          <w:tab w:val="left" w:pos="5760"/>
          <w:tab w:val="left" w:pos="6480"/>
          <w:tab w:val="left" w:pos="7200"/>
          <w:tab w:val="left" w:pos="7920"/>
        </w:tabs>
        <w:autoSpaceDE w:val="0"/>
        <w:autoSpaceDN w:val="0"/>
        <w:spacing w:line="240" w:lineRule="auto"/>
        <w:ind w:left="-720" w:right="-138"/>
        <w:textAlignment w:val="auto"/>
        <w:rPr>
          <w:rFonts w:eastAsia="Batang" w:cs="Verdana"/>
          <w:sz w:val="20"/>
          <w:szCs w:val="20"/>
          <w:lang w:eastAsia="en-US"/>
        </w:rPr>
      </w:pPr>
    </w:p>
    <w:p w:rsidR="006A0E1C" w:rsidRPr="00D13792" w:rsidRDefault="006A0E1C" w:rsidP="006A0E1C">
      <w:pPr>
        <w:pStyle w:val="Heading2"/>
        <w:tabs>
          <w:tab w:val="clear" w:pos="720"/>
        </w:tabs>
        <w:rPr>
          <w:rFonts w:eastAsia="Batang" w:cs="Verdana"/>
          <w:lang w:val="es-CR" w:eastAsia="en-US"/>
        </w:rPr>
      </w:pPr>
      <w:bookmarkStart w:id="269" w:name="_Toc469670075"/>
      <w:r w:rsidRPr="00D13792">
        <w:rPr>
          <w:rFonts w:eastAsia="Calibri"/>
          <w:lang w:val="es-CR"/>
        </w:rPr>
        <w:t>D.4.3. Programa educativo en materia de no discriminación</w:t>
      </w:r>
      <w:bookmarkEnd w:id="269"/>
    </w:p>
    <w:p w:rsidR="006A0E1C" w:rsidRPr="00D13792" w:rsidRDefault="006A0E1C" w:rsidP="006A0E1C">
      <w:pPr>
        <w:tabs>
          <w:tab w:val="left" w:pos="0"/>
          <w:tab w:val="left" w:pos="720"/>
          <w:tab w:val="left" w:pos="2880"/>
          <w:tab w:val="left" w:pos="3600"/>
          <w:tab w:val="left" w:pos="4320"/>
          <w:tab w:val="left" w:pos="5760"/>
          <w:tab w:val="left" w:pos="6480"/>
          <w:tab w:val="left" w:pos="7200"/>
          <w:tab w:val="left" w:pos="7920"/>
        </w:tabs>
        <w:autoSpaceDE w:val="0"/>
        <w:autoSpaceDN w:val="0"/>
        <w:spacing w:line="240" w:lineRule="auto"/>
        <w:ind w:right="-138"/>
        <w:textAlignment w:val="auto"/>
        <w:rPr>
          <w:rFonts w:eastAsia="Batang" w:cs="Verdana"/>
          <w:sz w:val="20"/>
          <w:szCs w:val="20"/>
          <w:lang w:eastAsia="en-US"/>
        </w:rPr>
      </w:pPr>
    </w:p>
    <w:p w:rsidR="006A0E1C" w:rsidRPr="00D13792" w:rsidRDefault="006A0E1C" w:rsidP="006A0E1C">
      <w:pPr>
        <w:pStyle w:val="Prrafodelista2"/>
        <w:numPr>
          <w:ilvl w:val="0"/>
          <w:numId w:val="23"/>
        </w:numPr>
        <w:tabs>
          <w:tab w:val="left" w:pos="720"/>
        </w:tabs>
        <w:ind w:right="-90"/>
        <w:jc w:val="both"/>
        <w:rPr>
          <w:lang w:val="es-CR"/>
        </w:rPr>
      </w:pPr>
      <w:r w:rsidRPr="00D13792">
        <w:rPr>
          <w:lang w:val="es-CR"/>
        </w:rPr>
        <w:t xml:space="preserve"> La </w:t>
      </w:r>
      <w:r w:rsidRPr="00D13792">
        <w:rPr>
          <w:b/>
          <w:i/>
          <w:lang w:val="es-CR"/>
        </w:rPr>
        <w:t>Comisión</w:t>
      </w:r>
      <w:r w:rsidRPr="00D13792">
        <w:rPr>
          <w:lang w:val="es-CR"/>
        </w:rPr>
        <w:t xml:space="preserve"> solicitó de manera general a la Corte que </w:t>
      </w:r>
      <w:r w:rsidRPr="00D13792">
        <w:rPr>
          <w:rFonts w:eastAsia="Calibri"/>
          <w:lang w:val="es-CR"/>
        </w:rPr>
        <w:t>adopte las medidas necesarias para evitar que en el futuro se produzcan hechos similares conforme al deber de prevención y garantía de los derechos humanos reconocidos en la Convención</w:t>
      </w:r>
      <w:r w:rsidRPr="00D13792">
        <w:rPr>
          <w:lang w:val="es-CR"/>
        </w:rPr>
        <w:t xml:space="preserve"> </w:t>
      </w:r>
      <w:r w:rsidRPr="00D13792">
        <w:rPr>
          <w:rFonts w:eastAsia="Calibri"/>
          <w:lang w:val="es-CR"/>
        </w:rPr>
        <w:t>Americana.</w:t>
      </w:r>
      <w:r w:rsidRPr="00D13792">
        <w:rPr>
          <w:lang w:val="es-CR"/>
        </w:rPr>
        <w:t xml:space="preserve"> La </w:t>
      </w:r>
      <w:r w:rsidRPr="00D13792">
        <w:rPr>
          <w:b/>
          <w:i/>
          <w:lang w:val="es-CR"/>
        </w:rPr>
        <w:t>Corte</w:t>
      </w:r>
      <w:r w:rsidRPr="00D13792">
        <w:rPr>
          <w:lang w:val="es-CR"/>
        </w:rPr>
        <w:t xml:space="preserve"> considera </w:t>
      </w:r>
      <w:r w:rsidRPr="00D13792">
        <w:rPr>
          <w:lang w:val="es-CR"/>
        </w:rPr>
        <w:lastRenderedPageBreak/>
        <w:t xml:space="preserve">necesario ordenar, como garantía de no repetición, que, en un plazo razonable, el Estado incorpore al currículo del Sistema Educativo Nacional, en todos sus niveles, un </w:t>
      </w:r>
      <w:r w:rsidRPr="00D13792">
        <w:rPr>
          <w:rFonts w:cs="Times"/>
          <w:lang w:val="es-CR"/>
        </w:rPr>
        <w:t>programa</w:t>
      </w:r>
      <w:r w:rsidRPr="00D13792">
        <w:rPr>
          <w:lang w:val="es-CR"/>
        </w:rPr>
        <w:t xml:space="preserve"> de educación cuyo contenido refleje la naturaleza pluricultural y multilingüe de la sociedad guatemalteca, impulsando el respeto y el conocimiento de las diversas culturas indígenas, incluyendo sus cosmovisiones, historias, lenguas, conocimientos, valores, culturas, prácticas y formas de vida. Dicho programa deberá hacer énfasis en la necesidad de erradicar la discriminación racial y étnica, los estereotipos raciales y étnicos, y la violencia contra los pueblos indígenas, a la luz de la normativa internacional</w:t>
      </w:r>
      <w:r w:rsidRPr="00D13792">
        <w:rPr>
          <w:rStyle w:val="FootnoteReference"/>
          <w:lang w:val="es-CR"/>
        </w:rPr>
        <w:footnoteReference w:id="370"/>
      </w:r>
      <w:r w:rsidRPr="00D13792">
        <w:rPr>
          <w:lang w:val="es-CR"/>
        </w:rPr>
        <w:t xml:space="preserve"> en la materia y la jurisprudencia de este Tribunal.</w:t>
      </w:r>
    </w:p>
    <w:p w:rsidR="006A0E1C" w:rsidRPr="00D13792" w:rsidRDefault="006A0E1C" w:rsidP="006A0E1C">
      <w:pPr>
        <w:pStyle w:val="Prrafodelista2"/>
        <w:tabs>
          <w:tab w:val="left" w:pos="720"/>
        </w:tabs>
        <w:ind w:left="0" w:right="-90"/>
        <w:jc w:val="both"/>
        <w:rPr>
          <w:rFonts w:eastAsia="Batang" w:cs="Verdana"/>
          <w:lang w:val="es-CR"/>
        </w:rPr>
      </w:pPr>
    </w:p>
    <w:p w:rsidR="006A0E1C" w:rsidRPr="00D13792" w:rsidRDefault="006A0E1C" w:rsidP="006A0E1C">
      <w:pPr>
        <w:pStyle w:val="Heading2"/>
        <w:tabs>
          <w:tab w:val="clear" w:pos="720"/>
        </w:tabs>
        <w:rPr>
          <w:rFonts w:eastAsia="Calibri"/>
          <w:b w:val="0"/>
          <w:i w:val="0"/>
          <w:lang w:val="es-CR"/>
        </w:rPr>
      </w:pPr>
      <w:bookmarkStart w:id="270" w:name="_Toc469670076"/>
      <w:r w:rsidRPr="00D13792">
        <w:rPr>
          <w:rFonts w:eastAsia="Calibri"/>
          <w:lang w:val="es-CR"/>
        </w:rPr>
        <w:t>D.4.4. Fortalecimiento de los mecanismos contra la discriminación racial y étnica</w:t>
      </w:r>
      <w:bookmarkEnd w:id="270"/>
    </w:p>
    <w:p w:rsidR="006A0E1C" w:rsidRPr="00D13792" w:rsidRDefault="006A0E1C" w:rsidP="006A0E1C">
      <w:pPr>
        <w:pStyle w:val="NoSpacing"/>
        <w:rPr>
          <w:szCs w:val="20"/>
          <w:lang w:val="es-CR"/>
        </w:rPr>
      </w:pPr>
    </w:p>
    <w:p w:rsidR="006A0E1C" w:rsidRPr="00D13792" w:rsidRDefault="006A0E1C" w:rsidP="006A0E1C">
      <w:pPr>
        <w:pStyle w:val="NoSpacing"/>
        <w:numPr>
          <w:ilvl w:val="0"/>
          <w:numId w:val="23"/>
        </w:numPr>
        <w:rPr>
          <w:szCs w:val="20"/>
          <w:lang w:val="es-CR"/>
        </w:rPr>
      </w:pPr>
      <w:r w:rsidRPr="00D13792">
        <w:rPr>
          <w:szCs w:val="20"/>
          <w:lang w:val="es-CR"/>
        </w:rPr>
        <w:t xml:space="preserve">La </w:t>
      </w:r>
      <w:r w:rsidRPr="00D13792">
        <w:rPr>
          <w:b/>
          <w:i/>
          <w:szCs w:val="20"/>
          <w:lang w:val="es-CR"/>
        </w:rPr>
        <w:t>Comisión</w:t>
      </w:r>
      <w:r w:rsidRPr="00D13792">
        <w:rPr>
          <w:szCs w:val="20"/>
          <w:lang w:val="es-CR"/>
        </w:rPr>
        <w:t xml:space="preserve"> solicitó a la Corte adoptar las medidas necesarias para evitar que en el futuro se produzcan hechos similares conforme al deber de prevención y garantía de los derechos humanos reconocidos en la Convención Americana. La </w:t>
      </w:r>
      <w:r w:rsidRPr="00D13792">
        <w:rPr>
          <w:b/>
          <w:i/>
          <w:szCs w:val="20"/>
          <w:lang w:val="es-CR"/>
        </w:rPr>
        <w:t xml:space="preserve">Corte </w:t>
      </w:r>
      <w:r w:rsidRPr="00D13792">
        <w:rPr>
          <w:szCs w:val="20"/>
          <w:lang w:val="es-CR"/>
        </w:rPr>
        <w:t xml:space="preserve">dispone, como garantía de no repetición y dados los gravísimos hechos contra indígenas maya achí descritos en la presente Sentencia, y ante la posibilidad de que persistan en la sociedad actitudes y sentimientos discriminatorios, que </w:t>
      </w:r>
      <w:r w:rsidRPr="00D13792">
        <w:rPr>
          <w:lang w:val="es-CR"/>
        </w:rPr>
        <w:t>en un plazo razonable,</w:t>
      </w:r>
      <w:r w:rsidRPr="00D13792">
        <w:rPr>
          <w:szCs w:val="20"/>
          <w:lang w:val="es-CR"/>
        </w:rPr>
        <w:t xml:space="preserve"> el Estado perfeccione y refuerce la lucha contra toda forma de discriminación y, en particular, contra la discriminación racial y étnica, fortaleciendo los organismos existentes o los que vaya a crear con ese objetivo. Esos organismos deberán contar con la participación directa de personas de los grupos vulnerables y se ocuparán también de promover la revaloración de las culturas originarias, difundiendo su historia y riqueza. Lo anterior, en aras de que las políticas públicas y acciones orientadas a erradicar los actos de discriminación racial sean efectivas y se garantice así, la igualdad, el reconocimiento, respeto y promoción de los derechos de los pueblos indígenas, desalentando de esta forma, las manifestaciones de discriminación racial y étnica en la sociedad guatemalteca.</w:t>
      </w:r>
    </w:p>
    <w:p w:rsidR="006A0E1C" w:rsidRPr="00D13792" w:rsidRDefault="006A0E1C" w:rsidP="006A0E1C">
      <w:pPr>
        <w:tabs>
          <w:tab w:val="left" w:pos="0"/>
          <w:tab w:val="left" w:pos="720"/>
          <w:tab w:val="left" w:pos="2880"/>
          <w:tab w:val="left" w:pos="3600"/>
          <w:tab w:val="left" w:pos="4320"/>
          <w:tab w:val="left" w:pos="5760"/>
          <w:tab w:val="left" w:pos="6480"/>
          <w:tab w:val="left" w:pos="7200"/>
          <w:tab w:val="left" w:pos="7920"/>
        </w:tabs>
        <w:autoSpaceDE w:val="0"/>
        <w:autoSpaceDN w:val="0"/>
        <w:spacing w:line="240" w:lineRule="auto"/>
        <w:ind w:right="-138"/>
        <w:textAlignment w:val="auto"/>
        <w:rPr>
          <w:rFonts w:eastAsia="Batang" w:cs="Verdana"/>
          <w:b/>
          <w:sz w:val="20"/>
          <w:szCs w:val="20"/>
          <w:lang w:eastAsia="en-US"/>
        </w:rPr>
      </w:pPr>
    </w:p>
    <w:p w:rsidR="006A0E1C" w:rsidRPr="00D13792" w:rsidRDefault="006A0E1C" w:rsidP="006A0E1C">
      <w:pPr>
        <w:pStyle w:val="Heading2"/>
        <w:rPr>
          <w:rFonts w:eastAsia="MS Mincho"/>
          <w:lang w:val="es-CR"/>
        </w:rPr>
      </w:pPr>
      <w:bookmarkStart w:id="271" w:name="_Toc469670077"/>
      <w:bookmarkEnd w:id="259"/>
      <w:r w:rsidRPr="00D13792">
        <w:rPr>
          <w:rFonts w:eastAsia="MS Mincho"/>
          <w:lang w:val="es-CR"/>
        </w:rPr>
        <w:t xml:space="preserve">E. </w:t>
      </w:r>
      <w:bookmarkStart w:id="272" w:name="_Toc337405900"/>
      <w:bookmarkStart w:id="273" w:name="_Toc302669949"/>
      <w:bookmarkStart w:id="274" w:name="_Toc300622811"/>
      <w:bookmarkStart w:id="275" w:name="_Toc297286430"/>
      <w:bookmarkStart w:id="276" w:name="_Toc293493460"/>
      <w:bookmarkStart w:id="277" w:name="_Toc455631240"/>
      <w:r w:rsidRPr="00D13792">
        <w:rPr>
          <w:rFonts w:eastAsia="MS Mincho"/>
          <w:lang w:val="es-CR"/>
        </w:rPr>
        <w:t>Indemnización Compensatoria</w:t>
      </w:r>
      <w:bookmarkEnd w:id="272"/>
      <w:bookmarkEnd w:id="273"/>
      <w:bookmarkEnd w:id="274"/>
      <w:bookmarkEnd w:id="275"/>
      <w:bookmarkEnd w:id="276"/>
      <w:r w:rsidRPr="00D13792">
        <w:rPr>
          <w:rFonts w:eastAsia="MS Mincho"/>
          <w:lang w:val="es-CR"/>
        </w:rPr>
        <w:t>: Daño material e inmaterial</w:t>
      </w:r>
      <w:bookmarkEnd w:id="271"/>
      <w:bookmarkEnd w:id="277"/>
    </w:p>
    <w:p w:rsidR="006A0E1C" w:rsidRPr="00D13792" w:rsidRDefault="006A0E1C" w:rsidP="006A0E1C">
      <w:pPr>
        <w:tabs>
          <w:tab w:val="left" w:pos="720"/>
        </w:tabs>
        <w:autoSpaceDE w:val="0"/>
        <w:autoSpaceDN w:val="0"/>
        <w:spacing w:line="240" w:lineRule="auto"/>
        <w:ind w:right="99"/>
        <w:textAlignment w:val="auto"/>
        <w:rPr>
          <w:rFonts w:eastAsia="Batang" w:cs="Verdana"/>
          <w:sz w:val="16"/>
          <w:szCs w:val="20"/>
          <w:lang w:eastAsia="en-US" w:bidi="en-US"/>
        </w:rPr>
      </w:pPr>
    </w:p>
    <w:p w:rsidR="006A0E1C" w:rsidRPr="00D13792" w:rsidRDefault="006A0E1C" w:rsidP="006A0E1C">
      <w:pPr>
        <w:pStyle w:val="Prrafodelista2"/>
        <w:numPr>
          <w:ilvl w:val="0"/>
          <w:numId w:val="23"/>
        </w:numPr>
        <w:tabs>
          <w:tab w:val="left" w:pos="720"/>
        </w:tabs>
        <w:ind w:right="-90"/>
        <w:jc w:val="both"/>
        <w:rPr>
          <w:rFonts w:eastAsia="Batang" w:cs="Cambria"/>
          <w:lang w:val="es-CR"/>
        </w:rPr>
      </w:pPr>
      <w:r w:rsidRPr="00D13792">
        <w:rPr>
          <w:rFonts w:cs="Times"/>
          <w:lang w:val="es-CR"/>
        </w:rPr>
        <w:t xml:space="preserve">La </w:t>
      </w:r>
      <w:r w:rsidRPr="00D13792">
        <w:rPr>
          <w:rFonts w:cs="Times"/>
          <w:b/>
          <w:i/>
          <w:lang w:val="es-CR"/>
        </w:rPr>
        <w:t>Comisión</w:t>
      </w:r>
      <w:r w:rsidRPr="00D13792">
        <w:rPr>
          <w:rFonts w:cs="Times"/>
          <w:lang w:val="es-CR"/>
        </w:rPr>
        <w:t xml:space="preserve"> solicitó a la Corte que ordene al Estado reparar adecuadamente las violaciones de derechos humanos tanto en el aspecto material como moral. </w:t>
      </w:r>
    </w:p>
    <w:p w:rsidR="006A0E1C" w:rsidRPr="00D13792" w:rsidRDefault="006A0E1C" w:rsidP="006A0E1C">
      <w:pPr>
        <w:widowControl/>
        <w:autoSpaceDE w:val="0"/>
        <w:autoSpaceDN w:val="0"/>
        <w:spacing w:line="240" w:lineRule="auto"/>
        <w:ind w:left="-709"/>
        <w:contextualSpacing/>
        <w:textAlignment w:val="auto"/>
        <w:rPr>
          <w:rFonts w:eastAsia="Batang" w:cs="Cambria"/>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Cambria"/>
          <w:lang w:val="es-CR"/>
        </w:rPr>
      </w:pPr>
      <w:r w:rsidRPr="00D13792">
        <w:rPr>
          <w:rFonts w:cs="Times"/>
          <w:lang w:val="es-CR"/>
        </w:rPr>
        <w:t xml:space="preserve">Los </w:t>
      </w:r>
      <w:r w:rsidRPr="00D13792">
        <w:rPr>
          <w:rFonts w:cs="Times"/>
          <w:b/>
          <w:i/>
          <w:lang w:val="es-CR"/>
        </w:rPr>
        <w:t>representantes</w:t>
      </w:r>
      <w:r w:rsidRPr="00D13792">
        <w:rPr>
          <w:rFonts w:cs="Times"/>
          <w:lang w:val="es-CR"/>
        </w:rPr>
        <w:t xml:space="preserve"> solicitaron a la Corte que ordene al Estado pagar una compensación por daños materiales e inmateriales, teniendo en cuenta </w:t>
      </w:r>
      <w:r w:rsidRPr="00D13792">
        <w:rPr>
          <w:rFonts w:eastAsia="Batang" w:cs="Calibri"/>
          <w:lang w:val="es-CR"/>
        </w:rPr>
        <w:t xml:space="preserve">la gravedad, intensidad y efectos perdurables de las violaciones cometidas en el presente caso, el sufrimiento causado a las víctimas, a los familiares y a los sobrevivientes por la falta de verdad, </w:t>
      </w:r>
      <w:r w:rsidRPr="00D13792">
        <w:rPr>
          <w:rFonts w:eastAsia="Batang" w:cs="Verdana"/>
          <w:lang w:val="es-CR"/>
        </w:rPr>
        <w:t>justicia</w:t>
      </w:r>
      <w:r w:rsidRPr="00D13792">
        <w:rPr>
          <w:rFonts w:eastAsia="Batang" w:cs="Calibri"/>
          <w:lang w:val="es-CR"/>
        </w:rPr>
        <w:t xml:space="preserve"> y reparación integral, la impunidad en favor de los victimarios, la persecución, desplazamiento masivo, los </w:t>
      </w:r>
      <w:r w:rsidRPr="00D13792">
        <w:rPr>
          <w:rFonts w:eastAsia="Batang" w:cs="Calibri"/>
          <w:lang w:val="es-CR"/>
        </w:rPr>
        <w:lastRenderedPageBreak/>
        <w:t xml:space="preserve">sufrimientos del </w:t>
      </w:r>
      <w:r w:rsidRPr="00D13792">
        <w:rPr>
          <w:rFonts w:eastAsia="Batang" w:cs="Times"/>
          <w:lang w:val="es-CR"/>
        </w:rPr>
        <w:t>desplazamiento</w:t>
      </w:r>
      <w:r w:rsidRPr="00D13792">
        <w:rPr>
          <w:rFonts w:eastAsia="Batang" w:cs="Calibri"/>
          <w:lang w:val="es-CR"/>
        </w:rPr>
        <w:t xml:space="preserve"> forzado, hambre, sed, frío, calor, enfermedades, destrucción del tejido social, el desarraigo de sus tierras y de su cultura que aún persiste; la destrucción de sus viviendas, el robo de sus animales, la destrucción de sus cosechas y siembras y bienes materiales, los daños causados a la integridad física, psíquica, moral y cultural de estas personas a raíz de los hechos denunciados.</w:t>
      </w:r>
      <w:r w:rsidRPr="00D13792">
        <w:rPr>
          <w:rFonts w:eastAsia="Batang" w:cs="Calibri"/>
          <w:b/>
          <w:lang w:val="es-CR"/>
        </w:rPr>
        <w:t xml:space="preserve"> </w:t>
      </w:r>
      <w:r w:rsidRPr="00D13792">
        <w:rPr>
          <w:rFonts w:eastAsia="Batang" w:cs="Verdana"/>
          <w:lang w:val="es-CR"/>
        </w:rPr>
        <w:t>En particular, solicitaron a la Corte que</w:t>
      </w:r>
      <w:r w:rsidRPr="00D13792">
        <w:rPr>
          <w:rFonts w:eastAsia="Batang" w:cs="Calibri"/>
          <w:lang w:val="es-CR"/>
        </w:rPr>
        <w:t xml:space="preserve"> ordene al Estado pagar en equidad, por concepto de daño moral, las sumas de USD $5.845.000,00 a favor de “87 víctimas”, y de USD $3.360.000,00 a favor de las “familias de las comunidades”.</w:t>
      </w:r>
      <w:r w:rsidRPr="00D13792">
        <w:rPr>
          <w:rFonts w:eastAsia="Batang" w:cs="Calibri"/>
          <w:b/>
          <w:lang w:val="es-CR"/>
        </w:rPr>
        <w:t xml:space="preserve"> </w:t>
      </w:r>
      <w:r w:rsidRPr="00D13792">
        <w:rPr>
          <w:rFonts w:eastAsia="Batang" w:cs="Calibri"/>
          <w:lang w:val="es-CR"/>
        </w:rPr>
        <w:t xml:space="preserve">En cuanto al daño material, solicitaron a la Corte que ordene al Estado pagar, por conceptos de lucro cesante, “daño patrimonial” y otros, las sumas de USD $13,160,227.00 a favor de “87 víctimas”, y de USD $2,138,664.00 a favor de las “familias de las comunidades”. </w:t>
      </w:r>
      <w:r w:rsidRPr="00D13792">
        <w:rPr>
          <w:rFonts w:eastAsia="Batang" w:cs="Cambria"/>
          <w:lang w:val="es-CR"/>
        </w:rPr>
        <w:t>Dichas sumas, presentadas a través de una tabla, se basaron en el informe actuario del señor Roberto A. Molina Cruz.</w:t>
      </w:r>
    </w:p>
    <w:p w:rsidR="006A0E1C" w:rsidRPr="00D13792" w:rsidRDefault="006A0E1C" w:rsidP="006A0E1C">
      <w:pPr>
        <w:widowControl/>
        <w:adjustRightInd/>
        <w:spacing w:line="240" w:lineRule="auto"/>
        <w:textAlignment w:val="auto"/>
        <w:rPr>
          <w:rFonts w:eastAsia="MS Mincho" w:cs="Times"/>
          <w:sz w:val="20"/>
          <w:szCs w:val="20"/>
          <w:lang w:eastAsia="en-US"/>
        </w:rPr>
      </w:pPr>
    </w:p>
    <w:p w:rsidR="006A0E1C" w:rsidRPr="00D13792" w:rsidRDefault="006A0E1C" w:rsidP="006A0E1C">
      <w:pPr>
        <w:pStyle w:val="Prrafodelista2"/>
        <w:numPr>
          <w:ilvl w:val="0"/>
          <w:numId w:val="23"/>
        </w:numPr>
        <w:tabs>
          <w:tab w:val="left" w:pos="720"/>
        </w:tabs>
        <w:ind w:right="-90"/>
        <w:jc w:val="both"/>
        <w:rPr>
          <w:rFonts w:cs="Times"/>
          <w:lang w:val="es-CR"/>
        </w:rPr>
      </w:pPr>
      <w:r w:rsidRPr="00D13792">
        <w:rPr>
          <w:rFonts w:eastAsia="Batang" w:cs="Times"/>
          <w:lang w:val="es-CR"/>
        </w:rPr>
        <w:t xml:space="preserve">El </w:t>
      </w:r>
      <w:r w:rsidRPr="00D13792">
        <w:rPr>
          <w:rFonts w:eastAsia="Batang" w:cs="Times"/>
          <w:b/>
          <w:i/>
          <w:lang w:val="es-CR"/>
        </w:rPr>
        <w:t>Estado</w:t>
      </w:r>
      <w:r w:rsidRPr="00D13792">
        <w:rPr>
          <w:rFonts w:eastAsia="Batang" w:cs="Times"/>
          <w:lang w:val="es-CR"/>
        </w:rPr>
        <w:t xml:space="preserve"> sostuvo que, de conformidad con la información proporcionada por el PNR, dicho programa ha efectuado pagos de reparación económica a “por lo menos 59 víctimas de las 84 presentadas en el presente caso”. En </w:t>
      </w:r>
      <w:r w:rsidRPr="00D13792">
        <w:rPr>
          <w:rFonts w:eastAsia="Batang" w:cs="Verdana"/>
          <w:lang w:val="es-CR"/>
        </w:rPr>
        <w:t>relación</w:t>
      </w:r>
      <w:r w:rsidRPr="00D13792">
        <w:rPr>
          <w:rFonts w:eastAsia="Batang" w:cs="Times"/>
          <w:lang w:val="es-CR"/>
        </w:rPr>
        <w:t xml:space="preserve"> con el pago de reparaciones económicas, consideró que “es necesario aplicar y respetar el principio de igualdad ante la ley y brindar a las víctimas de violaciones a los derechos humanos durante el enfrentamiento armado interno un trato igualitario, lo que ayudará además a mejorar el funcionamiento del Programa Nacional de Resarcimiento”.</w:t>
      </w:r>
      <w:r w:rsidRPr="00D13792">
        <w:rPr>
          <w:lang w:val="es-CR"/>
        </w:rPr>
        <w:t xml:space="preserve"> </w:t>
      </w:r>
      <w:r w:rsidRPr="00D13792">
        <w:rPr>
          <w:rFonts w:cs="Times"/>
          <w:lang w:val="es-CR"/>
        </w:rPr>
        <w:t>Asimismo, señaló que “</w:t>
      </w:r>
      <w:r w:rsidRPr="00D13792">
        <w:rPr>
          <w:rFonts w:eastAsia="Batang" w:cs="Times"/>
          <w:lang w:val="es-CR"/>
        </w:rPr>
        <w:t>en ningún momento niega las reparaciones que les</w:t>
      </w:r>
      <w:r w:rsidRPr="00D13792">
        <w:rPr>
          <w:rFonts w:cs="Times"/>
          <w:lang w:val="es-CR"/>
        </w:rPr>
        <w:t xml:space="preserve"> </w:t>
      </w:r>
      <w:r w:rsidRPr="00D13792">
        <w:rPr>
          <w:rFonts w:eastAsia="Batang" w:cs="Times"/>
          <w:lang w:val="es-CR"/>
        </w:rPr>
        <w:t xml:space="preserve">pudieran corresponder a las víctimas de </w:t>
      </w:r>
      <w:r w:rsidRPr="00D13792">
        <w:rPr>
          <w:rFonts w:eastAsia="Calibri"/>
          <w:lang w:val="es-CR"/>
        </w:rPr>
        <w:t>violaciones</w:t>
      </w:r>
      <w:r w:rsidRPr="00D13792">
        <w:rPr>
          <w:rFonts w:eastAsia="Batang" w:cs="Times"/>
          <w:lang w:val="es-CR"/>
        </w:rPr>
        <w:t xml:space="preserve"> a sus derechos humanos ocurridas durante el enfrentamiento armado interno; sin embargo, se opone a pagar los montos establecidos en</w:t>
      </w:r>
      <w:r w:rsidRPr="00D13792">
        <w:rPr>
          <w:rFonts w:cs="Times"/>
          <w:lang w:val="es-CR"/>
        </w:rPr>
        <w:t xml:space="preserve"> </w:t>
      </w:r>
      <w:r w:rsidRPr="00D13792">
        <w:rPr>
          <w:rFonts w:eastAsia="Batang" w:cs="Times"/>
          <w:lang w:val="es-CR"/>
        </w:rPr>
        <w:t>la tabla proporcionada por los representantes, toda vez que el [PNR] contempla los montos que se</w:t>
      </w:r>
      <w:r w:rsidRPr="00D13792">
        <w:rPr>
          <w:rFonts w:cs="Times"/>
          <w:lang w:val="es-CR"/>
        </w:rPr>
        <w:t xml:space="preserve"> </w:t>
      </w:r>
      <w:r w:rsidRPr="00D13792">
        <w:rPr>
          <w:rFonts w:eastAsia="Batang" w:cs="Times"/>
          <w:lang w:val="es-CR"/>
        </w:rPr>
        <w:t>entregan a todas aquellas personas cuyos derechos humanos se violaron durante el</w:t>
      </w:r>
      <w:r w:rsidRPr="00D13792">
        <w:rPr>
          <w:rFonts w:cs="Times"/>
          <w:lang w:val="es-CR"/>
        </w:rPr>
        <w:t xml:space="preserve"> </w:t>
      </w:r>
      <w:r w:rsidRPr="00D13792">
        <w:rPr>
          <w:rFonts w:eastAsia="Batang" w:cs="Times"/>
          <w:lang w:val="es-CR"/>
        </w:rPr>
        <w:t>enfrentamiento armado interno, los cuales son fijados de conformidad a las posibilidades</w:t>
      </w:r>
      <w:r w:rsidRPr="00D13792">
        <w:rPr>
          <w:rFonts w:cs="Times"/>
          <w:lang w:val="es-CR"/>
        </w:rPr>
        <w:t xml:space="preserve"> </w:t>
      </w:r>
      <w:r w:rsidRPr="00D13792">
        <w:rPr>
          <w:rFonts w:eastAsia="Batang" w:cs="Times"/>
          <w:lang w:val="es-CR"/>
        </w:rPr>
        <w:t>reales que tiene el Estado para hacer frente a sus obligaciones derivadas de los Acuerdos de</w:t>
      </w:r>
      <w:r w:rsidRPr="00D13792">
        <w:rPr>
          <w:rFonts w:cs="Times"/>
          <w:lang w:val="es-CR"/>
        </w:rPr>
        <w:t xml:space="preserve"> </w:t>
      </w:r>
      <w:r w:rsidRPr="00D13792">
        <w:rPr>
          <w:rFonts w:eastAsia="Batang" w:cs="Times"/>
          <w:lang w:val="es-CR"/>
        </w:rPr>
        <w:t>[P]az”.</w:t>
      </w:r>
      <w:r w:rsidRPr="00D13792">
        <w:rPr>
          <w:rFonts w:eastAsia="Batang" w:cs="Times"/>
          <w:b/>
          <w:lang w:val="es-CR"/>
        </w:rPr>
        <w:t xml:space="preserve"> </w:t>
      </w:r>
      <w:r w:rsidRPr="00D13792">
        <w:rPr>
          <w:rFonts w:eastAsia="Batang" w:cs="Times"/>
          <w:lang w:val="es-CR"/>
        </w:rPr>
        <w:t>Por otra parte, proporcionó una lista de 67 personas que ya habrían sido resarcidas a través del PRN.</w:t>
      </w:r>
    </w:p>
    <w:p w:rsidR="006A0E1C" w:rsidRPr="00D13792" w:rsidRDefault="006A0E1C" w:rsidP="006A0E1C">
      <w:pPr>
        <w:widowControl/>
        <w:adjustRightInd/>
        <w:spacing w:line="240" w:lineRule="auto"/>
        <w:ind w:left="720"/>
        <w:contextualSpacing/>
        <w:jc w:val="left"/>
        <w:textAlignment w:val="auto"/>
        <w:rPr>
          <w:rFonts w:eastAsia="MS Mincho"/>
          <w:sz w:val="16"/>
          <w:szCs w:val="20"/>
          <w:lang w:eastAsia="en-US"/>
        </w:rPr>
      </w:pPr>
    </w:p>
    <w:p w:rsidR="006A0E1C" w:rsidRPr="00D13792" w:rsidRDefault="006A0E1C" w:rsidP="006A0E1C">
      <w:pPr>
        <w:pStyle w:val="Prrafodelista2"/>
        <w:numPr>
          <w:ilvl w:val="0"/>
          <w:numId w:val="23"/>
        </w:numPr>
        <w:tabs>
          <w:tab w:val="left" w:pos="720"/>
        </w:tabs>
        <w:ind w:right="-90"/>
        <w:jc w:val="both"/>
        <w:rPr>
          <w:rFonts w:cs="Verdana"/>
          <w:lang w:val="es-CR"/>
        </w:rPr>
      </w:pPr>
      <w:r w:rsidRPr="00D13792">
        <w:rPr>
          <w:rFonts w:eastAsia="Batang" w:cs="Times"/>
          <w:lang w:val="es-CR"/>
        </w:rPr>
        <w:t xml:space="preserve">La </w:t>
      </w:r>
      <w:r w:rsidRPr="00D13792">
        <w:rPr>
          <w:rFonts w:eastAsia="Batang" w:cs="Times"/>
          <w:b/>
          <w:i/>
          <w:lang w:val="es-CR"/>
        </w:rPr>
        <w:t>Corte</w:t>
      </w:r>
      <w:r w:rsidRPr="00D13792">
        <w:rPr>
          <w:rFonts w:eastAsia="Batang" w:cs="Times"/>
          <w:lang w:val="es-CR"/>
        </w:rPr>
        <w:t xml:space="preserve"> ha desarrollado el </w:t>
      </w:r>
      <w:r w:rsidRPr="00D13792">
        <w:rPr>
          <w:rFonts w:eastAsia="Batang" w:cs="Verdana"/>
          <w:lang w:val="es-CR"/>
        </w:rPr>
        <w:t>concepto</w:t>
      </w:r>
      <w:r w:rsidRPr="00D13792">
        <w:rPr>
          <w:rFonts w:eastAsia="Batang" w:cs="Times"/>
          <w:lang w:val="es-CR"/>
        </w:rPr>
        <w:t xml:space="preserve"> de daño material e inmaterial y los supuestos en </w:t>
      </w:r>
      <w:r w:rsidRPr="00D13792">
        <w:rPr>
          <w:rFonts w:cs="Times"/>
          <w:lang w:val="es-CR"/>
        </w:rPr>
        <w:t>que</w:t>
      </w:r>
      <w:r w:rsidRPr="00D13792">
        <w:rPr>
          <w:rFonts w:eastAsia="Batang" w:cs="Times"/>
          <w:lang w:val="es-CR"/>
        </w:rPr>
        <w:t xml:space="preserve"> corresponde indemnizarlos. Así pues, </w:t>
      </w:r>
      <w:r w:rsidRPr="00D13792">
        <w:rPr>
          <w:bCs/>
          <w:lang w:val="es-CR"/>
        </w:rPr>
        <w:t xml:space="preserve">ha establecido que el daño material supone la pérdida o detrimento de los ingresos de las víctimas, los gastos </w:t>
      </w:r>
      <w:r w:rsidRPr="00D13792">
        <w:rPr>
          <w:rFonts w:eastAsia="Batang" w:cs="Verdana"/>
          <w:lang w:val="es-CR"/>
        </w:rPr>
        <w:t>efectuados</w:t>
      </w:r>
      <w:r w:rsidRPr="00D13792">
        <w:rPr>
          <w:bCs/>
          <w:lang w:val="es-CR"/>
        </w:rPr>
        <w:t xml:space="preserve"> con motivo de los hechos y las consecuencias de carácter </w:t>
      </w:r>
      <w:r w:rsidRPr="00D13792">
        <w:rPr>
          <w:rFonts w:eastAsia="Batang" w:cs="Times"/>
          <w:lang w:val="es-CR"/>
        </w:rPr>
        <w:t>pecuniario</w:t>
      </w:r>
      <w:r w:rsidRPr="00D13792">
        <w:rPr>
          <w:bCs/>
          <w:lang w:val="es-CR"/>
        </w:rPr>
        <w:t xml:space="preserve"> que tengan un nexo causal con los hechos del caso</w:t>
      </w:r>
      <w:r w:rsidRPr="00D13792">
        <w:rPr>
          <w:rFonts w:cs="Verdana"/>
          <w:vertAlign w:val="superscript"/>
          <w:lang w:val="es-CR"/>
        </w:rPr>
        <w:footnoteReference w:id="371"/>
      </w:r>
      <w:r w:rsidRPr="00D13792">
        <w:rPr>
          <w:rFonts w:cs="Verdana"/>
          <w:lang w:val="es-CR"/>
        </w:rPr>
        <w:t xml:space="preserve">. Por otra parte, el daño inmaterial </w:t>
      </w:r>
      <w:r w:rsidRPr="00D13792">
        <w:rPr>
          <w:lang w:val="es-CR"/>
        </w:rPr>
        <w:t xml:space="preserve">puede comprender tanto los sufrimientos y las aflicciones causados a la víctima directa y a sus allegados, el menoscabo de valores muy significativos para las personas, así como las alteraciones, de carácter no pecuniario, en las condiciones de existencia de la víctima o su </w:t>
      </w:r>
      <w:r w:rsidRPr="00D13792">
        <w:rPr>
          <w:rFonts w:eastAsia="Batang" w:cs="Verdana"/>
          <w:lang w:val="es-CR"/>
        </w:rPr>
        <w:t>familia</w:t>
      </w:r>
      <w:r w:rsidRPr="00D13792">
        <w:rPr>
          <w:rStyle w:val="FootnoteReference"/>
          <w:rFonts w:eastAsia="Batang" w:cs="Verdana"/>
          <w:lang w:val="es-CR"/>
        </w:rPr>
        <w:footnoteReference w:id="372"/>
      </w:r>
      <w:r w:rsidRPr="00D13792">
        <w:rPr>
          <w:rFonts w:cs="Verdana"/>
          <w:lang w:val="es-CR"/>
        </w:rPr>
        <w:t xml:space="preserve">. </w:t>
      </w:r>
      <w:r w:rsidRPr="00D13792">
        <w:rPr>
          <w:rFonts w:eastAsia="Batang" w:cs="Verdana"/>
          <w:lang w:val="es-CR"/>
        </w:rPr>
        <w:t>Asimismo, l</w:t>
      </w:r>
      <w:r w:rsidRPr="00D13792">
        <w:rPr>
          <w:rFonts w:eastAsia="Batang" w:cs="Times"/>
          <w:lang w:val="es-CR"/>
        </w:rPr>
        <w:t>a Corte ha sostenido que es propio de la naturaleza humana que toda persona que padece una violación de sus derechos humanos experimente un sufrimiento, razón por la cual el daño inmaterial resulta evidente</w:t>
      </w:r>
      <w:r w:rsidRPr="00D13792">
        <w:rPr>
          <w:rFonts w:eastAsia="Batang" w:cs="Times"/>
          <w:vertAlign w:val="superscript"/>
          <w:lang w:val="es-CR"/>
        </w:rPr>
        <w:footnoteReference w:id="373"/>
      </w:r>
      <w:r w:rsidRPr="00D13792">
        <w:rPr>
          <w:rFonts w:eastAsia="Batang" w:cs="Times"/>
          <w:lang w:val="es-CR"/>
        </w:rPr>
        <w:t>.</w:t>
      </w:r>
    </w:p>
    <w:p w:rsidR="006A0E1C" w:rsidRPr="00D13792" w:rsidRDefault="006A0E1C" w:rsidP="006A0E1C">
      <w:pPr>
        <w:tabs>
          <w:tab w:val="left" w:pos="-709"/>
          <w:tab w:val="left" w:pos="0"/>
          <w:tab w:val="left" w:pos="1440"/>
          <w:tab w:val="left" w:pos="2880"/>
          <w:tab w:val="left" w:pos="3600"/>
          <w:tab w:val="left" w:pos="4320"/>
          <w:tab w:val="left" w:pos="5760"/>
          <w:tab w:val="left" w:pos="6480"/>
          <w:tab w:val="left" w:pos="7200"/>
          <w:tab w:val="left" w:pos="7920"/>
        </w:tabs>
        <w:autoSpaceDE w:val="0"/>
        <w:autoSpaceDN w:val="0"/>
        <w:spacing w:line="240" w:lineRule="auto"/>
        <w:ind w:left="-720" w:right="-138"/>
        <w:textAlignment w:val="auto"/>
        <w:rPr>
          <w:rFonts w:eastAsia="MS Mincho" w:cs="Verdana"/>
          <w:sz w:val="20"/>
          <w:szCs w:val="20"/>
          <w:lang w:eastAsia="en-US"/>
        </w:rPr>
      </w:pPr>
    </w:p>
    <w:p w:rsidR="006A0E1C" w:rsidRPr="00D13792" w:rsidRDefault="006A0E1C" w:rsidP="006A0E1C">
      <w:pPr>
        <w:pStyle w:val="Prrafodelista2"/>
        <w:numPr>
          <w:ilvl w:val="0"/>
          <w:numId w:val="23"/>
        </w:numPr>
        <w:tabs>
          <w:tab w:val="left" w:pos="720"/>
        </w:tabs>
        <w:ind w:right="-90"/>
        <w:jc w:val="both"/>
        <w:rPr>
          <w:rFonts w:cs="Verdana"/>
          <w:lang w:val="es-CR"/>
        </w:rPr>
      </w:pPr>
      <w:r w:rsidRPr="00D13792">
        <w:rPr>
          <w:rFonts w:cs="Verdana"/>
          <w:lang w:val="es-CR"/>
        </w:rPr>
        <w:t>Al respecto, la Corte observa, primeramente, que los representantes remitieron como prueba, un Informe de “Valuación actuarial de daños”</w:t>
      </w:r>
      <w:r w:rsidRPr="00D13792">
        <w:rPr>
          <w:rFonts w:cs="Verdana"/>
          <w:vertAlign w:val="superscript"/>
          <w:lang w:val="es-CR"/>
        </w:rPr>
        <w:footnoteReference w:id="374"/>
      </w:r>
      <w:r w:rsidRPr="00D13792">
        <w:rPr>
          <w:rFonts w:cs="Verdana"/>
          <w:lang w:val="es-CR"/>
        </w:rPr>
        <w:t xml:space="preserve"> elaborado por el señor Roberto A. Molina Cruz que</w:t>
      </w:r>
      <w:r w:rsidRPr="00D13792">
        <w:rPr>
          <w:lang w:val="es-CR"/>
        </w:rPr>
        <w:t xml:space="preserve"> determinó montos en compensación por concepto de lucro cesante, daño “patrimonial”, “otros” daños materiales y daño moral a favor de 87 personas quienes habían sido alegadas por los representantes como víctimas de ejecución extrajudicial o de desaparición </w:t>
      </w:r>
      <w:r w:rsidRPr="00D13792">
        <w:rPr>
          <w:lang w:val="es-CR"/>
        </w:rPr>
        <w:lastRenderedPageBreak/>
        <w:t xml:space="preserve">forzada, así como a favor de 96 núcleos </w:t>
      </w:r>
      <w:r w:rsidRPr="00D13792">
        <w:rPr>
          <w:rFonts w:eastAsia="Batang" w:cs="Times"/>
          <w:lang w:val="es-CR"/>
        </w:rPr>
        <w:t>familiares</w:t>
      </w:r>
      <w:r w:rsidRPr="00D13792">
        <w:rPr>
          <w:lang w:val="es-CR"/>
        </w:rPr>
        <w:t xml:space="preserve"> en situación de desplazamiento</w:t>
      </w:r>
      <w:r w:rsidRPr="00D13792">
        <w:rPr>
          <w:rStyle w:val="FootnoteReference"/>
          <w:lang w:val="es-CR"/>
        </w:rPr>
        <w:footnoteReference w:id="375"/>
      </w:r>
      <w:r w:rsidRPr="00D13792">
        <w:rPr>
          <w:lang w:val="es-CR"/>
        </w:rPr>
        <w:t xml:space="preserve">. Al respecto, la Corte nota que el informe contempla dentro de su análisis, daños materiales generados por hechos que se encuentran </w:t>
      </w:r>
      <w:r w:rsidRPr="00D13792">
        <w:rPr>
          <w:rFonts w:cs="Verdana"/>
          <w:lang w:val="es-CR"/>
        </w:rPr>
        <w:t xml:space="preserve">por fuera de la competencia del Tribunal, </w:t>
      </w:r>
      <w:r w:rsidRPr="00D13792">
        <w:rPr>
          <w:lang w:val="es-CR"/>
        </w:rPr>
        <w:t xml:space="preserve">tales </w:t>
      </w:r>
      <w:r w:rsidRPr="00D13792">
        <w:rPr>
          <w:rFonts w:cs="Verdana"/>
          <w:lang w:val="es-CR"/>
        </w:rPr>
        <w:t xml:space="preserve">como el lucro cesante de las personas ejecutadas, la destrucción de viviendas, animales, cultivos y otros bienes </w:t>
      </w:r>
      <w:r w:rsidRPr="00D13792">
        <w:rPr>
          <w:lang w:val="es-CR"/>
        </w:rPr>
        <w:t>(</w:t>
      </w:r>
      <w:r w:rsidRPr="00D13792">
        <w:rPr>
          <w:i/>
          <w:lang w:val="es-CR"/>
        </w:rPr>
        <w:t>supra</w:t>
      </w:r>
      <w:r w:rsidRPr="00D13792">
        <w:rPr>
          <w:lang w:val="es-CR"/>
        </w:rPr>
        <w:t xml:space="preserve"> párr. 24).</w:t>
      </w:r>
      <w:r w:rsidRPr="00D13792">
        <w:rPr>
          <w:rFonts w:cs="Verdana"/>
          <w:lang w:val="es-CR"/>
        </w:rPr>
        <w:t xml:space="preserve"> Por tanto, dichos rubros no podrán ser tomados en cuenta. En cuanto a los montos por “daño moral” determinados en dicho informe, los cuales se generarían a partir del sufrimiento causado a las víctimas por las desapariciones forzadas y el desplazamiento forzado acreditados en este caso, entre otros, la Corte los valorará tomando en cuenta los criterios establecidos en su jurisprudencia para la determinación del daño inmaterial. </w:t>
      </w:r>
    </w:p>
    <w:p w:rsidR="006A0E1C" w:rsidRPr="00D13792" w:rsidRDefault="006A0E1C" w:rsidP="006A0E1C">
      <w:pPr>
        <w:tabs>
          <w:tab w:val="left" w:pos="-709"/>
          <w:tab w:val="left" w:pos="0"/>
          <w:tab w:val="left" w:pos="1440"/>
          <w:tab w:val="left" w:pos="2880"/>
          <w:tab w:val="left" w:pos="3600"/>
          <w:tab w:val="left" w:pos="4320"/>
          <w:tab w:val="left" w:pos="5760"/>
          <w:tab w:val="left" w:pos="6480"/>
          <w:tab w:val="left" w:pos="7200"/>
          <w:tab w:val="left" w:pos="7920"/>
        </w:tabs>
        <w:autoSpaceDE w:val="0"/>
        <w:autoSpaceDN w:val="0"/>
        <w:spacing w:line="240" w:lineRule="auto"/>
        <w:ind w:left="-720" w:right="-138"/>
        <w:textAlignment w:val="auto"/>
        <w:rPr>
          <w:rFonts w:eastAsia="MS Mincho" w:cs="Verdana"/>
          <w:sz w:val="20"/>
          <w:szCs w:val="20"/>
          <w:lang w:eastAsia="en-US"/>
        </w:rPr>
      </w:pPr>
    </w:p>
    <w:p w:rsidR="006A0E1C" w:rsidRPr="00D13792" w:rsidRDefault="006A0E1C" w:rsidP="006A0E1C">
      <w:pPr>
        <w:pStyle w:val="Prrafodelista2"/>
        <w:numPr>
          <w:ilvl w:val="0"/>
          <w:numId w:val="23"/>
        </w:numPr>
        <w:tabs>
          <w:tab w:val="left" w:pos="720"/>
        </w:tabs>
        <w:ind w:right="-90"/>
        <w:jc w:val="both"/>
        <w:rPr>
          <w:rFonts w:cs="Verdana"/>
          <w:lang w:val="es-CR"/>
        </w:rPr>
      </w:pPr>
      <w:r w:rsidRPr="00D13792">
        <w:rPr>
          <w:rFonts w:cs="Verdana"/>
          <w:lang w:val="es-CR"/>
        </w:rPr>
        <w:t>En segundo lugar, la Corte observa que el Estado presentó como prueba, copia de las actas de pagos realizados a favor de miembros de la aldea Chichupac en el marco del PNR</w:t>
      </w:r>
      <w:r w:rsidRPr="00D13792">
        <w:rPr>
          <w:rFonts w:cs="Verdana"/>
          <w:vertAlign w:val="superscript"/>
          <w:lang w:val="es-CR"/>
        </w:rPr>
        <w:footnoteReference w:id="376"/>
      </w:r>
      <w:r w:rsidRPr="00D13792">
        <w:rPr>
          <w:rFonts w:cs="Verdana"/>
          <w:lang w:val="es-CR"/>
        </w:rPr>
        <w:t>. Así pues, tal como lo ha hecho en otros casos contra Guatemala</w:t>
      </w:r>
      <w:r w:rsidRPr="00D13792">
        <w:rPr>
          <w:rFonts w:eastAsia="Batang" w:cs="Times"/>
          <w:vertAlign w:val="superscript"/>
          <w:lang w:val="es-CR"/>
        </w:rPr>
        <w:footnoteReference w:id="377"/>
      </w:r>
      <w:r w:rsidRPr="00D13792">
        <w:rPr>
          <w:rFonts w:cs="Verdana"/>
          <w:lang w:val="es-CR"/>
        </w:rPr>
        <w:t xml:space="preserve">, </w:t>
      </w:r>
      <w:r w:rsidRPr="00D13792">
        <w:rPr>
          <w:rFonts w:eastAsia="Batang" w:cs="Times"/>
          <w:lang w:val="es-CR"/>
        </w:rPr>
        <w:t xml:space="preserve">la Corte considera que los montos que ya han sido </w:t>
      </w:r>
      <w:r w:rsidRPr="00D13792">
        <w:rPr>
          <w:rFonts w:eastAsia="Batang" w:cs="Verdana"/>
          <w:lang w:val="es-CR"/>
        </w:rPr>
        <w:t>entregados</w:t>
      </w:r>
      <w:r w:rsidRPr="00D13792">
        <w:rPr>
          <w:rFonts w:eastAsia="Batang" w:cs="Times"/>
          <w:lang w:val="es-CR"/>
        </w:rPr>
        <w:t xml:space="preserve"> a víctimas del presente caso a nivel interno mediante el PNR por las violaciones establecidas en esta Sentencia deben ser reconocidos como parte de la reparación debida a estas y descontado de las cantidades que fije el Tribunal en esta Sentencia por concepto de indemnización </w:t>
      </w:r>
      <w:r w:rsidRPr="00D13792">
        <w:rPr>
          <w:rFonts w:eastAsia="Batang"/>
          <w:lang w:val="es-CR"/>
        </w:rPr>
        <w:t>(</w:t>
      </w:r>
      <w:r w:rsidRPr="00D13792">
        <w:rPr>
          <w:rFonts w:eastAsia="Batang"/>
          <w:i/>
          <w:lang w:val="es-CR"/>
        </w:rPr>
        <w:t xml:space="preserve">infra </w:t>
      </w:r>
      <w:r w:rsidRPr="00D13792">
        <w:rPr>
          <w:rFonts w:eastAsia="Batang"/>
          <w:lang w:val="es-CR"/>
        </w:rPr>
        <w:t>párr. 327).</w:t>
      </w:r>
      <w:r w:rsidRPr="00D13792">
        <w:rPr>
          <w:rFonts w:eastAsia="Batang" w:cs="Times"/>
          <w:lang w:val="es-CR"/>
        </w:rPr>
        <w:t xml:space="preserve"> Corresponde al Estado, en la etapa de supervisión del presente caso, comprobar la entrega efectiva de los montos dispuestos mediante dicho Programa.</w:t>
      </w:r>
    </w:p>
    <w:p w:rsidR="006A0E1C" w:rsidRPr="00D13792" w:rsidRDefault="006A0E1C" w:rsidP="006A0E1C">
      <w:pPr>
        <w:tabs>
          <w:tab w:val="left" w:pos="0"/>
          <w:tab w:val="left" w:pos="720"/>
          <w:tab w:val="left" w:pos="2880"/>
          <w:tab w:val="left" w:pos="3600"/>
          <w:tab w:val="left" w:pos="4320"/>
          <w:tab w:val="left" w:pos="5760"/>
          <w:tab w:val="left" w:pos="6480"/>
          <w:tab w:val="left" w:pos="7200"/>
          <w:tab w:val="left" w:pos="7920"/>
        </w:tabs>
        <w:adjustRightInd/>
        <w:spacing w:line="240" w:lineRule="auto"/>
        <w:textAlignment w:val="auto"/>
        <w:rPr>
          <w:rFonts w:eastAsia="MS Mincho"/>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Times"/>
          <w:lang w:val="es-CR"/>
        </w:rPr>
      </w:pPr>
      <w:r w:rsidRPr="00D13792">
        <w:rPr>
          <w:rFonts w:cs="Verdana"/>
          <w:lang w:val="es-CR"/>
        </w:rPr>
        <w:t>En</w:t>
      </w:r>
      <w:r w:rsidRPr="00D13792">
        <w:rPr>
          <w:rFonts w:eastAsia="Batang" w:cs="Verdana"/>
          <w:lang w:val="es-CR"/>
        </w:rPr>
        <w:t xml:space="preserve"> atención a los criterios establecidos en la jurisprudencia constante de este Tribunal, las </w:t>
      </w:r>
      <w:r w:rsidRPr="00D13792">
        <w:rPr>
          <w:lang w:val="es-CR"/>
        </w:rPr>
        <w:t>circunstancias</w:t>
      </w:r>
      <w:r w:rsidRPr="00D13792">
        <w:rPr>
          <w:rFonts w:eastAsia="Batang" w:cs="Verdana"/>
          <w:lang w:val="es-CR"/>
        </w:rPr>
        <w:t xml:space="preserve"> del presente caso, la entidad, carácter y gravedad de las violaciones cometidas, el daño generado por la impunidad, así como los sufrimientos ocasionados a las víctimas en su esfera física, moral y psicológica</w:t>
      </w:r>
      <w:r w:rsidRPr="00D13792">
        <w:rPr>
          <w:rFonts w:eastAsia="Batang" w:cs="Times"/>
          <w:vertAlign w:val="superscript"/>
          <w:lang w:val="es-CR"/>
        </w:rPr>
        <w:footnoteReference w:id="378"/>
      </w:r>
      <w:r w:rsidRPr="00D13792">
        <w:rPr>
          <w:rFonts w:eastAsia="Batang" w:cs="Verdana"/>
          <w:lang w:val="es-CR"/>
        </w:rPr>
        <w:t xml:space="preserve">, la Corte estima pertinente fijar en equidad, las cantidades señaladas a continuación, las cuales deberán ser pagadas en el plazo que la Corte fije para tal efecto </w:t>
      </w:r>
      <w:r w:rsidRPr="00D13792">
        <w:rPr>
          <w:rFonts w:eastAsia="Batang"/>
          <w:lang w:val="es-CR"/>
        </w:rPr>
        <w:t>(</w:t>
      </w:r>
      <w:r w:rsidRPr="00D13792">
        <w:rPr>
          <w:rFonts w:eastAsia="Batang"/>
          <w:i/>
          <w:lang w:val="es-CR"/>
        </w:rPr>
        <w:t>infra</w:t>
      </w:r>
      <w:r w:rsidRPr="00D13792">
        <w:rPr>
          <w:rFonts w:eastAsia="Batang"/>
          <w:lang w:val="es-CR"/>
        </w:rPr>
        <w:t xml:space="preserve"> párr. 335):</w:t>
      </w:r>
    </w:p>
    <w:p w:rsidR="006A0E1C" w:rsidRPr="00D13792" w:rsidRDefault="006A0E1C" w:rsidP="006A0E1C">
      <w:pPr>
        <w:tabs>
          <w:tab w:val="left" w:pos="0"/>
          <w:tab w:val="left" w:pos="720"/>
          <w:tab w:val="left" w:pos="2880"/>
          <w:tab w:val="left" w:pos="3600"/>
          <w:tab w:val="left" w:pos="4320"/>
          <w:tab w:val="left" w:pos="5760"/>
          <w:tab w:val="left" w:pos="6480"/>
          <w:tab w:val="left" w:pos="7200"/>
          <w:tab w:val="left" w:pos="7920"/>
        </w:tabs>
        <w:adjustRightInd/>
        <w:spacing w:line="240" w:lineRule="auto"/>
        <w:textAlignment w:val="auto"/>
        <w:rPr>
          <w:rFonts w:eastAsia="Batang" w:cs="Times"/>
          <w:sz w:val="20"/>
          <w:szCs w:val="20"/>
          <w:lang w:eastAsia="en-US"/>
        </w:rPr>
      </w:pPr>
    </w:p>
    <w:p w:rsidR="006A0E1C" w:rsidRPr="00D13792" w:rsidRDefault="006A0E1C" w:rsidP="006A0E1C">
      <w:pPr>
        <w:widowControl/>
        <w:numPr>
          <w:ilvl w:val="1"/>
          <w:numId w:val="12"/>
        </w:numPr>
        <w:tabs>
          <w:tab w:val="left" w:pos="720"/>
        </w:tabs>
        <w:adjustRightInd/>
        <w:spacing w:line="240" w:lineRule="auto"/>
        <w:ind w:left="360" w:firstLine="0"/>
        <w:contextualSpacing/>
        <w:textAlignment w:val="auto"/>
        <w:rPr>
          <w:rFonts w:eastAsia="Calibri"/>
          <w:sz w:val="20"/>
          <w:szCs w:val="20"/>
          <w:lang w:eastAsia="en-US"/>
        </w:rPr>
      </w:pPr>
      <w:r w:rsidRPr="00D13792">
        <w:rPr>
          <w:rFonts w:eastAsia="Calibri"/>
          <w:sz w:val="20"/>
          <w:szCs w:val="20"/>
          <w:lang w:eastAsia="en-US"/>
        </w:rPr>
        <w:t xml:space="preserve">USD $55.000,00 (cincuenta y cinco mil dólares de los Estados Unidos de América) a cada una de las víctimas de desaparición forzada, señaladas en los párrafos 155 y 156 y en el Anexo I de esta Sentencia, </w:t>
      </w:r>
      <w:r w:rsidRPr="00D13792">
        <w:rPr>
          <w:rFonts w:eastAsia="Batang" w:cs="Verdana"/>
          <w:sz w:val="20"/>
          <w:szCs w:val="20"/>
          <w:lang w:eastAsia="en-US" w:bidi="en-US"/>
        </w:rPr>
        <w:t>por concepto de daños materiales e inmateriales</w:t>
      </w:r>
      <w:r w:rsidRPr="00D13792">
        <w:rPr>
          <w:rFonts w:eastAsia="Calibri"/>
          <w:sz w:val="20"/>
          <w:szCs w:val="20"/>
          <w:lang w:eastAsia="en-US"/>
        </w:rPr>
        <w:t xml:space="preserve">; </w:t>
      </w:r>
    </w:p>
    <w:p w:rsidR="006A0E1C" w:rsidRPr="00D13792" w:rsidRDefault="006A0E1C" w:rsidP="006A0E1C">
      <w:pPr>
        <w:tabs>
          <w:tab w:val="left" w:pos="720"/>
        </w:tabs>
        <w:adjustRightInd/>
        <w:spacing w:line="240" w:lineRule="auto"/>
        <w:ind w:left="360"/>
        <w:contextualSpacing/>
        <w:textAlignment w:val="auto"/>
        <w:rPr>
          <w:rFonts w:eastAsia="Calibri"/>
          <w:sz w:val="20"/>
          <w:szCs w:val="20"/>
          <w:lang w:eastAsia="en-US"/>
        </w:rPr>
      </w:pPr>
    </w:p>
    <w:p w:rsidR="006A0E1C" w:rsidRPr="00D13792" w:rsidRDefault="006A0E1C" w:rsidP="006A0E1C">
      <w:pPr>
        <w:widowControl/>
        <w:numPr>
          <w:ilvl w:val="1"/>
          <w:numId w:val="12"/>
        </w:numPr>
        <w:tabs>
          <w:tab w:val="left" w:pos="720"/>
        </w:tabs>
        <w:adjustRightInd/>
        <w:spacing w:line="240" w:lineRule="auto"/>
        <w:ind w:left="360" w:firstLine="0"/>
        <w:contextualSpacing/>
        <w:textAlignment w:val="auto"/>
        <w:rPr>
          <w:rFonts w:eastAsia="Calibri"/>
          <w:sz w:val="20"/>
          <w:szCs w:val="20"/>
          <w:lang w:eastAsia="en-US"/>
        </w:rPr>
      </w:pPr>
      <w:r w:rsidRPr="00D13792">
        <w:rPr>
          <w:rFonts w:eastAsia="Calibri"/>
          <w:sz w:val="20"/>
          <w:szCs w:val="20"/>
          <w:lang w:eastAsia="en-US"/>
        </w:rPr>
        <w:t xml:space="preserve">USD $5.000,00 (cinco mil dólares de los Estados Unidos de América) a cada una de las víctimas de desplazamiento forzado, señaladas en el Anexo II de esta Sentencia, </w:t>
      </w:r>
      <w:r w:rsidRPr="00D13792">
        <w:rPr>
          <w:rFonts w:eastAsia="Batang" w:cs="Verdana"/>
          <w:sz w:val="20"/>
          <w:szCs w:val="20"/>
          <w:lang w:eastAsia="en-US" w:bidi="en-US"/>
        </w:rPr>
        <w:t xml:space="preserve">por concepto de daño inmaterial, </w:t>
      </w:r>
      <w:r w:rsidRPr="00D13792">
        <w:rPr>
          <w:rFonts w:eastAsia="Calibri"/>
          <w:sz w:val="20"/>
          <w:szCs w:val="20"/>
          <w:lang w:eastAsia="en-US"/>
        </w:rPr>
        <w:t xml:space="preserve">y  </w:t>
      </w:r>
    </w:p>
    <w:p w:rsidR="006A0E1C" w:rsidRPr="00D13792" w:rsidRDefault="006A0E1C" w:rsidP="006A0E1C">
      <w:pPr>
        <w:widowControl/>
        <w:adjustRightInd/>
        <w:spacing w:line="240" w:lineRule="auto"/>
        <w:ind w:left="360"/>
        <w:contextualSpacing/>
        <w:textAlignment w:val="auto"/>
        <w:rPr>
          <w:rFonts w:eastAsia="Calibri"/>
          <w:sz w:val="20"/>
          <w:szCs w:val="20"/>
          <w:lang w:eastAsia="en-US"/>
        </w:rPr>
      </w:pPr>
    </w:p>
    <w:p w:rsidR="006A0E1C" w:rsidRPr="00D13792" w:rsidRDefault="006A0E1C" w:rsidP="006A0E1C">
      <w:pPr>
        <w:widowControl/>
        <w:numPr>
          <w:ilvl w:val="1"/>
          <w:numId w:val="12"/>
        </w:numPr>
        <w:tabs>
          <w:tab w:val="left" w:pos="720"/>
        </w:tabs>
        <w:adjustRightInd/>
        <w:spacing w:line="240" w:lineRule="auto"/>
        <w:ind w:left="360" w:firstLine="0"/>
        <w:contextualSpacing/>
        <w:textAlignment w:val="auto"/>
        <w:rPr>
          <w:rFonts w:eastAsia="Calibri"/>
          <w:sz w:val="20"/>
          <w:szCs w:val="20"/>
          <w:lang w:eastAsia="en-US"/>
        </w:rPr>
      </w:pPr>
      <w:r w:rsidRPr="00D13792">
        <w:rPr>
          <w:sz w:val="20"/>
          <w:szCs w:val="20"/>
        </w:rPr>
        <w:t xml:space="preserve">USD $30.000,00 (treinta mil dólares de los Estados Unidos de América) a favor de las madres, padres, hijas e hijos, cónyuges, y compañeros y compañeras permanentes, y USD $10.000,00 (diez mil dólares de los Estados Unidos de América) a favor de las hermanas y hermanos, de </w:t>
      </w:r>
      <w:r w:rsidRPr="00D13792">
        <w:rPr>
          <w:rFonts w:eastAsia="Calibri"/>
          <w:sz w:val="20"/>
          <w:szCs w:val="20"/>
          <w:lang w:eastAsia="en-US"/>
        </w:rPr>
        <w:t xml:space="preserve">las víctimas de desaparición forzada, </w:t>
      </w:r>
      <w:r w:rsidRPr="00D13792">
        <w:rPr>
          <w:rFonts w:eastAsia="Batang" w:cs="Verdana"/>
          <w:sz w:val="20"/>
          <w:szCs w:val="20"/>
          <w:lang w:eastAsia="en-US" w:bidi="en-US"/>
        </w:rPr>
        <w:t>por concepto de daño inmaterial, en relación con las violaciones a sus derechos a la integridad personal y a la familia</w:t>
      </w:r>
      <w:r w:rsidRPr="00D13792">
        <w:rPr>
          <w:rFonts w:eastAsia="Calibri"/>
          <w:sz w:val="20"/>
          <w:szCs w:val="20"/>
          <w:lang w:eastAsia="en-US"/>
        </w:rPr>
        <w:t>. Los nombres de dichas personas se encuentran señaladas en el Anexo I de esta Sentencia.</w:t>
      </w:r>
    </w:p>
    <w:p w:rsidR="006A0E1C" w:rsidRPr="00D13792" w:rsidRDefault="006A0E1C" w:rsidP="006A0E1C">
      <w:pPr>
        <w:pStyle w:val="ListParagraph"/>
        <w:spacing w:after="0" w:line="240" w:lineRule="auto"/>
        <w:rPr>
          <w:rFonts w:ascii="Verdana" w:eastAsia="Calibri" w:hAnsi="Verdana"/>
          <w:sz w:val="20"/>
          <w:szCs w:val="20"/>
          <w:lang w:val="es-CR" w:eastAsia="en-US"/>
        </w:rPr>
      </w:pPr>
    </w:p>
    <w:p w:rsidR="006A0E1C" w:rsidRPr="00D13792" w:rsidRDefault="006A0E1C" w:rsidP="006A0E1C">
      <w:pPr>
        <w:pStyle w:val="Prrafodelista2"/>
        <w:numPr>
          <w:ilvl w:val="0"/>
          <w:numId w:val="23"/>
        </w:numPr>
        <w:tabs>
          <w:tab w:val="left" w:pos="720"/>
        </w:tabs>
        <w:ind w:right="-90"/>
        <w:jc w:val="both"/>
        <w:rPr>
          <w:lang w:val="es-CR"/>
        </w:rPr>
      </w:pPr>
      <w:r w:rsidRPr="00D13792">
        <w:rPr>
          <w:rFonts w:cs="Verdana"/>
          <w:lang w:val="es-CR"/>
        </w:rPr>
        <w:t xml:space="preserve">Los montos dispuestos a favor de personas desaparecidas forzadamente </w:t>
      </w:r>
      <w:r w:rsidRPr="00D13792">
        <w:rPr>
          <w:lang w:val="es-CR"/>
        </w:rPr>
        <w:t>(</w:t>
      </w:r>
      <w:r w:rsidRPr="00D13792">
        <w:rPr>
          <w:i/>
          <w:lang w:val="es-CR"/>
        </w:rPr>
        <w:t xml:space="preserve">supra </w:t>
      </w:r>
      <w:r w:rsidRPr="00D13792">
        <w:rPr>
          <w:lang w:val="es-CR"/>
        </w:rPr>
        <w:t>párr. 327.a)</w:t>
      </w:r>
      <w:r w:rsidRPr="00D13792">
        <w:rPr>
          <w:rFonts w:cs="Verdana"/>
          <w:lang w:val="es-CR"/>
        </w:rPr>
        <w:t xml:space="preserve"> deben </w:t>
      </w:r>
      <w:r w:rsidRPr="00D13792">
        <w:rPr>
          <w:lang w:val="es-CR"/>
        </w:rPr>
        <w:t xml:space="preserve">ser </w:t>
      </w:r>
      <w:r w:rsidRPr="00D13792">
        <w:rPr>
          <w:rFonts w:eastAsia="Batang" w:cs="Times"/>
          <w:lang w:val="es-CR"/>
        </w:rPr>
        <w:t>liquidadas</w:t>
      </w:r>
      <w:r w:rsidRPr="00D13792">
        <w:rPr>
          <w:lang w:val="es-CR"/>
        </w:rPr>
        <w:t xml:space="preserve"> de acuerdo con los siguientes criterios:  </w:t>
      </w:r>
    </w:p>
    <w:p w:rsidR="006A0E1C" w:rsidRPr="00D13792" w:rsidRDefault="006A0E1C" w:rsidP="006A0E1C">
      <w:pPr>
        <w:spacing w:line="240" w:lineRule="auto"/>
        <w:ind w:left="-142"/>
        <w:rPr>
          <w:sz w:val="20"/>
          <w:szCs w:val="20"/>
        </w:rPr>
      </w:pPr>
    </w:p>
    <w:p w:rsidR="006A0E1C" w:rsidRPr="00D13792" w:rsidRDefault="006A0E1C" w:rsidP="006A0E1C">
      <w:pPr>
        <w:pStyle w:val="BodyText"/>
        <w:numPr>
          <w:ilvl w:val="1"/>
          <w:numId w:val="1"/>
        </w:numPr>
        <w:tabs>
          <w:tab w:val="clear" w:pos="1080"/>
          <w:tab w:val="num" w:pos="720"/>
        </w:tabs>
        <w:overflowPunct w:val="0"/>
        <w:autoSpaceDE w:val="0"/>
        <w:autoSpaceDN w:val="0"/>
        <w:adjustRightInd/>
        <w:spacing w:after="0" w:line="240" w:lineRule="auto"/>
        <w:ind w:left="720"/>
        <w:textAlignment w:val="auto"/>
        <w:rPr>
          <w:sz w:val="20"/>
          <w:szCs w:val="20"/>
        </w:rPr>
      </w:pPr>
      <w:r w:rsidRPr="00D13792">
        <w:rPr>
          <w:sz w:val="20"/>
          <w:szCs w:val="20"/>
        </w:rPr>
        <w:t xml:space="preserve">el cincuenta por ciento (50%) de la indemnización se repartirá, por partes iguales, entre los hijos de la víctima. Si uno o varios de los hijos de la víctima hubieren fallecido ya, la parte que le o les corresponda será entregada a sus hijos o cónyuges si </w:t>
      </w:r>
      <w:r w:rsidRPr="00D13792">
        <w:rPr>
          <w:sz w:val="20"/>
          <w:szCs w:val="20"/>
        </w:rPr>
        <w:lastRenderedPageBreak/>
        <w:t xml:space="preserve">existieren, o si no existieren, la parte que le o les corresponda acrecerá a las de los demás hijos de la misma víctima; </w:t>
      </w:r>
    </w:p>
    <w:p w:rsidR="006A0E1C" w:rsidRPr="00D13792" w:rsidRDefault="006A0E1C" w:rsidP="006A0E1C">
      <w:pPr>
        <w:pStyle w:val="BodyText"/>
        <w:tabs>
          <w:tab w:val="num" w:pos="720"/>
        </w:tabs>
        <w:overflowPunct w:val="0"/>
        <w:autoSpaceDE w:val="0"/>
        <w:autoSpaceDN w:val="0"/>
        <w:spacing w:after="0" w:line="240" w:lineRule="auto"/>
        <w:ind w:left="720"/>
        <w:rPr>
          <w:sz w:val="12"/>
          <w:szCs w:val="20"/>
        </w:rPr>
      </w:pPr>
    </w:p>
    <w:p w:rsidR="006A0E1C" w:rsidRPr="00D13792" w:rsidRDefault="006A0E1C" w:rsidP="006A0E1C">
      <w:pPr>
        <w:pStyle w:val="BodyText"/>
        <w:numPr>
          <w:ilvl w:val="1"/>
          <w:numId w:val="1"/>
        </w:numPr>
        <w:tabs>
          <w:tab w:val="clear" w:pos="1080"/>
          <w:tab w:val="num" w:pos="720"/>
        </w:tabs>
        <w:overflowPunct w:val="0"/>
        <w:autoSpaceDE w:val="0"/>
        <w:autoSpaceDN w:val="0"/>
        <w:adjustRightInd/>
        <w:spacing w:after="0" w:line="240" w:lineRule="auto"/>
        <w:ind w:left="720"/>
        <w:textAlignment w:val="auto"/>
        <w:rPr>
          <w:sz w:val="20"/>
          <w:szCs w:val="20"/>
        </w:rPr>
      </w:pPr>
      <w:r w:rsidRPr="00D13792">
        <w:rPr>
          <w:sz w:val="20"/>
          <w:szCs w:val="20"/>
        </w:rPr>
        <w:t>el cincuenta por ciento (50%) de la indemnización deberá ser entregada a quien fuera cónyuge, compañero o compañera permanente de la víctima, al momento del inicio de la desaparición forzada de esta;</w:t>
      </w:r>
    </w:p>
    <w:p w:rsidR="006A0E1C" w:rsidRPr="00D13792" w:rsidRDefault="006A0E1C" w:rsidP="006A0E1C">
      <w:pPr>
        <w:pStyle w:val="BodyText"/>
        <w:tabs>
          <w:tab w:val="num" w:pos="720"/>
        </w:tabs>
        <w:overflowPunct w:val="0"/>
        <w:autoSpaceDE w:val="0"/>
        <w:autoSpaceDN w:val="0"/>
        <w:spacing w:after="0" w:line="240" w:lineRule="auto"/>
        <w:ind w:left="720"/>
        <w:rPr>
          <w:sz w:val="12"/>
          <w:szCs w:val="20"/>
        </w:rPr>
      </w:pPr>
    </w:p>
    <w:p w:rsidR="006A0E1C" w:rsidRPr="00D13792" w:rsidRDefault="006A0E1C" w:rsidP="006A0E1C">
      <w:pPr>
        <w:pStyle w:val="BodyText"/>
        <w:numPr>
          <w:ilvl w:val="1"/>
          <w:numId w:val="1"/>
        </w:numPr>
        <w:tabs>
          <w:tab w:val="clear" w:pos="1080"/>
          <w:tab w:val="num" w:pos="720"/>
        </w:tabs>
        <w:overflowPunct w:val="0"/>
        <w:autoSpaceDE w:val="0"/>
        <w:autoSpaceDN w:val="0"/>
        <w:adjustRightInd/>
        <w:spacing w:after="0" w:line="240" w:lineRule="auto"/>
        <w:ind w:left="720"/>
        <w:textAlignment w:val="auto"/>
        <w:rPr>
          <w:sz w:val="20"/>
          <w:szCs w:val="20"/>
        </w:rPr>
      </w:pPr>
      <w:r w:rsidRPr="00D13792">
        <w:rPr>
          <w:sz w:val="20"/>
          <w:szCs w:val="20"/>
        </w:rPr>
        <w:t>en el evento que no existieren familiares en alguna de las categorías definidas en los literales anteriores, lo que hubiere correspondido a los familiares ubicados en esa categoría, acrecerá a la parte que le corresponda a la otra categoría;</w:t>
      </w:r>
    </w:p>
    <w:p w:rsidR="006A0E1C" w:rsidRPr="00D13792" w:rsidRDefault="006A0E1C" w:rsidP="006A0E1C">
      <w:pPr>
        <w:pStyle w:val="BodyText"/>
        <w:tabs>
          <w:tab w:val="num" w:pos="720"/>
        </w:tabs>
        <w:overflowPunct w:val="0"/>
        <w:autoSpaceDE w:val="0"/>
        <w:autoSpaceDN w:val="0"/>
        <w:spacing w:after="0" w:line="240" w:lineRule="auto"/>
        <w:ind w:left="720"/>
        <w:rPr>
          <w:sz w:val="12"/>
          <w:szCs w:val="20"/>
        </w:rPr>
      </w:pPr>
    </w:p>
    <w:p w:rsidR="006A0E1C" w:rsidRPr="00D13792" w:rsidRDefault="006A0E1C" w:rsidP="006A0E1C">
      <w:pPr>
        <w:pStyle w:val="BodyText"/>
        <w:numPr>
          <w:ilvl w:val="1"/>
          <w:numId w:val="1"/>
        </w:numPr>
        <w:tabs>
          <w:tab w:val="clear" w:pos="1080"/>
          <w:tab w:val="num" w:pos="720"/>
        </w:tabs>
        <w:overflowPunct w:val="0"/>
        <w:autoSpaceDE w:val="0"/>
        <w:autoSpaceDN w:val="0"/>
        <w:adjustRightInd/>
        <w:spacing w:after="0" w:line="240" w:lineRule="auto"/>
        <w:ind w:left="720"/>
        <w:textAlignment w:val="auto"/>
        <w:rPr>
          <w:sz w:val="20"/>
          <w:szCs w:val="20"/>
        </w:rPr>
      </w:pPr>
      <w:r w:rsidRPr="00D13792">
        <w:rPr>
          <w:sz w:val="20"/>
          <w:szCs w:val="20"/>
        </w:rPr>
        <w:t>en el caso de que la víctima no tuviere hijos ni cónyuge ni compañera o compañero permanente, la indemnización del daño material será entregado a sus padres, y</w:t>
      </w:r>
    </w:p>
    <w:p w:rsidR="006A0E1C" w:rsidRPr="00D13792" w:rsidRDefault="006A0E1C" w:rsidP="006A0E1C">
      <w:pPr>
        <w:pStyle w:val="BodyText"/>
        <w:tabs>
          <w:tab w:val="num" w:pos="720"/>
        </w:tabs>
        <w:overflowPunct w:val="0"/>
        <w:autoSpaceDE w:val="0"/>
        <w:autoSpaceDN w:val="0"/>
        <w:spacing w:after="0" w:line="240" w:lineRule="auto"/>
        <w:ind w:left="720"/>
        <w:rPr>
          <w:sz w:val="12"/>
          <w:szCs w:val="20"/>
        </w:rPr>
      </w:pPr>
    </w:p>
    <w:p w:rsidR="006A0E1C" w:rsidRPr="00D13792" w:rsidRDefault="006A0E1C" w:rsidP="006A0E1C">
      <w:pPr>
        <w:pStyle w:val="BodyText"/>
        <w:numPr>
          <w:ilvl w:val="1"/>
          <w:numId w:val="1"/>
        </w:numPr>
        <w:tabs>
          <w:tab w:val="clear" w:pos="1080"/>
          <w:tab w:val="num" w:pos="720"/>
        </w:tabs>
        <w:overflowPunct w:val="0"/>
        <w:autoSpaceDE w:val="0"/>
        <w:autoSpaceDN w:val="0"/>
        <w:adjustRightInd/>
        <w:spacing w:after="0" w:line="240" w:lineRule="auto"/>
        <w:ind w:left="720"/>
        <w:textAlignment w:val="auto"/>
        <w:rPr>
          <w:rFonts w:eastAsia="Calibri"/>
          <w:sz w:val="20"/>
          <w:szCs w:val="20"/>
          <w:lang w:eastAsia="en-US"/>
        </w:rPr>
      </w:pPr>
      <w:r w:rsidRPr="00D13792">
        <w:rPr>
          <w:sz w:val="20"/>
          <w:szCs w:val="20"/>
        </w:rPr>
        <w:t>en el evento que no existieren familiares en alguna o algunas de las categorías definidas en los literales anteriores, la indemnización deberá ser pagada a los herederos de acuerdo con el derecho sucesorio interno.</w:t>
      </w:r>
    </w:p>
    <w:p w:rsidR="006A0E1C" w:rsidRPr="00D13792" w:rsidRDefault="006A0E1C" w:rsidP="006A0E1C">
      <w:pPr>
        <w:pStyle w:val="BodyText"/>
        <w:overflowPunct w:val="0"/>
        <w:autoSpaceDE w:val="0"/>
        <w:autoSpaceDN w:val="0"/>
        <w:adjustRightInd/>
        <w:spacing w:after="0" w:line="240" w:lineRule="auto"/>
        <w:textAlignment w:val="auto"/>
        <w:rPr>
          <w:rFonts w:eastAsia="Calibri"/>
          <w:sz w:val="20"/>
          <w:szCs w:val="20"/>
          <w:lang w:eastAsia="en-US"/>
        </w:rPr>
      </w:pPr>
    </w:p>
    <w:p w:rsidR="006A0E1C" w:rsidRPr="00D13792" w:rsidRDefault="006A0E1C" w:rsidP="006A0E1C">
      <w:pPr>
        <w:pStyle w:val="Heading2"/>
        <w:rPr>
          <w:rFonts w:eastAsia="MS Mincho"/>
          <w:spacing w:val="0"/>
          <w:lang w:val="es-CR"/>
        </w:rPr>
      </w:pPr>
      <w:bookmarkStart w:id="278" w:name="_Toc337405901"/>
      <w:bookmarkStart w:id="279" w:name="_Toc302669951"/>
      <w:bookmarkStart w:id="280" w:name="_Toc300622813"/>
      <w:bookmarkStart w:id="281" w:name="_Toc297286433"/>
      <w:bookmarkStart w:id="282" w:name="_Toc455631241"/>
      <w:bookmarkStart w:id="283" w:name="_Toc469670078"/>
      <w:r w:rsidRPr="00D13792">
        <w:rPr>
          <w:rFonts w:eastAsia="MS Mincho"/>
          <w:spacing w:val="0"/>
          <w:lang w:val="es-CR"/>
        </w:rPr>
        <w:t>F. Costas y gastos</w:t>
      </w:r>
      <w:bookmarkEnd w:id="278"/>
      <w:bookmarkEnd w:id="279"/>
      <w:bookmarkEnd w:id="280"/>
      <w:bookmarkEnd w:id="281"/>
      <w:bookmarkEnd w:id="282"/>
      <w:bookmarkEnd w:id="283"/>
    </w:p>
    <w:p w:rsidR="006A0E1C" w:rsidRPr="00D13792" w:rsidRDefault="006A0E1C" w:rsidP="006A0E1C">
      <w:pPr>
        <w:tabs>
          <w:tab w:val="left" w:pos="720"/>
          <w:tab w:val="left" w:pos="84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uto"/>
        <w:textAlignment w:val="auto"/>
        <w:rPr>
          <w:rFonts w:eastAsia="Batang" w:cs="Times"/>
          <w:b/>
          <w:bCs/>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Calibri" w:cs="Calibri"/>
          <w:lang w:val="es-CR" w:eastAsia="es-MX"/>
        </w:rPr>
      </w:pPr>
      <w:r w:rsidRPr="00D13792">
        <w:rPr>
          <w:rFonts w:eastAsia="Batang"/>
          <w:lang w:val="es-CR" w:eastAsia="es-MX"/>
        </w:rPr>
        <w:t xml:space="preserve">La </w:t>
      </w:r>
      <w:r w:rsidRPr="00D13792">
        <w:rPr>
          <w:rFonts w:eastAsia="Batang"/>
          <w:b/>
          <w:i/>
          <w:lang w:val="es-CR" w:eastAsia="es-MX"/>
        </w:rPr>
        <w:t>Comisión</w:t>
      </w:r>
      <w:r w:rsidRPr="00D13792">
        <w:rPr>
          <w:rFonts w:eastAsia="Batang"/>
          <w:lang w:val="es-CR" w:eastAsia="es-MX"/>
        </w:rPr>
        <w:t xml:space="preserve"> no presentó alegatos específicos respecto a esta medida. Los </w:t>
      </w:r>
      <w:r w:rsidRPr="00D13792">
        <w:rPr>
          <w:rFonts w:eastAsia="Batang"/>
          <w:b/>
          <w:i/>
          <w:lang w:val="es-CR" w:eastAsia="es-MX"/>
        </w:rPr>
        <w:t>representantes</w:t>
      </w:r>
      <w:r w:rsidRPr="00D13792">
        <w:rPr>
          <w:rFonts w:eastAsia="Batang"/>
          <w:i/>
          <w:lang w:val="es-CR" w:eastAsia="es-MX"/>
        </w:rPr>
        <w:t xml:space="preserve"> </w:t>
      </w:r>
      <w:r w:rsidRPr="00D13792">
        <w:rPr>
          <w:rFonts w:eastAsia="Batang"/>
          <w:lang w:val="es-CR" w:eastAsia="es-MX"/>
        </w:rPr>
        <w:t>solicitaron el pago de USD $</w:t>
      </w:r>
      <w:r w:rsidRPr="00D13792">
        <w:rPr>
          <w:rFonts w:eastAsia="Calibri" w:cs="Calibri"/>
          <w:lang w:val="es-CR" w:eastAsia="es-MX"/>
        </w:rPr>
        <w:t xml:space="preserve"> 218,322.00</w:t>
      </w:r>
      <w:r w:rsidRPr="00D13792">
        <w:rPr>
          <w:rFonts w:eastAsia="Batang"/>
          <w:lang w:val="es-CR" w:eastAsia="es-MX"/>
        </w:rPr>
        <w:t xml:space="preserve"> a favor de la </w:t>
      </w:r>
      <w:r w:rsidRPr="00D13792">
        <w:rPr>
          <w:rFonts w:eastAsia="Calibri" w:cs="Calibri"/>
          <w:lang w:val="es-CR" w:eastAsia="es-MX"/>
        </w:rPr>
        <w:t>Asociación Bufete Jurídico Popular</w:t>
      </w:r>
      <w:r w:rsidRPr="00D13792">
        <w:rPr>
          <w:rFonts w:eastAsia="Batang"/>
          <w:lang w:val="es-CR" w:eastAsia="es-MX"/>
        </w:rPr>
        <w:t xml:space="preserve"> por concepto de </w:t>
      </w:r>
      <w:r w:rsidRPr="00D13792">
        <w:rPr>
          <w:rFonts w:eastAsia="Calibri" w:cs="Calibri"/>
          <w:lang w:val="es-CR" w:eastAsia="es-MX"/>
        </w:rPr>
        <w:t xml:space="preserve">costas y gastos de los honorarios profesionales causados por las gestiones ante instancias nacionales e internacionales desde el año 2006, así como los gastos incurridos en la audiencia pública del caso y los que </w:t>
      </w:r>
      <w:r w:rsidRPr="00D13792">
        <w:rPr>
          <w:rFonts w:eastAsia="Batang" w:cs="Times"/>
          <w:lang w:val="es-CR"/>
        </w:rPr>
        <w:t>eventualmente</w:t>
      </w:r>
      <w:r w:rsidRPr="00D13792">
        <w:rPr>
          <w:rFonts w:eastAsia="Calibri" w:cs="Calibri"/>
          <w:lang w:val="es-CR" w:eastAsia="es-MX"/>
        </w:rPr>
        <w:t xml:space="preserve"> se incurra en la supervisión de cumplimiento de la sentencia que dicte la Corte. Señalaron que dichos montos se encuentran soportados en el informe actuarial elaborado por el señor Roberto A. Molina Cruz.</w:t>
      </w:r>
    </w:p>
    <w:p w:rsidR="006A0E1C" w:rsidRPr="00D13792" w:rsidRDefault="006A0E1C" w:rsidP="006A0E1C">
      <w:pPr>
        <w:widowControl/>
        <w:autoSpaceDE w:val="0"/>
        <w:autoSpaceDN w:val="0"/>
        <w:spacing w:line="240" w:lineRule="auto"/>
        <w:ind w:left="-709"/>
        <w:textAlignment w:val="auto"/>
        <w:rPr>
          <w:rFonts w:eastAsia="Batang"/>
          <w:sz w:val="20"/>
          <w:szCs w:val="20"/>
          <w:lang w:eastAsia="es-MX"/>
        </w:rPr>
      </w:pPr>
    </w:p>
    <w:p w:rsidR="006A0E1C" w:rsidRPr="00D13792" w:rsidRDefault="006A0E1C" w:rsidP="006A0E1C">
      <w:pPr>
        <w:pStyle w:val="Prrafodelista2"/>
        <w:numPr>
          <w:ilvl w:val="0"/>
          <w:numId w:val="23"/>
        </w:numPr>
        <w:tabs>
          <w:tab w:val="left" w:pos="720"/>
        </w:tabs>
        <w:ind w:right="-90"/>
        <w:jc w:val="both"/>
        <w:rPr>
          <w:rFonts w:eastAsia="Calibri"/>
          <w:color w:val="707070"/>
          <w:lang w:val="es-CR" w:eastAsia="es-MX"/>
        </w:rPr>
      </w:pPr>
      <w:r w:rsidRPr="00D13792">
        <w:rPr>
          <w:rFonts w:eastAsia="Batang"/>
          <w:lang w:val="es-CR" w:eastAsia="es-MX"/>
        </w:rPr>
        <w:t xml:space="preserve">En su contestación, bajo el título “VI. Costas y Gastos”, el </w:t>
      </w:r>
      <w:r w:rsidRPr="00D13792">
        <w:rPr>
          <w:rFonts w:eastAsia="Batang"/>
          <w:b/>
          <w:i/>
          <w:lang w:val="es-CR" w:eastAsia="es-MX"/>
        </w:rPr>
        <w:t>Estado</w:t>
      </w:r>
      <w:r w:rsidRPr="00D13792">
        <w:rPr>
          <w:rFonts w:eastAsia="Batang"/>
          <w:lang w:val="es-CR" w:eastAsia="es-MX"/>
        </w:rPr>
        <w:t xml:space="preserve"> sostuvo que los </w:t>
      </w:r>
      <w:r w:rsidRPr="00D13792">
        <w:rPr>
          <w:rFonts w:eastAsia="Batang" w:cs="Times"/>
          <w:lang w:val="es-CR"/>
        </w:rPr>
        <w:t>representantes</w:t>
      </w:r>
      <w:r w:rsidRPr="00D13792">
        <w:rPr>
          <w:rFonts w:eastAsia="Batang"/>
          <w:lang w:val="es-CR" w:eastAsia="es-MX"/>
        </w:rPr>
        <w:t xml:space="preserve"> “debían agotar[,] en primera instancia, los procedimientos internos disponibles en la jurisdicción interna, antes de acudir a un </w:t>
      </w:r>
      <w:r w:rsidRPr="00D13792">
        <w:rPr>
          <w:rFonts w:eastAsia="Batang" w:cs="Verdana"/>
          <w:lang w:val="es-CR"/>
        </w:rPr>
        <w:t>Tribunal</w:t>
      </w:r>
      <w:r w:rsidRPr="00D13792">
        <w:rPr>
          <w:rFonts w:eastAsia="Batang"/>
          <w:lang w:val="es-CR" w:eastAsia="es-MX"/>
        </w:rPr>
        <w:t xml:space="preserve"> Internacional”. En este sentido, señaló que “no tienen derecho a solicitar reparación en el ámbito internacional […] porque ni siquiera intentaron agotar en la vía interna dichas indemnizaciones”</w:t>
      </w:r>
      <w:r w:rsidRPr="00D13792">
        <w:rPr>
          <w:rFonts w:eastAsia="Batang"/>
          <w:vertAlign w:val="superscript"/>
          <w:lang w:val="es-CR" w:eastAsia="es-MX"/>
        </w:rPr>
        <w:footnoteReference w:id="379"/>
      </w:r>
      <w:r w:rsidRPr="00D13792">
        <w:rPr>
          <w:rFonts w:eastAsia="Batang"/>
          <w:lang w:val="es-CR" w:eastAsia="es-MX"/>
        </w:rPr>
        <w:t>.</w:t>
      </w:r>
    </w:p>
    <w:p w:rsidR="006A0E1C" w:rsidRPr="00D13792" w:rsidRDefault="006A0E1C" w:rsidP="006A0E1C">
      <w:pPr>
        <w:widowControl/>
        <w:autoSpaceDE w:val="0"/>
        <w:autoSpaceDN w:val="0"/>
        <w:spacing w:line="240" w:lineRule="auto"/>
        <w:ind w:left="-709"/>
        <w:contextualSpacing/>
        <w:textAlignment w:val="auto"/>
        <w:rPr>
          <w:rFonts w:eastAsia="Calibri"/>
          <w:b/>
          <w:sz w:val="16"/>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iCs/>
          <w:lang w:val="es-CR"/>
        </w:rPr>
      </w:pPr>
      <w:r w:rsidRPr="00D13792">
        <w:rPr>
          <w:rFonts w:eastAsia="Batang"/>
          <w:lang w:val="es-CR"/>
        </w:rPr>
        <w:t xml:space="preserve">La </w:t>
      </w:r>
      <w:r w:rsidRPr="00D13792">
        <w:rPr>
          <w:rFonts w:eastAsia="Batang"/>
          <w:b/>
          <w:i/>
          <w:lang w:val="es-CR"/>
        </w:rPr>
        <w:t>Corte</w:t>
      </w:r>
      <w:r w:rsidRPr="00D13792">
        <w:rPr>
          <w:rFonts w:eastAsia="Batang"/>
          <w:lang w:val="es-CR"/>
        </w:rPr>
        <w:t xml:space="preserve"> reitera </w:t>
      </w:r>
      <w:r w:rsidRPr="00D13792">
        <w:rPr>
          <w:rFonts w:eastAsia="Batang"/>
          <w:iCs/>
          <w:lang w:val="es-CR"/>
        </w:rPr>
        <w:t xml:space="preserve">que, conforme a su jurisprudencia, las costas y gastos hacen parte del concepto de reparación, toda vez que las actividades desplegadas por las víctimas con el fin de obtener justicia, tanto a nivel nacional como internacional, implican erogaciones que deben ser compensadas cuando la responsabilidad internacional del Estado es declarada mediante una sentencia condenatoria. En cuanto al reembolso de gastos, corresponde a la Corte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w:t>
      </w:r>
      <w:r w:rsidRPr="00D13792">
        <w:rPr>
          <w:rFonts w:eastAsia="Batang"/>
          <w:i/>
          <w:iCs/>
          <w:lang w:val="es-CR"/>
        </w:rPr>
        <w:t>quantum</w:t>
      </w:r>
      <w:r w:rsidRPr="00D13792">
        <w:rPr>
          <w:rFonts w:eastAsia="Batang"/>
          <w:iCs/>
          <w:lang w:val="es-CR"/>
        </w:rPr>
        <w:t xml:space="preserve"> sea razonable</w:t>
      </w:r>
      <w:r w:rsidRPr="00D13792">
        <w:rPr>
          <w:rFonts w:eastAsia="Batang"/>
          <w:iCs/>
          <w:vertAlign w:val="superscript"/>
          <w:lang w:val="es-CR"/>
        </w:rPr>
        <w:footnoteReference w:id="380"/>
      </w:r>
      <w:r w:rsidRPr="00D13792">
        <w:rPr>
          <w:rFonts w:eastAsia="Batang"/>
          <w:iCs/>
          <w:lang w:val="es-CR"/>
        </w:rPr>
        <w:t xml:space="preserve">. Como ha señalado en otras ocasiones, la Corte recuerda que no es suficiente la remisión de documentos probatorios, sino que se requiere que las partes hagan una argumentación que relacione la prueba con el hecho que se </w:t>
      </w:r>
      <w:r w:rsidRPr="00D13792">
        <w:rPr>
          <w:rFonts w:eastAsia="Batang"/>
          <w:iCs/>
          <w:lang w:val="es-CR"/>
        </w:rPr>
        <w:lastRenderedPageBreak/>
        <w:t>considera representado, y que, al tratarse de alegados desembolsos económicos, se establezca con claridad los rubros y la justificación de los mismos</w:t>
      </w:r>
      <w:r w:rsidRPr="00D13792">
        <w:rPr>
          <w:rFonts w:eastAsia="Batang"/>
          <w:iCs/>
          <w:vertAlign w:val="superscript"/>
          <w:lang w:val="es-CR"/>
        </w:rPr>
        <w:footnoteReference w:id="381"/>
      </w:r>
      <w:r w:rsidRPr="00D13792">
        <w:rPr>
          <w:rFonts w:eastAsia="Batang"/>
          <w:iCs/>
          <w:lang w:val="es-CR"/>
        </w:rPr>
        <w:t>.</w:t>
      </w:r>
    </w:p>
    <w:p w:rsidR="006A0E1C" w:rsidRPr="00D13792" w:rsidRDefault="006A0E1C" w:rsidP="006A0E1C">
      <w:pPr>
        <w:widowControl/>
        <w:adjustRightInd/>
        <w:spacing w:line="240" w:lineRule="auto"/>
        <w:ind w:right="-174"/>
        <w:textAlignment w:val="auto"/>
        <w:rPr>
          <w:rFonts w:eastAsia="Batang" w:cs="Times"/>
          <w:b/>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lang w:val="es-CR" w:eastAsia="es-MX"/>
        </w:rPr>
      </w:pPr>
      <w:r w:rsidRPr="00D13792">
        <w:rPr>
          <w:rFonts w:eastAsia="Batang"/>
          <w:lang w:val="es-CR" w:eastAsia="es-MX"/>
        </w:rPr>
        <w:t>Los representantes remitieron como anexos a su escrito de solicitudes y argumentos, diversa documentación relativa a supuestas costas y gastos incurridos del año 2007 hasta el año 2014, entre los que se encuentran facturas de María Dolores Itzep Manuel por concepto de servicios profesionales prestados a la Asociación Bufete Jurídico Popular; facturas por concepto de servicios profesionales de Servicios Osorio y Sandra López; pagos por concepto de honorarios a pasantes; comprobantes de pago de certificados matrimoniales, de nacimiento, de defunción y bautismo de personas presuntamente relacionadas con el caso; constancias de pago por registro de poderes, copias de procesos judiciales y timbres; facturas por servicios de comidas y transporte; el alquiler de un local; el pago de combustible; liquidación de gastos realizados por la Asociación Bufete Jurídico Popular, entre otros. Asimismo, los representantes remitieron como prueba de sus costas y gastos, una “Valuación actuarial de daños” causados, elaborada por el señor Roberto A. Molina Cruz en diciembre de 2014</w:t>
      </w:r>
      <w:r w:rsidRPr="00D13792">
        <w:rPr>
          <w:rFonts w:eastAsia="Batang"/>
          <w:vertAlign w:val="superscript"/>
          <w:lang w:val="es-CR" w:eastAsia="es-MX"/>
        </w:rPr>
        <w:footnoteReference w:id="382"/>
      </w:r>
      <w:r w:rsidRPr="00D13792">
        <w:rPr>
          <w:rFonts w:eastAsia="Batang"/>
          <w:lang w:val="es-CR" w:eastAsia="es-MX"/>
        </w:rPr>
        <w:t xml:space="preserve">. </w:t>
      </w:r>
    </w:p>
    <w:p w:rsidR="006A0E1C" w:rsidRPr="00D13792" w:rsidRDefault="006A0E1C" w:rsidP="006A0E1C">
      <w:pPr>
        <w:widowControl/>
        <w:autoSpaceDE w:val="0"/>
        <w:autoSpaceDN w:val="0"/>
        <w:spacing w:line="240" w:lineRule="auto"/>
        <w:textAlignment w:val="auto"/>
        <w:rPr>
          <w:rFonts w:eastAsia="Batang"/>
          <w:sz w:val="20"/>
          <w:szCs w:val="20"/>
          <w:lang w:eastAsia="es-MX"/>
        </w:rPr>
      </w:pPr>
    </w:p>
    <w:p w:rsidR="006A0E1C" w:rsidRPr="00D13792" w:rsidRDefault="006A0E1C" w:rsidP="006A0E1C">
      <w:pPr>
        <w:pStyle w:val="Prrafodelista2"/>
        <w:numPr>
          <w:ilvl w:val="0"/>
          <w:numId w:val="23"/>
        </w:numPr>
        <w:tabs>
          <w:tab w:val="left" w:pos="720"/>
        </w:tabs>
        <w:ind w:right="-90"/>
        <w:jc w:val="both"/>
        <w:rPr>
          <w:rFonts w:eastAsia="Batang" w:cs="Calibri"/>
          <w:lang w:val="es-CR" w:eastAsia="es-MX"/>
        </w:rPr>
      </w:pPr>
      <w:r w:rsidRPr="00D13792">
        <w:rPr>
          <w:rFonts w:eastAsia="Batang"/>
          <w:lang w:val="es-CR" w:eastAsia="es-MX"/>
        </w:rPr>
        <w:t>La Corte constató que se desprende de algunas de las facturas remitidas por los representantes, que estas representan erogaciones realizadas con motivo del presente caso</w:t>
      </w:r>
      <w:r w:rsidRPr="00D13792">
        <w:rPr>
          <w:rFonts w:eastAsia="Batang"/>
          <w:vertAlign w:val="superscript"/>
          <w:lang w:val="es-CR" w:eastAsia="es-MX"/>
        </w:rPr>
        <w:footnoteReference w:id="383"/>
      </w:r>
      <w:r w:rsidRPr="00D13792">
        <w:rPr>
          <w:rFonts w:eastAsia="Batang"/>
          <w:lang w:val="es-CR" w:eastAsia="es-MX"/>
        </w:rPr>
        <w:t>. Dichas facturas ascienden a un monto de aproximadamente USD $2,422.00 (dos mil cuatrocientos veintidós dólares de los Estados Unidos de América). Sin embargo, otras facturas y pagos de honorarios no presentan un vínculo claro con el caso</w:t>
      </w:r>
      <w:r w:rsidRPr="00D13792">
        <w:rPr>
          <w:rFonts w:eastAsia="Batang"/>
          <w:vertAlign w:val="superscript"/>
          <w:lang w:val="es-CR" w:eastAsia="es-MX"/>
        </w:rPr>
        <w:footnoteReference w:id="384"/>
      </w:r>
      <w:r w:rsidRPr="00D13792">
        <w:rPr>
          <w:rFonts w:eastAsia="Batang"/>
          <w:lang w:val="es-CR" w:eastAsia="es-MX"/>
        </w:rPr>
        <w:t xml:space="preserve">. Igualmente, el Tribunal nota que los representantes no presentaron información respecto de los gastos incurridos con motivo de la audiencia pública celebrada en la sede del Tribunal. No obstante, la Corte considera evidente que dicha representación generó, al menos, costos de transporte, alojamiento y alimentación. Por otra parte, la Corte considera que </w:t>
      </w:r>
      <w:r w:rsidRPr="00D13792">
        <w:rPr>
          <w:rFonts w:eastAsia="Calibri" w:cs="Calibri"/>
          <w:lang w:val="es-CR" w:eastAsia="es-MX"/>
        </w:rPr>
        <w:t>el informe actuarial elaborado por el señor</w:t>
      </w:r>
      <w:r w:rsidRPr="00D13792">
        <w:rPr>
          <w:rFonts w:eastAsia="Batang" w:cs="Calibri"/>
          <w:lang w:val="es-CR" w:eastAsia="es-MX"/>
        </w:rPr>
        <w:t xml:space="preserve"> Roberto A. Molina Cruz (</w:t>
      </w:r>
      <w:r w:rsidRPr="00D13792">
        <w:rPr>
          <w:rFonts w:eastAsia="Batang" w:cs="Calibri"/>
          <w:i/>
          <w:lang w:val="es-CR" w:eastAsia="es-MX"/>
        </w:rPr>
        <w:t xml:space="preserve">supra </w:t>
      </w:r>
      <w:r w:rsidRPr="00D13792">
        <w:rPr>
          <w:rFonts w:eastAsia="Batang" w:cs="Calibri"/>
          <w:lang w:val="es-CR" w:eastAsia="es-MX"/>
        </w:rPr>
        <w:t>párr. 332) carece de información y respaldo probatorio que permita al Tribunal comprender con base en qué se establecieron los montos de costas y gastos en las que habrían incurrido los representantes y en las que pudieran incurrir en el trámite de supervisión de cumplimiento de sentencia.</w:t>
      </w:r>
    </w:p>
    <w:p w:rsidR="006A0E1C" w:rsidRPr="00D13792" w:rsidRDefault="006A0E1C" w:rsidP="006A0E1C">
      <w:pPr>
        <w:widowControl/>
        <w:autoSpaceDE w:val="0"/>
        <w:autoSpaceDN w:val="0"/>
        <w:spacing w:line="240" w:lineRule="auto"/>
        <w:ind w:left="-709"/>
        <w:textAlignment w:val="auto"/>
        <w:rPr>
          <w:rFonts w:eastAsia="Calibri" w:cs="Calibri"/>
          <w:sz w:val="20"/>
          <w:szCs w:val="20"/>
          <w:lang w:eastAsia="en-US"/>
        </w:rPr>
      </w:pPr>
    </w:p>
    <w:p w:rsidR="006A0E1C" w:rsidRPr="00D13792" w:rsidRDefault="006A0E1C" w:rsidP="006A0E1C">
      <w:pPr>
        <w:pStyle w:val="Prrafodelista2"/>
        <w:numPr>
          <w:ilvl w:val="0"/>
          <w:numId w:val="23"/>
        </w:numPr>
        <w:tabs>
          <w:tab w:val="left" w:pos="720"/>
        </w:tabs>
        <w:ind w:right="-90"/>
        <w:jc w:val="both"/>
        <w:rPr>
          <w:lang w:val="es-CR"/>
        </w:rPr>
      </w:pPr>
      <w:r w:rsidRPr="00D13792">
        <w:rPr>
          <w:rFonts w:cs="Verdana-Italic"/>
          <w:spacing w:val="-2"/>
          <w:lang w:val="es-CR"/>
        </w:rPr>
        <w:t xml:space="preserve">Teniendo en cuenta todo lo anterior, la Corte fija, en equidad, la cantidad de USD $50,000 (cincuenta mil dólares de los Estados Unidos de América) por los gastos incurridos en la tramitación del proceso ante el sistema interamericano de derechos humanos. Dicho monto deberá ser entregado dentro del plazo de un año contado a partir de la notificación del presente Fallo, a </w:t>
      </w:r>
      <w:r w:rsidRPr="00D13792">
        <w:rPr>
          <w:rFonts w:eastAsia="Batang"/>
          <w:lang w:val="es-CR"/>
        </w:rPr>
        <w:t>la Asociación Bufete Jurídico Popular</w:t>
      </w:r>
      <w:r w:rsidRPr="00D13792">
        <w:rPr>
          <w:rFonts w:cs="Verdana-Italic"/>
          <w:spacing w:val="-2"/>
          <w:lang w:val="es-CR"/>
        </w:rPr>
        <w:t>. En la etapa de supervisión de cumplimiento de la presente Sentencia, la Corte podrá disponer el reembolso por parte del Estado a las víctimas o sus representantes de gastos posteriores, razonables y debidamente comproba</w:t>
      </w:r>
      <w:r w:rsidRPr="00D13792">
        <w:rPr>
          <w:bCs/>
          <w:lang w:val="es-CR"/>
        </w:rPr>
        <w:t>dos.</w:t>
      </w:r>
    </w:p>
    <w:p w:rsidR="006A0E1C" w:rsidRPr="00D13792" w:rsidRDefault="006A0E1C" w:rsidP="006A0E1C">
      <w:pPr>
        <w:pStyle w:val="Heading2"/>
        <w:rPr>
          <w:rFonts w:eastAsia="Batang"/>
          <w:spacing w:val="0"/>
          <w:lang w:val="es-CR"/>
        </w:rPr>
      </w:pPr>
    </w:p>
    <w:p w:rsidR="006A0E1C" w:rsidRPr="00D13792" w:rsidRDefault="006A0E1C" w:rsidP="006A0E1C">
      <w:pPr>
        <w:pStyle w:val="Heading2"/>
        <w:rPr>
          <w:rFonts w:eastAsia="MS Mincho"/>
          <w:lang w:val="es-CR"/>
        </w:rPr>
      </w:pPr>
      <w:bookmarkStart w:id="284" w:name="_Toc469670079"/>
      <w:r w:rsidRPr="00D13792">
        <w:rPr>
          <w:rFonts w:eastAsia="MS Mincho"/>
          <w:lang w:val="es-CR"/>
        </w:rPr>
        <w:t xml:space="preserve">G. </w:t>
      </w:r>
      <w:bookmarkStart w:id="285" w:name="_Toc337405903"/>
      <w:bookmarkStart w:id="286" w:name="_Toc455631242"/>
      <w:r w:rsidRPr="00D13792">
        <w:rPr>
          <w:rFonts w:eastAsia="MS Mincho"/>
          <w:lang w:val="es-CR"/>
        </w:rPr>
        <w:t>Modalidad de cumplimiento de los pagos ordenados</w:t>
      </w:r>
      <w:bookmarkEnd w:id="284"/>
      <w:bookmarkEnd w:id="285"/>
      <w:bookmarkEnd w:id="286"/>
    </w:p>
    <w:p w:rsidR="006A0E1C" w:rsidRPr="00D13792" w:rsidRDefault="006A0E1C" w:rsidP="006A0E1C">
      <w:pPr>
        <w:tabs>
          <w:tab w:val="left" w:pos="720"/>
          <w:tab w:val="left" w:pos="1440"/>
          <w:tab w:val="left" w:pos="2160"/>
          <w:tab w:val="left" w:pos="2880"/>
          <w:tab w:val="left" w:pos="3600"/>
          <w:tab w:val="left" w:pos="4320"/>
          <w:tab w:val="left" w:pos="5760"/>
          <w:tab w:val="left" w:pos="6480"/>
          <w:tab w:val="left" w:pos="7200"/>
          <w:tab w:val="left" w:pos="7920"/>
        </w:tabs>
        <w:adjustRightInd/>
        <w:spacing w:line="240" w:lineRule="auto"/>
        <w:ind w:right="-138"/>
        <w:textAlignment w:val="auto"/>
        <w:rPr>
          <w:rFonts w:eastAsia="Batang" w:cs="Times"/>
          <w:sz w:val="16"/>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Times"/>
          <w:lang w:val="es-CR"/>
        </w:rPr>
      </w:pPr>
      <w:r w:rsidRPr="00D13792">
        <w:rPr>
          <w:lang w:val="es-CR"/>
        </w:rPr>
        <w:lastRenderedPageBreak/>
        <w:t xml:space="preserve">El </w:t>
      </w:r>
      <w:r w:rsidRPr="00D13792">
        <w:rPr>
          <w:rFonts w:eastAsia="Batang" w:cs="Times"/>
          <w:lang w:val="es-CR"/>
        </w:rPr>
        <w:t xml:space="preserve">pago de las indemnizaciones por daño material e inmaterial establecidas en la presente Sentencia será entregado directamente a las personas indicadas en la misma, en un </w:t>
      </w:r>
      <w:r w:rsidRPr="00D13792">
        <w:rPr>
          <w:lang w:val="es-CR"/>
        </w:rPr>
        <w:t>plazo</w:t>
      </w:r>
      <w:r w:rsidRPr="00D13792">
        <w:rPr>
          <w:rFonts w:eastAsia="Batang" w:cs="Times"/>
          <w:lang w:val="es-CR"/>
        </w:rPr>
        <w:t xml:space="preserve"> de dos años contado a partir de la notificación de la presente Sentencia. El cincuenta por ciento </w:t>
      </w:r>
      <w:r w:rsidRPr="00D13792">
        <w:rPr>
          <w:rFonts w:eastAsia="Calibri"/>
          <w:lang w:val="es-CR"/>
        </w:rPr>
        <w:t>del</w:t>
      </w:r>
      <w:r w:rsidRPr="00D13792">
        <w:rPr>
          <w:rFonts w:eastAsia="Batang" w:cs="Times"/>
          <w:lang w:val="es-CR"/>
        </w:rPr>
        <w:t xml:space="preserve"> pago deberá ser entregado durante el transcurso del primer año a cada víctima, mientras que el monto restante podrá ser entregado durante el segundo año, considerando lo indicado en el </w:t>
      </w:r>
      <w:r w:rsidRPr="00D13792">
        <w:rPr>
          <w:rFonts w:eastAsia="Batang"/>
          <w:lang w:val="es-CR"/>
        </w:rPr>
        <w:t xml:space="preserve">párrafo 327 </w:t>
      </w:r>
      <w:r w:rsidRPr="00D13792">
        <w:rPr>
          <w:rFonts w:eastAsia="Batang" w:cs="Times"/>
          <w:lang w:val="es-CR"/>
        </w:rPr>
        <w:t xml:space="preserve">de este Fallo. En caso de fallecimiento de las víctimas con anterioridad al pago de las cantidades respectivas, así como en el caso de las víctimas desaparecidas, los montos se entregarán a sus beneficiarios, conforme a lo establecido en los </w:t>
      </w:r>
      <w:r w:rsidRPr="00D13792">
        <w:rPr>
          <w:rFonts w:eastAsia="Batang"/>
          <w:lang w:val="es-CR"/>
        </w:rPr>
        <w:t>párrafos 327 y 328 de</w:t>
      </w:r>
      <w:r w:rsidRPr="00D13792">
        <w:rPr>
          <w:rFonts w:eastAsia="Batang" w:cs="Times"/>
          <w:lang w:val="es-CR"/>
        </w:rPr>
        <w:t xml:space="preserve"> esta Sentencia. </w:t>
      </w:r>
    </w:p>
    <w:p w:rsidR="006A0E1C" w:rsidRPr="00D13792" w:rsidRDefault="006A0E1C" w:rsidP="006A0E1C">
      <w:pPr>
        <w:widowControl/>
        <w:adjustRightInd/>
        <w:spacing w:line="240" w:lineRule="auto"/>
        <w:ind w:right="-138"/>
        <w:contextualSpacing/>
        <w:textAlignment w:val="auto"/>
        <w:rPr>
          <w:rFonts w:eastAsia="Calibri"/>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Times"/>
          <w:lang w:val="es-CR"/>
        </w:rPr>
      </w:pPr>
      <w:r w:rsidRPr="00D13792">
        <w:rPr>
          <w:rFonts w:eastAsia="Batang" w:cs="Times"/>
          <w:lang w:val="es-CR"/>
        </w:rPr>
        <w:t xml:space="preserve">El reintegro de costas y gastos establecido en la presente Sentencia será hecho directamente a las personas indicadas en la </w:t>
      </w:r>
      <w:r w:rsidRPr="00D13792">
        <w:rPr>
          <w:rFonts w:eastAsia="Batang" w:cs="Verdana"/>
          <w:lang w:val="es-CR"/>
        </w:rPr>
        <w:t>misma</w:t>
      </w:r>
      <w:r w:rsidRPr="00D13792">
        <w:rPr>
          <w:rFonts w:eastAsia="Batang" w:cs="Times"/>
          <w:lang w:val="es-CR"/>
        </w:rPr>
        <w:t xml:space="preserve">, en el plazo de un año, contado a partir de la notificación de la </w:t>
      </w:r>
      <w:r w:rsidRPr="00D13792">
        <w:rPr>
          <w:rFonts w:eastAsia="Calibri"/>
          <w:lang w:val="es-CR"/>
        </w:rPr>
        <w:t>presente</w:t>
      </w:r>
      <w:r w:rsidRPr="00D13792">
        <w:rPr>
          <w:rFonts w:eastAsia="Batang" w:cs="Times"/>
          <w:lang w:val="es-CR"/>
        </w:rPr>
        <w:t xml:space="preserve"> Sentencia, considerando lo indicado en el </w:t>
      </w:r>
      <w:r w:rsidRPr="00D13792">
        <w:rPr>
          <w:rFonts w:eastAsia="Batang"/>
          <w:lang w:val="es-CR"/>
        </w:rPr>
        <w:t>párrafo 334</w:t>
      </w:r>
      <w:r w:rsidRPr="00D13792">
        <w:rPr>
          <w:rFonts w:eastAsia="Batang" w:cs="Times"/>
          <w:lang w:val="es-CR"/>
        </w:rPr>
        <w:t xml:space="preserve"> de la misma. </w:t>
      </w:r>
    </w:p>
    <w:p w:rsidR="006A0E1C" w:rsidRPr="00D13792" w:rsidRDefault="006A0E1C" w:rsidP="006A0E1C">
      <w:pPr>
        <w:widowControl/>
        <w:adjustRightInd/>
        <w:spacing w:line="240" w:lineRule="auto"/>
        <w:ind w:right="-138"/>
        <w:contextualSpacing/>
        <w:textAlignment w:val="auto"/>
        <w:rPr>
          <w:rFonts w:eastAsia="Calibri"/>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cs="Times"/>
          <w:lang w:val="es-CR"/>
        </w:rPr>
      </w:pPr>
      <w:r w:rsidRPr="00D13792">
        <w:rPr>
          <w:rFonts w:eastAsia="Batang" w:cs="Times"/>
          <w:lang w:val="es-CR"/>
        </w:rPr>
        <w:t xml:space="preserve">El Estado deberá cumplir con las obligaciones monetarias mediante el pago en dólares de los Estados Unidos </w:t>
      </w:r>
      <w:r w:rsidRPr="00D13792">
        <w:rPr>
          <w:rFonts w:eastAsia="Calibri"/>
          <w:lang w:val="es-CR"/>
        </w:rPr>
        <w:t>de</w:t>
      </w:r>
      <w:r w:rsidRPr="00D13792">
        <w:rPr>
          <w:rFonts w:eastAsia="Batang" w:cs="Times"/>
          <w:lang w:val="es-CR"/>
        </w:rPr>
        <w:t xml:space="preserve"> América o su equivalente en moneda nacional, utilizando para el cálculo respectivo el tipo de cambio que se encuentre vigente en la bolsa de Nueva York, Estados Unidos de América, el día anterior al pago.</w:t>
      </w:r>
    </w:p>
    <w:p w:rsidR="006A0E1C" w:rsidRPr="00D13792" w:rsidRDefault="006A0E1C" w:rsidP="006A0E1C">
      <w:pPr>
        <w:widowControl/>
        <w:adjustRightInd/>
        <w:spacing w:line="240" w:lineRule="auto"/>
        <w:ind w:right="-138"/>
        <w:textAlignment w:val="auto"/>
        <w:rPr>
          <w:rFonts w:eastAsia="Batang" w:cs="Verdana"/>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lang w:val="es-CR"/>
        </w:rPr>
      </w:pPr>
      <w:r w:rsidRPr="00D13792">
        <w:rPr>
          <w:rFonts w:eastAsia="Batang" w:cs="Verdana"/>
          <w:lang w:val="es-CR"/>
        </w:rPr>
        <w:t xml:space="preserve">Si por causas atribuibles a los beneficiarios de las indemnizaciones o a sus derechohabientes no </w:t>
      </w:r>
      <w:r w:rsidRPr="00D13792">
        <w:rPr>
          <w:rFonts w:eastAsia="Batang" w:cs="Times"/>
          <w:lang w:val="es-CR"/>
        </w:rPr>
        <w:t>fuese</w:t>
      </w:r>
      <w:r w:rsidRPr="00D13792">
        <w:rPr>
          <w:rFonts w:eastAsia="Batang" w:cs="Verdana"/>
          <w:lang w:val="es-CR"/>
        </w:rPr>
        <w:t xml:space="preserve"> posible el pago de las cantidades determinadas dentro de los plazos indicados, el Estado consignará dicho monto a su favor en una cuenta o </w:t>
      </w:r>
      <w:r w:rsidRPr="00D13792">
        <w:rPr>
          <w:rFonts w:eastAsia="Batang" w:cs="Times"/>
          <w:lang w:val="es-CR"/>
        </w:rPr>
        <w:t>certificado</w:t>
      </w:r>
      <w:r w:rsidRPr="00D13792">
        <w:rPr>
          <w:rFonts w:eastAsia="Batang" w:cs="Verdana"/>
          <w:lang w:val="es-CR"/>
        </w:rPr>
        <w:t xml:space="preserve"> de depósito en una </w:t>
      </w:r>
      <w:r w:rsidRPr="00D13792">
        <w:rPr>
          <w:rFonts w:eastAsia="Batang" w:cs="Times"/>
          <w:lang w:val="es-CR"/>
        </w:rPr>
        <w:t>institución</w:t>
      </w:r>
      <w:r w:rsidRPr="00D13792">
        <w:rPr>
          <w:rFonts w:eastAsia="Batang" w:cs="Verdana"/>
          <w:lang w:val="es-CR"/>
        </w:rPr>
        <w:t xml:space="preserve"> financiera guatemalteca solvente, en dólares estadounidenses, y en las condiciones financieras más favorables que permitan la </w:t>
      </w:r>
      <w:r w:rsidRPr="00D13792">
        <w:rPr>
          <w:lang w:val="es-CR"/>
        </w:rPr>
        <w:t>legislación</w:t>
      </w:r>
      <w:r w:rsidRPr="00D13792">
        <w:rPr>
          <w:rFonts w:eastAsia="Batang" w:cs="Verdana"/>
          <w:lang w:val="es-CR"/>
        </w:rPr>
        <w:t xml:space="preserve"> y la </w:t>
      </w:r>
      <w:r w:rsidRPr="00D13792">
        <w:rPr>
          <w:rFonts w:eastAsia="Calibri"/>
          <w:lang w:val="es-CR"/>
        </w:rPr>
        <w:t>práctica</w:t>
      </w:r>
      <w:r w:rsidRPr="00D13792">
        <w:rPr>
          <w:rFonts w:eastAsia="Batang" w:cs="Verdana"/>
          <w:lang w:val="es-CR"/>
        </w:rPr>
        <w:t xml:space="preserve"> bancaria. Si al cabo de diez años el monto asignado no ha sido reclamado, las cantidades serán devueltas al Estado con los intereses devengados. </w:t>
      </w:r>
    </w:p>
    <w:p w:rsidR="006A0E1C" w:rsidRPr="00D13792" w:rsidRDefault="006A0E1C" w:rsidP="006A0E1C">
      <w:pPr>
        <w:widowControl/>
        <w:adjustRightInd/>
        <w:spacing w:line="240" w:lineRule="auto"/>
        <w:ind w:right="-138"/>
        <w:textAlignment w:val="auto"/>
        <w:rPr>
          <w:rFonts w:cs="Verdana"/>
          <w:sz w:val="20"/>
          <w:szCs w:val="20"/>
          <w:lang w:eastAsia="en-US" w:bidi="en-US"/>
        </w:rPr>
      </w:pPr>
    </w:p>
    <w:p w:rsidR="006A0E1C" w:rsidRPr="00D13792" w:rsidRDefault="006A0E1C" w:rsidP="006A0E1C">
      <w:pPr>
        <w:pStyle w:val="Prrafodelista2"/>
        <w:numPr>
          <w:ilvl w:val="0"/>
          <w:numId w:val="23"/>
        </w:numPr>
        <w:tabs>
          <w:tab w:val="left" w:pos="720"/>
        </w:tabs>
        <w:ind w:right="-90"/>
        <w:jc w:val="both"/>
        <w:rPr>
          <w:lang w:val="es-CR"/>
        </w:rPr>
      </w:pPr>
      <w:r w:rsidRPr="00D13792">
        <w:rPr>
          <w:rFonts w:cs="Verdana"/>
          <w:lang w:val="es-CR"/>
        </w:rPr>
        <w:t xml:space="preserve">Las </w:t>
      </w:r>
      <w:r w:rsidRPr="00D13792">
        <w:rPr>
          <w:rFonts w:eastAsia="Batang" w:cs="Verdana"/>
          <w:lang w:val="es-CR"/>
        </w:rPr>
        <w:t>cantidades</w:t>
      </w:r>
      <w:r w:rsidRPr="00D13792">
        <w:rPr>
          <w:rFonts w:cs="Verdana"/>
          <w:lang w:val="es-CR"/>
        </w:rPr>
        <w:t xml:space="preserve"> </w:t>
      </w:r>
      <w:r w:rsidRPr="00D13792">
        <w:rPr>
          <w:rFonts w:eastAsia="Batang" w:cs="Verdana"/>
          <w:lang w:val="es-CR"/>
        </w:rPr>
        <w:t>asignadas</w:t>
      </w:r>
      <w:r w:rsidRPr="00D13792">
        <w:rPr>
          <w:rFonts w:cs="Verdana"/>
          <w:lang w:val="es-CR"/>
        </w:rPr>
        <w:t xml:space="preserve"> en la presente Sentencia bajo los conceptos de daño material e </w:t>
      </w:r>
      <w:r w:rsidRPr="00D13792">
        <w:rPr>
          <w:lang w:val="es-CR"/>
        </w:rPr>
        <w:t>inmaterial</w:t>
      </w:r>
      <w:r w:rsidRPr="00D13792">
        <w:rPr>
          <w:rFonts w:cs="Verdana"/>
          <w:lang w:val="es-CR"/>
        </w:rPr>
        <w:t xml:space="preserve"> y reintegro de costas y gastos deberán ser entregadas a los beneficiarios en forma </w:t>
      </w:r>
      <w:r w:rsidRPr="00D13792">
        <w:rPr>
          <w:rFonts w:eastAsia="Calibri"/>
          <w:lang w:val="es-CR"/>
        </w:rPr>
        <w:t>íntegra</w:t>
      </w:r>
      <w:r w:rsidRPr="00D13792">
        <w:rPr>
          <w:rFonts w:cs="Verdana"/>
          <w:lang w:val="es-CR"/>
        </w:rPr>
        <w:t xml:space="preserve">, </w:t>
      </w:r>
      <w:r w:rsidRPr="00D13792">
        <w:rPr>
          <w:rFonts w:eastAsia="Batang" w:cs="Times"/>
          <w:lang w:val="es-CR"/>
        </w:rPr>
        <w:t>conforme</w:t>
      </w:r>
      <w:r w:rsidRPr="00D13792">
        <w:rPr>
          <w:rFonts w:cs="Verdana"/>
          <w:lang w:val="es-CR"/>
        </w:rPr>
        <w:t xml:space="preserve"> a lo establecido en esta Sentencia, sin reducciones derivadas de eventuales cargas fiscales.</w:t>
      </w:r>
    </w:p>
    <w:p w:rsidR="006A0E1C" w:rsidRPr="00D13792" w:rsidRDefault="006A0E1C" w:rsidP="006A0E1C">
      <w:pPr>
        <w:widowControl/>
        <w:adjustRightInd/>
        <w:spacing w:line="240" w:lineRule="auto"/>
        <w:ind w:right="-138"/>
        <w:textAlignment w:val="auto"/>
        <w:rPr>
          <w:rFonts w:eastAsia="Batang" w:cs="Verdana"/>
          <w:sz w:val="20"/>
          <w:szCs w:val="20"/>
          <w:lang w:eastAsia="en-US"/>
        </w:rPr>
      </w:pPr>
    </w:p>
    <w:p w:rsidR="006A0E1C" w:rsidRPr="00D13792" w:rsidRDefault="006A0E1C" w:rsidP="006A0E1C">
      <w:pPr>
        <w:pStyle w:val="Prrafodelista2"/>
        <w:numPr>
          <w:ilvl w:val="0"/>
          <w:numId w:val="23"/>
        </w:numPr>
        <w:tabs>
          <w:tab w:val="left" w:pos="720"/>
        </w:tabs>
        <w:ind w:right="-90"/>
        <w:jc w:val="both"/>
        <w:rPr>
          <w:rFonts w:eastAsia="Batang"/>
          <w:lang w:val="es-CR"/>
        </w:rPr>
      </w:pPr>
      <w:r w:rsidRPr="00D13792">
        <w:rPr>
          <w:rFonts w:eastAsia="Batang" w:cs="Verdana"/>
          <w:lang w:val="es-CR"/>
        </w:rPr>
        <w:t xml:space="preserve">En caso de que el Estado incurriera en mora, deberá pagar un interés sobre la cantidad adeudada correspondiente al interés bancario moratorio en Guatemala. Los intereses </w:t>
      </w:r>
      <w:r w:rsidRPr="00D13792">
        <w:rPr>
          <w:lang w:val="es-CR"/>
        </w:rPr>
        <w:t>moratorios</w:t>
      </w:r>
      <w:r w:rsidRPr="00D13792">
        <w:rPr>
          <w:rFonts w:eastAsia="Batang" w:cs="Verdana"/>
          <w:lang w:val="es-CR"/>
        </w:rPr>
        <w:t xml:space="preserve"> </w:t>
      </w:r>
      <w:r w:rsidRPr="00D13792">
        <w:rPr>
          <w:rFonts w:eastAsia="Batang" w:cs="Times"/>
          <w:lang w:val="es-CR"/>
        </w:rPr>
        <w:t>empezarán</w:t>
      </w:r>
      <w:r w:rsidRPr="00D13792">
        <w:rPr>
          <w:rFonts w:eastAsia="Batang" w:cs="Verdana"/>
          <w:lang w:val="es-CR"/>
        </w:rPr>
        <w:t xml:space="preserve"> a computarse luego del plazo de dos años a partir de la notificación de la presente </w:t>
      </w:r>
      <w:r w:rsidRPr="00D13792">
        <w:rPr>
          <w:rFonts w:eastAsia="Calibri"/>
          <w:lang w:val="es-CR"/>
        </w:rPr>
        <w:t>Sentencia</w:t>
      </w:r>
      <w:r w:rsidRPr="00D13792">
        <w:rPr>
          <w:rFonts w:eastAsia="Batang" w:cs="Verdana"/>
          <w:lang w:val="es-CR"/>
        </w:rPr>
        <w:t xml:space="preserve">. </w:t>
      </w:r>
    </w:p>
    <w:p w:rsidR="006A0E1C" w:rsidRPr="00D13792" w:rsidRDefault="006A0E1C" w:rsidP="006A0E1C">
      <w:pPr>
        <w:tabs>
          <w:tab w:val="left" w:pos="567"/>
        </w:tabs>
        <w:spacing w:line="240" w:lineRule="auto"/>
        <w:ind w:right="4"/>
        <w:rPr>
          <w:sz w:val="16"/>
        </w:rPr>
      </w:pPr>
    </w:p>
    <w:p w:rsidR="006A0E1C" w:rsidRPr="00D13792" w:rsidRDefault="006A0E1C" w:rsidP="006A0E1C">
      <w:pPr>
        <w:pStyle w:val="Heading1"/>
        <w:spacing w:afterLines="40" w:after="96"/>
        <w:rPr>
          <w:lang w:val="es-CR"/>
        </w:rPr>
      </w:pPr>
      <w:bookmarkStart w:id="287" w:name="_Toc468443337"/>
      <w:bookmarkStart w:id="288" w:name="_Toc469670080"/>
      <w:r w:rsidRPr="00D13792">
        <w:rPr>
          <w:lang w:val="es-CR"/>
        </w:rPr>
        <w:t>X</w:t>
      </w:r>
      <w:bookmarkEnd w:id="287"/>
      <w:bookmarkEnd w:id="288"/>
    </w:p>
    <w:p w:rsidR="006A0E1C" w:rsidRPr="00D13792" w:rsidRDefault="006A0E1C" w:rsidP="006A0E1C">
      <w:pPr>
        <w:pStyle w:val="Heading1"/>
        <w:spacing w:afterLines="40" w:after="96"/>
        <w:rPr>
          <w:lang w:val="es-CR"/>
        </w:rPr>
      </w:pPr>
      <w:bookmarkStart w:id="289" w:name="_Toc468443338"/>
      <w:bookmarkStart w:id="290" w:name="_Toc469670081"/>
      <w:r w:rsidRPr="00D13792">
        <w:rPr>
          <w:lang w:val="es-CR"/>
        </w:rPr>
        <w:t>PUNTOS RESOLUTIVOS</w:t>
      </w:r>
      <w:bookmarkEnd w:id="289"/>
      <w:bookmarkEnd w:id="290"/>
    </w:p>
    <w:p w:rsidR="006A0E1C" w:rsidRPr="00D13792" w:rsidRDefault="006A0E1C" w:rsidP="006A0E1C">
      <w:pPr>
        <w:widowControl/>
        <w:adjustRightInd/>
        <w:spacing w:afterLines="40" w:after="96" w:line="240" w:lineRule="auto"/>
        <w:textAlignment w:val="auto"/>
        <w:rPr>
          <w:rFonts w:eastAsia="Batang" w:cs="Times"/>
          <w:sz w:val="20"/>
          <w:szCs w:val="20"/>
          <w:lang w:eastAsia="en-US"/>
        </w:rPr>
      </w:pPr>
    </w:p>
    <w:p w:rsidR="006A0E1C" w:rsidRPr="00D13792" w:rsidRDefault="006A0E1C" w:rsidP="006A0E1C">
      <w:pPr>
        <w:pStyle w:val="Prrafodelista2"/>
        <w:numPr>
          <w:ilvl w:val="0"/>
          <w:numId w:val="23"/>
        </w:numPr>
        <w:tabs>
          <w:tab w:val="left" w:pos="720"/>
        </w:tabs>
        <w:spacing w:afterLines="40" w:after="96"/>
        <w:ind w:right="-90"/>
        <w:jc w:val="both"/>
        <w:rPr>
          <w:spacing w:val="-2"/>
          <w:lang w:val="es-CR"/>
        </w:rPr>
      </w:pPr>
      <w:r w:rsidRPr="00D13792">
        <w:rPr>
          <w:spacing w:val="-2"/>
          <w:lang w:val="es-CR"/>
        </w:rPr>
        <w:t xml:space="preserve">Por </w:t>
      </w:r>
      <w:r w:rsidRPr="00D13792">
        <w:rPr>
          <w:rFonts w:eastAsia="Batang" w:cs="Verdana"/>
          <w:lang w:val="es-CR"/>
        </w:rPr>
        <w:t>tanto</w:t>
      </w:r>
      <w:r w:rsidRPr="00D13792">
        <w:rPr>
          <w:spacing w:val="-2"/>
          <w:lang w:val="es-CR"/>
        </w:rPr>
        <w:t xml:space="preserve">, </w:t>
      </w:r>
    </w:p>
    <w:p w:rsidR="006A0E1C" w:rsidRPr="00D13792" w:rsidRDefault="006A0E1C" w:rsidP="006A0E1C">
      <w:pPr>
        <w:pStyle w:val="Default"/>
        <w:spacing w:afterLines="40" w:after="96"/>
        <w:jc w:val="both"/>
        <w:rPr>
          <w:color w:val="auto"/>
          <w:spacing w:val="-2"/>
          <w:sz w:val="20"/>
          <w:szCs w:val="20"/>
        </w:rPr>
      </w:pPr>
    </w:p>
    <w:p w:rsidR="006A0E1C" w:rsidRPr="00D13792" w:rsidRDefault="006A0E1C" w:rsidP="006A0E1C">
      <w:pPr>
        <w:pStyle w:val="Default"/>
        <w:spacing w:afterLines="40" w:after="96"/>
        <w:jc w:val="both"/>
        <w:rPr>
          <w:color w:val="auto"/>
          <w:spacing w:val="-2"/>
          <w:sz w:val="20"/>
          <w:szCs w:val="20"/>
        </w:rPr>
      </w:pPr>
      <w:r w:rsidRPr="00D13792">
        <w:rPr>
          <w:b/>
          <w:bCs/>
          <w:color w:val="auto"/>
          <w:spacing w:val="-2"/>
          <w:sz w:val="20"/>
          <w:szCs w:val="20"/>
        </w:rPr>
        <w:t xml:space="preserve">LA CORTE </w:t>
      </w:r>
    </w:p>
    <w:p w:rsidR="006A0E1C" w:rsidRPr="00D13792" w:rsidRDefault="006A0E1C" w:rsidP="006A0E1C">
      <w:pPr>
        <w:pStyle w:val="Default"/>
        <w:spacing w:afterLines="40" w:after="96"/>
        <w:jc w:val="both"/>
        <w:rPr>
          <w:b/>
          <w:bCs/>
          <w:color w:val="auto"/>
          <w:spacing w:val="-2"/>
          <w:sz w:val="20"/>
          <w:szCs w:val="20"/>
        </w:rPr>
      </w:pPr>
    </w:p>
    <w:p w:rsidR="006A0E1C" w:rsidRPr="00D13792" w:rsidRDefault="006A0E1C" w:rsidP="006A0E1C">
      <w:pPr>
        <w:pStyle w:val="Default"/>
        <w:spacing w:afterLines="40" w:after="96"/>
        <w:jc w:val="both"/>
        <w:rPr>
          <w:color w:val="auto"/>
          <w:spacing w:val="-2"/>
          <w:sz w:val="20"/>
          <w:szCs w:val="20"/>
        </w:rPr>
      </w:pPr>
      <w:r w:rsidRPr="00D13792">
        <w:rPr>
          <w:b/>
          <w:bCs/>
          <w:color w:val="auto"/>
          <w:spacing w:val="-2"/>
          <w:sz w:val="20"/>
          <w:szCs w:val="20"/>
        </w:rPr>
        <w:t xml:space="preserve">DECIDE, </w:t>
      </w:r>
    </w:p>
    <w:p w:rsidR="006A0E1C" w:rsidRPr="00D13792" w:rsidRDefault="006A0E1C" w:rsidP="006A0E1C">
      <w:pPr>
        <w:pStyle w:val="Default"/>
        <w:spacing w:afterLines="40" w:after="96"/>
        <w:jc w:val="both"/>
        <w:rPr>
          <w:color w:val="auto"/>
          <w:spacing w:val="-2"/>
          <w:sz w:val="20"/>
          <w:szCs w:val="20"/>
        </w:rPr>
      </w:pPr>
    </w:p>
    <w:p w:rsidR="006A0E1C" w:rsidRPr="00D13792" w:rsidRDefault="006A0E1C" w:rsidP="006A0E1C">
      <w:pPr>
        <w:pStyle w:val="Default"/>
        <w:spacing w:afterLines="40" w:after="96"/>
        <w:jc w:val="both"/>
        <w:rPr>
          <w:color w:val="auto"/>
          <w:spacing w:val="-2"/>
          <w:sz w:val="20"/>
          <w:szCs w:val="20"/>
        </w:rPr>
      </w:pPr>
      <w:r w:rsidRPr="00D13792">
        <w:rPr>
          <w:color w:val="auto"/>
          <w:spacing w:val="-2"/>
          <w:sz w:val="20"/>
          <w:szCs w:val="20"/>
        </w:rPr>
        <w:t xml:space="preserve">Por unanimidad, </w:t>
      </w:r>
    </w:p>
    <w:p w:rsidR="006A0E1C" w:rsidRPr="00D13792" w:rsidRDefault="006A0E1C" w:rsidP="006A0E1C">
      <w:pPr>
        <w:pStyle w:val="Default"/>
        <w:spacing w:afterLines="40" w:after="96"/>
        <w:jc w:val="both"/>
        <w:rPr>
          <w:color w:val="auto"/>
          <w:spacing w:val="-2"/>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spacing w:val="-2"/>
          <w:sz w:val="20"/>
          <w:szCs w:val="20"/>
        </w:rPr>
        <w:t xml:space="preserve">Acoger parcialmente la excepción preliminar </w:t>
      </w:r>
      <w:r w:rsidRPr="00D13792">
        <w:rPr>
          <w:sz w:val="20"/>
          <w:szCs w:val="20"/>
        </w:rPr>
        <w:t xml:space="preserve">de falta de competencia </w:t>
      </w:r>
      <w:r w:rsidRPr="00D13792">
        <w:rPr>
          <w:i/>
          <w:sz w:val="20"/>
          <w:szCs w:val="20"/>
        </w:rPr>
        <w:t>ratione temporis</w:t>
      </w:r>
      <w:r w:rsidRPr="00D13792">
        <w:rPr>
          <w:sz w:val="20"/>
          <w:szCs w:val="20"/>
        </w:rPr>
        <w:t xml:space="preserve"> interpuesta por el Estado, en los términos de los párrafos 18 a 24 de esta Sentencia. </w:t>
      </w:r>
    </w:p>
    <w:p w:rsidR="006A0E1C" w:rsidRPr="00D13792" w:rsidRDefault="006A0E1C" w:rsidP="006A0E1C">
      <w:pPr>
        <w:tabs>
          <w:tab w:val="left" w:pos="567"/>
        </w:tabs>
        <w:spacing w:afterLines="40" w:after="96" w:line="240" w:lineRule="auto"/>
        <w:ind w:right="4"/>
        <w:rPr>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rFonts w:eastAsia="Calibri"/>
          <w:sz w:val="20"/>
          <w:szCs w:val="20"/>
        </w:rPr>
        <w:t>Desestimar la</w:t>
      </w:r>
      <w:r w:rsidRPr="00D13792">
        <w:rPr>
          <w:rFonts w:eastAsia="Calibri"/>
          <w:b/>
          <w:sz w:val="20"/>
          <w:szCs w:val="20"/>
        </w:rPr>
        <w:t xml:space="preserve"> </w:t>
      </w:r>
      <w:r w:rsidRPr="00D13792">
        <w:rPr>
          <w:rFonts w:eastAsia="Calibri"/>
          <w:sz w:val="20"/>
          <w:szCs w:val="20"/>
        </w:rPr>
        <w:t>excepción preliminar</w:t>
      </w:r>
      <w:r w:rsidRPr="00D13792">
        <w:rPr>
          <w:rFonts w:eastAsia="Calibri"/>
          <w:b/>
          <w:sz w:val="20"/>
          <w:szCs w:val="20"/>
        </w:rPr>
        <w:t xml:space="preserve"> </w:t>
      </w:r>
      <w:r w:rsidRPr="00D13792">
        <w:rPr>
          <w:rFonts w:eastAsia="Calibri"/>
          <w:sz w:val="20"/>
          <w:szCs w:val="20"/>
        </w:rPr>
        <w:t xml:space="preserve">de falta de competencia de la Corte para conocer sobre alegadas violaciones de la </w:t>
      </w:r>
      <w:r w:rsidRPr="00D13792">
        <w:rPr>
          <w:sz w:val="20"/>
          <w:szCs w:val="20"/>
        </w:rPr>
        <w:t>Convención Interamericana sobre Desaparición Forzada de Personas, en los términos del párrafo 29 de esta Sentencia</w:t>
      </w:r>
      <w:r w:rsidRPr="00D13792">
        <w:rPr>
          <w:rFonts w:eastAsia="Calibri"/>
          <w:sz w:val="20"/>
          <w:szCs w:val="20"/>
        </w:rPr>
        <w:t>.</w:t>
      </w:r>
    </w:p>
    <w:p w:rsidR="006A0E1C" w:rsidRPr="00D13792" w:rsidRDefault="006A0E1C" w:rsidP="006A0E1C">
      <w:pPr>
        <w:tabs>
          <w:tab w:val="left" w:pos="567"/>
        </w:tabs>
        <w:spacing w:afterLines="40" w:after="96" w:line="240" w:lineRule="auto"/>
        <w:ind w:right="4"/>
        <w:rPr>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rFonts w:eastAsia="Calibri"/>
          <w:sz w:val="20"/>
          <w:szCs w:val="20"/>
        </w:rPr>
        <w:t>Desestimar la excepción preliminar de falta de competencia de la Corte para conocer sobre el artículo 7 de la Convención Interamericana para Prevenir, Sancionar y Erradicar la Violencia contra la Mujer</w:t>
      </w:r>
      <w:r w:rsidRPr="00D13792">
        <w:rPr>
          <w:sz w:val="20"/>
          <w:szCs w:val="20"/>
        </w:rPr>
        <w:t>, en los términos del párrafo 30 de esta Sentencia</w:t>
      </w:r>
      <w:r w:rsidRPr="00D13792">
        <w:rPr>
          <w:rFonts w:eastAsia="Calibri"/>
          <w:sz w:val="20"/>
          <w:szCs w:val="20"/>
        </w:rPr>
        <w:t>.</w:t>
      </w:r>
    </w:p>
    <w:p w:rsidR="006A0E1C" w:rsidRPr="00D13792" w:rsidRDefault="006A0E1C" w:rsidP="006A0E1C">
      <w:pPr>
        <w:tabs>
          <w:tab w:val="left" w:pos="567"/>
        </w:tabs>
        <w:spacing w:afterLines="40" w:after="96" w:line="240" w:lineRule="auto"/>
        <w:ind w:right="4"/>
        <w:rPr>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rFonts w:eastAsia="Calibri"/>
          <w:sz w:val="20"/>
          <w:szCs w:val="20"/>
        </w:rPr>
        <w:t xml:space="preserve">Desestimar la excepción preliminar de falta de competencia de la Corte para declarar violaciones de </w:t>
      </w:r>
      <w:r w:rsidRPr="00D13792">
        <w:rPr>
          <w:sz w:val="20"/>
          <w:szCs w:val="20"/>
        </w:rPr>
        <w:t>la Convención para la Prevención y la Sanción del Delito de Genocidio, en los términos del párrafo 31 de esta Sentencia</w:t>
      </w:r>
      <w:r w:rsidRPr="00D13792">
        <w:rPr>
          <w:rFonts w:eastAsia="Calibri"/>
          <w:sz w:val="20"/>
          <w:szCs w:val="20"/>
        </w:rPr>
        <w:t>.</w:t>
      </w:r>
    </w:p>
    <w:p w:rsidR="006A0E1C" w:rsidRPr="00D13792" w:rsidRDefault="006A0E1C" w:rsidP="006A0E1C">
      <w:pPr>
        <w:tabs>
          <w:tab w:val="left" w:pos="567"/>
        </w:tabs>
        <w:spacing w:afterLines="40" w:after="96" w:line="240" w:lineRule="auto"/>
        <w:ind w:right="4"/>
        <w:rPr>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sz w:val="20"/>
          <w:szCs w:val="20"/>
        </w:rPr>
        <w:t>Desestimar la excepción preliminar interpuesta por el Estado en cuanto a la falta de competencia de la Corte para pronunciarse sobre delitos, en los términos del párrafo 35 de esta Sentencia.</w:t>
      </w:r>
    </w:p>
    <w:p w:rsidR="006A0E1C" w:rsidRPr="00D13792" w:rsidRDefault="006A0E1C" w:rsidP="006A0E1C">
      <w:pPr>
        <w:tabs>
          <w:tab w:val="left" w:pos="567"/>
        </w:tabs>
        <w:spacing w:afterLines="40" w:after="96" w:line="240" w:lineRule="auto"/>
        <w:ind w:right="4"/>
        <w:rPr>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sz w:val="20"/>
          <w:szCs w:val="20"/>
        </w:rPr>
        <w:t>Desestimar la excepción preliminar interpuesta por el Estado en cuanto a la alegada falta de competencia de la Corte para pronunciarse sobre la invalidez de la amnistía guatemalteca, en los términos del párrafo 39 de esta Sentencia.</w:t>
      </w:r>
    </w:p>
    <w:p w:rsidR="006A0E1C" w:rsidRPr="00D13792" w:rsidRDefault="006A0E1C" w:rsidP="006A0E1C">
      <w:pPr>
        <w:tabs>
          <w:tab w:val="left" w:pos="567"/>
        </w:tabs>
        <w:spacing w:afterLines="40" w:after="96" w:line="240" w:lineRule="auto"/>
        <w:ind w:right="4"/>
        <w:rPr>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rFonts w:cs="Cambria"/>
          <w:sz w:val="20"/>
          <w:szCs w:val="20"/>
        </w:rPr>
        <w:t>Desestimar la excepción preliminar de falta de agotamiento de los recursos internos</w:t>
      </w:r>
      <w:r w:rsidRPr="00D13792">
        <w:rPr>
          <w:sz w:val="20"/>
          <w:szCs w:val="20"/>
        </w:rPr>
        <w:t>, en los términos de los párrafos 43 a 47 de esta Sentencia.</w:t>
      </w:r>
    </w:p>
    <w:p w:rsidR="006A0E1C" w:rsidRPr="00D13792" w:rsidRDefault="006A0E1C" w:rsidP="006A0E1C">
      <w:pPr>
        <w:tabs>
          <w:tab w:val="left" w:pos="567"/>
        </w:tabs>
        <w:spacing w:afterLines="40" w:after="96" w:line="240" w:lineRule="auto"/>
        <w:ind w:right="4"/>
        <w:rPr>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sz w:val="20"/>
          <w:szCs w:val="20"/>
        </w:rPr>
        <w:t>Desestimar la excepción preliminar de “carencia de la facultad para presentar otra reclamación por los mismos hechos”, en los términos del párrafo 50 de esta Sentencia.</w:t>
      </w:r>
    </w:p>
    <w:p w:rsidR="006A0E1C" w:rsidRPr="00D13792" w:rsidRDefault="006A0E1C" w:rsidP="006A0E1C">
      <w:pPr>
        <w:tabs>
          <w:tab w:val="left" w:pos="567"/>
        </w:tabs>
        <w:spacing w:afterLines="40" w:after="96" w:line="240" w:lineRule="auto"/>
        <w:ind w:right="4"/>
        <w:rPr>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sz w:val="20"/>
          <w:szCs w:val="20"/>
        </w:rPr>
        <w:t>Aceptar el reconocimiento parcial de responsabilidad internacional efectuado por Estado, en los términos de los párrafos 54 a 58 de esta Sentencia.</w:t>
      </w:r>
    </w:p>
    <w:p w:rsidR="006A0E1C" w:rsidRPr="00D13792" w:rsidRDefault="006A0E1C" w:rsidP="006A0E1C">
      <w:pPr>
        <w:pStyle w:val="Default"/>
        <w:tabs>
          <w:tab w:val="num" w:pos="630"/>
          <w:tab w:val="left" w:pos="720"/>
        </w:tabs>
        <w:spacing w:afterLines="40" w:after="96"/>
        <w:jc w:val="both"/>
        <w:rPr>
          <w:b/>
          <w:color w:val="auto"/>
          <w:spacing w:val="-2"/>
          <w:sz w:val="20"/>
          <w:szCs w:val="20"/>
        </w:rPr>
      </w:pPr>
    </w:p>
    <w:p w:rsidR="006A0E1C" w:rsidRPr="00D13792" w:rsidRDefault="006A0E1C" w:rsidP="006A0E1C">
      <w:pPr>
        <w:tabs>
          <w:tab w:val="num" w:pos="630"/>
          <w:tab w:val="left" w:pos="720"/>
        </w:tabs>
        <w:spacing w:afterLines="40" w:after="96" w:line="240" w:lineRule="auto"/>
        <w:rPr>
          <w:rFonts w:cs="Verdana"/>
          <w:b/>
          <w:spacing w:val="-2"/>
          <w:sz w:val="20"/>
          <w:szCs w:val="20"/>
        </w:rPr>
      </w:pPr>
      <w:r w:rsidRPr="00D13792">
        <w:rPr>
          <w:rFonts w:cs="Verdana"/>
          <w:b/>
          <w:spacing w:val="-2"/>
          <w:sz w:val="20"/>
          <w:szCs w:val="20"/>
        </w:rPr>
        <w:t>DECLARA,</w:t>
      </w:r>
    </w:p>
    <w:p w:rsidR="006A0E1C" w:rsidRPr="00D13792" w:rsidRDefault="006A0E1C" w:rsidP="006A0E1C">
      <w:pPr>
        <w:tabs>
          <w:tab w:val="num" w:pos="630"/>
          <w:tab w:val="left" w:pos="720"/>
        </w:tabs>
        <w:spacing w:afterLines="40" w:after="96" w:line="240" w:lineRule="auto"/>
        <w:rPr>
          <w:rFonts w:cs="Verdana"/>
          <w:b/>
          <w:spacing w:val="-2"/>
          <w:sz w:val="20"/>
          <w:szCs w:val="20"/>
        </w:rPr>
      </w:pPr>
    </w:p>
    <w:p w:rsidR="006A0E1C" w:rsidRPr="00D13792" w:rsidRDefault="006A0E1C" w:rsidP="006A0E1C">
      <w:pPr>
        <w:pStyle w:val="Default"/>
        <w:spacing w:afterLines="40" w:after="96"/>
        <w:jc w:val="both"/>
        <w:rPr>
          <w:color w:val="auto"/>
          <w:spacing w:val="-2"/>
          <w:sz w:val="20"/>
          <w:szCs w:val="20"/>
        </w:rPr>
      </w:pPr>
      <w:r w:rsidRPr="00D13792">
        <w:rPr>
          <w:color w:val="auto"/>
          <w:spacing w:val="-2"/>
          <w:sz w:val="20"/>
          <w:szCs w:val="20"/>
        </w:rPr>
        <w:t>Por unanimidad, que</w:t>
      </w:r>
    </w:p>
    <w:p w:rsidR="006A0E1C" w:rsidRPr="00D13792" w:rsidRDefault="006A0E1C" w:rsidP="006A0E1C">
      <w:pPr>
        <w:pStyle w:val="Default"/>
        <w:spacing w:afterLines="40" w:after="96"/>
        <w:jc w:val="both"/>
        <w:rPr>
          <w:rFonts w:eastAsia="Batang" w:cs="Times"/>
          <w:color w:val="auto"/>
          <w:spacing w:val="-2"/>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sz w:val="20"/>
          <w:szCs w:val="20"/>
        </w:rPr>
        <w:t xml:space="preserve">El Estado es responsable por la violación de los derechos a la libertad personal, integridad personal, vida y al reconocimiento de la personalidad jurídica, reconocidos en los artículos 7, 5.1 y 5.2, 4.1 y 3 de la Convención Americana, en relación con el artículo 1.1 del mismo instrumento y en relación con lo dispuesto en el artículo I.a) de la Convención Interamericana sobre Desaparición Forzada de Personas, en perjuicio de las 22 víctimas de desaparición forzada que se identifican en el Anexo I de esta Sentencia, en los términos de los párrafos 131 a 160 de la misma. </w:t>
      </w:r>
    </w:p>
    <w:p w:rsidR="006A0E1C" w:rsidRPr="00D13792" w:rsidRDefault="006A0E1C" w:rsidP="006A0E1C">
      <w:pPr>
        <w:pStyle w:val="Default"/>
        <w:spacing w:afterLines="40" w:after="96"/>
        <w:jc w:val="both"/>
        <w:rPr>
          <w:color w:val="auto"/>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sz w:val="20"/>
          <w:szCs w:val="20"/>
        </w:rPr>
        <w:t xml:space="preserve">El Estado es responsable por la violación de los derechos </w:t>
      </w:r>
      <w:r w:rsidRPr="00D13792">
        <w:rPr>
          <w:spacing w:val="-2"/>
          <w:sz w:val="20"/>
          <w:szCs w:val="20"/>
        </w:rPr>
        <w:t xml:space="preserve">a la integridad psíquica y moral y a la protección a la familia, </w:t>
      </w:r>
      <w:r w:rsidRPr="00D13792">
        <w:rPr>
          <w:rFonts w:eastAsia="Calibri"/>
          <w:spacing w:val="-2"/>
          <w:sz w:val="20"/>
          <w:szCs w:val="20"/>
        </w:rPr>
        <w:t>establecidos</w:t>
      </w:r>
      <w:r w:rsidRPr="00D13792">
        <w:rPr>
          <w:spacing w:val="-2"/>
          <w:sz w:val="20"/>
          <w:szCs w:val="20"/>
        </w:rPr>
        <w:t xml:space="preserve"> en los artículos 5.1 y 17.1 de la Convención Americana, en relación con el artículo 1.1 del mismo instrumento, en perjuicio de los familiares de las 22 víctimas de desaparición forzada,</w:t>
      </w:r>
      <w:r w:rsidRPr="00D13792">
        <w:rPr>
          <w:bCs/>
          <w:spacing w:val="-2"/>
          <w:sz w:val="20"/>
          <w:szCs w:val="20"/>
        </w:rPr>
        <w:t xml:space="preserve"> i</w:t>
      </w:r>
      <w:r w:rsidRPr="00D13792">
        <w:rPr>
          <w:sz w:val="20"/>
          <w:szCs w:val="20"/>
        </w:rPr>
        <w:t xml:space="preserve">dentificadas en el Anexo I de esta Sentencia, en los </w:t>
      </w:r>
      <w:r w:rsidRPr="00D13792">
        <w:rPr>
          <w:sz w:val="20"/>
          <w:szCs w:val="20"/>
        </w:rPr>
        <w:lastRenderedPageBreak/>
        <w:t>términos de los párrafos 161 a 166 de la misma.</w:t>
      </w:r>
    </w:p>
    <w:p w:rsidR="006A0E1C" w:rsidRPr="00D13792" w:rsidRDefault="006A0E1C" w:rsidP="006A0E1C">
      <w:pPr>
        <w:pStyle w:val="Default"/>
        <w:spacing w:afterLines="40" w:after="96"/>
        <w:jc w:val="both"/>
        <w:rPr>
          <w:color w:val="auto"/>
          <w:sz w:val="20"/>
          <w:szCs w:val="20"/>
        </w:rPr>
      </w:pPr>
    </w:p>
    <w:p w:rsidR="006A0E1C" w:rsidRPr="00D13792" w:rsidRDefault="006A0E1C" w:rsidP="006A0E1C">
      <w:pPr>
        <w:numPr>
          <w:ilvl w:val="0"/>
          <w:numId w:val="29"/>
        </w:numPr>
        <w:tabs>
          <w:tab w:val="left" w:pos="567"/>
        </w:tabs>
        <w:spacing w:afterLines="40" w:after="96" w:line="240" w:lineRule="auto"/>
        <w:ind w:right="4"/>
        <w:rPr>
          <w:rFonts w:eastAsia="Times"/>
          <w:spacing w:val="-2"/>
          <w:sz w:val="20"/>
          <w:szCs w:val="20"/>
        </w:rPr>
      </w:pPr>
      <w:r w:rsidRPr="00D13792">
        <w:rPr>
          <w:sz w:val="20"/>
          <w:szCs w:val="20"/>
        </w:rPr>
        <w:t xml:space="preserve">El Estado es responsable </w:t>
      </w:r>
      <w:r w:rsidRPr="00D13792">
        <w:rPr>
          <w:rFonts w:eastAsia="Batang" w:cs="Times"/>
          <w:sz w:val="20"/>
          <w:szCs w:val="20"/>
        </w:rPr>
        <w:t>por la violación del derecho a la circulación y residencia establecido en el artículo 22.1 de la Convención Americana, en relación con el artículo 1.1 de la misma, en perjuicio de las personas</w:t>
      </w:r>
      <w:r w:rsidRPr="00D13792">
        <w:rPr>
          <w:spacing w:val="-2"/>
          <w:sz w:val="20"/>
          <w:szCs w:val="20"/>
        </w:rPr>
        <w:t xml:space="preserve"> listadas en el Anexo II</w:t>
      </w:r>
      <w:r w:rsidRPr="00D13792">
        <w:rPr>
          <w:sz w:val="20"/>
          <w:szCs w:val="20"/>
        </w:rPr>
        <w:t xml:space="preserve"> de esta Sentencia</w:t>
      </w:r>
      <w:r w:rsidRPr="00D13792">
        <w:rPr>
          <w:spacing w:val="-2"/>
          <w:sz w:val="20"/>
          <w:szCs w:val="20"/>
        </w:rPr>
        <w:t xml:space="preserve">, </w:t>
      </w:r>
      <w:r w:rsidRPr="00D13792">
        <w:rPr>
          <w:sz w:val="20"/>
          <w:szCs w:val="20"/>
        </w:rPr>
        <w:t>en los términos de los párrafos 172 a 203 de esta Sentencia.</w:t>
      </w:r>
    </w:p>
    <w:p w:rsidR="006A0E1C" w:rsidRPr="00D13792" w:rsidRDefault="006A0E1C" w:rsidP="006A0E1C">
      <w:pPr>
        <w:pStyle w:val="Prrafodelista2"/>
        <w:tabs>
          <w:tab w:val="left" w:pos="720"/>
        </w:tabs>
        <w:spacing w:afterLines="40" w:after="96"/>
        <w:ind w:left="0" w:right="-90"/>
        <w:jc w:val="both"/>
        <w:rPr>
          <w:rFonts w:eastAsia="Times"/>
          <w:spacing w:val="-2"/>
          <w:lang w:val="es-CR"/>
        </w:rPr>
      </w:pPr>
    </w:p>
    <w:p w:rsidR="006A0E1C" w:rsidRPr="00D13792" w:rsidRDefault="006A0E1C" w:rsidP="006A0E1C">
      <w:pPr>
        <w:numPr>
          <w:ilvl w:val="0"/>
          <w:numId w:val="29"/>
        </w:numPr>
        <w:tabs>
          <w:tab w:val="left" w:pos="567"/>
        </w:tabs>
        <w:spacing w:afterLines="40" w:after="96" w:line="240" w:lineRule="auto"/>
        <w:ind w:right="4"/>
        <w:rPr>
          <w:rFonts w:eastAsia="Times"/>
          <w:spacing w:val="-2"/>
          <w:sz w:val="20"/>
          <w:szCs w:val="20"/>
        </w:rPr>
      </w:pPr>
      <w:r w:rsidRPr="00D13792">
        <w:rPr>
          <w:sz w:val="20"/>
          <w:szCs w:val="20"/>
        </w:rPr>
        <w:t xml:space="preserve">El Estado es responsable </w:t>
      </w:r>
      <w:r w:rsidRPr="00D13792">
        <w:rPr>
          <w:rFonts w:eastAsia="Batang" w:cs="Times"/>
          <w:sz w:val="20"/>
          <w:szCs w:val="20"/>
        </w:rPr>
        <w:t xml:space="preserve">por la violación de los derechos a las garantías y la protección judiciales reconocidos en </w:t>
      </w:r>
      <w:r w:rsidRPr="00D13792">
        <w:rPr>
          <w:sz w:val="20"/>
          <w:szCs w:val="20"/>
        </w:rPr>
        <w:t xml:space="preserve">los artículos 8.1 y 25.1 de la Convención Americana, en relación con el artículo 1.1 de la misma, así como por el incumplimiento de las obligaciones establecidas en los </w:t>
      </w:r>
      <w:r w:rsidRPr="00D13792">
        <w:rPr>
          <w:rFonts w:eastAsia="Batang"/>
          <w:bCs/>
          <w:snapToGrid w:val="0"/>
          <w:kern w:val="32"/>
          <w:sz w:val="20"/>
          <w:szCs w:val="20"/>
          <w:lang w:eastAsia="es-ES"/>
        </w:rPr>
        <w:t>artículos</w:t>
      </w:r>
      <w:r w:rsidRPr="00D13792">
        <w:rPr>
          <w:sz w:val="20"/>
          <w:szCs w:val="20"/>
        </w:rPr>
        <w:t xml:space="preserve"> 1, 6 y 8 de la Convención Interamericana para Prevenir y Sancionar la Tortura, así como el artículo I.b) de la Convención Interamericana sobre Desaparición Forzada de Personas y el artículo 7.b de la </w:t>
      </w:r>
      <w:r w:rsidRPr="00D13792">
        <w:rPr>
          <w:rFonts w:eastAsia="Calibri"/>
          <w:sz w:val="20"/>
          <w:szCs w:val="20"/>
        </w:rPr>
        <w:t>Convención Interamericana para Prevenir, Sancionar y Erradicar la Violencia contra la Mujer</w:t>
      </w:r>
      <w:r w:rsidRPr="00D13792">
        <w:rPr>
          <w:sz w:val="20"/>
          <w:szCs w:val="20"/>
        </w:rPr>
        <w:t xml:space="preserve"> a partir del momento en que estas entraron en vigor en Guatemala. Todo ello, en perjuicio de las víctimas del presente caso o sus familiares, en sus respectivas circunstancias, en los términos de los párrafos 210 a 265 de esta Sentencia. Además, el Estado violó el derecho de los familiares de las víctimas desaparecidas a conocer la verdad, en los términos de los párrafos 259 y 261 de esta Sentencia. </w:t>
      </w:r>
    </w:p>
    <w:p w:rsidR="006A0E1C" w:rsidRPr="00D13792" w:rsidRDefault="006A0E1C" w:rsidP="006A0E1C">
      <w:pPr>
        <w:tabs>
          <w:tab w:val="left" w:pos="567"/>
        </w:tabs>
        <w:spacing w:afterLines="40" w:after="96" w:line="240" w:lineRule="auto"/>
        <w:ind w:right="4"/>
        <w:rPr>
          <w:rFonts w:eastAsia="Times"/>
          <w:spacing w:val="-2"/>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rFonts w:eastAsia="Times"/>
          <w:spacing w:val="-2"/>
          <w:sz w:val="20"/>
          <w:szCs w:val="20"/>
        </w:rPr>
        <w:t xml:space="preserve">El Estado no es responsable de la violación </w:t>
      </w:r>
      <w:r w:rsidRPr="00D13792">
        <w:rPr>
          <w:sz w:val="20"/>
          <w:szCs w:val="20"/>
        </w:rPr>
        <w:t>del artículo 12 de la Convención Americana, en los términos del párrafo 204 de esta Sentencia.</w:t>
      </w:r>
    </w:p>
    <w:p w:rsidR="006A0E1C" w:rsidRPr="00D13792" w:rsidRDefault="006A0E1C" w:rsidP="006A0E1C">
      <w:pPr>
        <w:tabs>
          <w:tab w:val="left" w:pos="567"/>
        </w:tabs>
        <w:spacing w:afterLines="40" w:after="96" w:line="240" w:lineRule="auto"/>
        <w:ind w:right="4"/>
        <w:rPr>
          <w:rFonts w:eastAsia="Times"/>
          <w:spacing w:val="-2"/>
          <w:sz w:val="20"/>
          <w:szCs w:val="20"/>
        </w:rPr>
      </w:pPr>
    </w:p>
    <w:p w:rsidR="006A0E1C" w:rsidRPr="00D13792" w:rsidRDefault="006A0E1C" w:rsidP="006A0E1C">
      <w:pPr>
        <w:numPr>
          <w:ilvl w:val="0"/>
          <w:numId w:val="29"/>
        </w:numPr>
        <w:tabs>
          <w:tab w:val="left" w:pos="567"/>
        </w:tabs>
        <w:spacing w:afterLines="40" w:after="96" w:line="240" w:lineRule="auto"/>
        <w:ind w:right="4"/>
        <w:rPr>
          <w:rFonts w:eastAsia="Times"/>
          <w:spacing w:val="-2"/>
          <w:sz w:val="20"/>
          <w:szCs w:val="20"/>
        </w:rPr>
      </w:pPr>
      <w:r w:rsidRPr="00D13792">
        <w:rPr>
          <w:rFonts w:eastAsia="Times"/>
          <w:spacing w:val="-2"/>
          <w:sz w:val="20"/>
          <w:szCs w:val="20"/>
        </w:rPr>
        <w:t xml:space="preserve">El Estado no es responsable de la violación del </w:t>
      </w:r>
      <w:r w:rsidRPr="00D13792">
        <w:rPr>
          <w:rFonts w:eastAsia="Times"/>
          <w:sz w:val="20"/>
          <w:szCs w:val="20"/>
        </w:rPr>
        <w:t xml:space="preserve">artículo 16 de la Convención Americana, </w:t>
      </w:r>
      <w:r w:rsidRPr="00D13792">
        <w:rPr>
          <w:sz w:val="20"/>
          <w:szCs w:val="20"/>
        </w:rPr>
        <w:t xml:space="preserve"> en los términos del párrafo</w:t>
      </w:r>
      <w:r w:rsidRPr="00D13792">
        <w:rPr>
          <w:rFonts w:eastAsia="Times"/>
          <w:sz w:val="20"/>
          <w:szCs w:val="20"/>
        </w:rPr>
        <w:t xml:space="preserve"> 205 de esta Sentencia.</w:t>
      </w:r>
    </w:p>
    <w:p w:rsidR="006A0E1C" w:rsidRPr="00D13792" w:rsidRDefault="006A0E1C" w:rsidP="006A0E1C">
      <w:pPr>
        <w:pStyle w:val="ListParagraph"/>
        <w:spacing w:afterLines="40" w:after="96" w:line="240" w:lineRule="auto"/>
        <w:ind w:left="0"/>
        <w:jc w:val="both"/>
        <w:rPr>
          <w:rFonts w:ascii="Verdana" w:eastAsia="Times" w:hAnsi="Verdana"/>
          <w:spacing w:val="-2"/>
          <w:sz w:val="20"/>
          <w:szCs w:val="20"/>
          <w:lang w:val="es-CR"/>
        </w:rPr>
      </w:pPr>
    </w:p>
    <w:p w:rsidR="006A0E1C" w:rsidRPr="00D13792" w:rsidRDefault="006A0E1C" w:rsidP="006A0E1C">
      <w:pPr>
        <w:numPr>
          <w:ilvl w:val="0"/>
          <w:numId w:val="29"/>
        </w:numPr>
        <w:tabs>
          <w:tab w:val="left" w:pos="567"/>
        </w:tabs>
        <w:spacing w:afterLines="40" w:after="96" w:line="240" w:lineRule="auto"/>
        <w:ind w:right="4"/>
        <w:rPr>
          <w:rFonts w:eastAsia="Times"/>
          <w:spacing w:val="-2"/>
          <w:sz w:val="20"/>
          <w:szCs w:val="20"/>
        </w:rPr>
      </w:pPr>
      <w:r w:rsidRPr="00D13792">
        <w:rPr>
          <w:rFonts w:eastAsia="Times"/>
          <w:spacing w:val="-2"/>
          <w:sz w:val="20"/>
          <w:szCs w:val="20"/>
        </w:rPr>
        <w:t xml:space="preserve">El Estado no es responsable de la violación del artículo 24 de la Convención Americana, </w:t>
      </w:r>
      <w:r w:rsidRPr="00D13792">
        <w:rPr>
          <w:sz w:val="20"/>
          <w:szCs w:val="20"/>
        </w:rPr>
        <w:t>en los términos del párrafo 258 de esta Sentencia.</w:t>
      </w:r>
    </w:p>
    <w:p w:rsidR="006A0E1C" w:rsidRPr="00D13792" w:rsidRDefault="006A0E1C" w:rsidP="006A0E1C">
      <w:pPr>
        <w:tabs>
          <w:tab w:val="left" w:pos="567"/>
        </w:tabs>
        <w:spacing w:afterLines="40" w:after="96" w:line="240" w:lineRule="auto"/>
        <w:ind w:right="4"/>
        <w:rPr>
          <w:rFonts w:cs="Verdana"/>
          <w:spacing w:val="-2"/>
          <w:sz w:val="20"/>
          <w:szCs w:val="20"/>
        </w:rPr>
      </w:pPr>
    </w:p>
    <w:p w:rsidR="006A0E1C" w:rsidRPr="00D13792" w:rsidRDefault="006A0E1C" w:rsidP="006A0E1C">
      <w:pPr>
        <w:tabs>
          <w:tab w:val="left" w:pos="567"/>
          <w:tab w:val="left" w:pos="720"/>
        </w:tabs>
        <w:spacing w:afterLines="40" w:after="96" w:line="240" w:lineRule="auto"/>
        <w:rPr>
          <w:rFonts w:cs="Verdana"/>
          <w:b/>
          <w:spacing w:val="-2"/>
          <w:sz w:val="20"/>
          <w:szCs w:val="20"/>
        </w:rPr>
      </w:pPr>
      <w:r w:rsidRPr="00D13792">
        <w:rPr>
          <w:rFonts w:cs="Verdana"/>
          <w:b/>
          <w:spacing w:val="-2"/>
          <w:sz w:val="20"/>
          <w:szCs w:val="20"/>
        </w:rPr>
        <w:t>Y DISPONE,</w:t>
      </w:r>
    </w:p>
    <w:p w:rsidR="006A0E1C" w:rsidRPr="00D13792" w:rsidRDefault="006A0E1C" w:rsidP="006A0E1C">
      <w:pPr>
        <w:tabs>
          <w:tab w:val="left" w:pos="567"/>
          <w:tab w:val="left" w:pos="720"/>
        </w:tabs>
        <w:spacing w:afterLines="40" w:after="96" w:line="240" w:lineRule="auto"/>
        <w:rPr>
          <w:rFonts w:cs="Verdana"/>
          <w:b/>
          <w:spacing w:val="-2"/>
          <w:sz w:val="20"/>
          <w:szCs w:val="20"/>
        </w:rPr>
      </w:pPr>
    </w:p>
    <w:p w:rsidR="006A0E1C" w:rsidRPr="00D13792" w:rsidRDefault="006A0E1C" w:rsidP="006A0E1C">
      <w:pPr>
        <w:tabs>
          <w:tab w:val="left" w:pos="720"/>
        </w:tabs>
        <w:spacing w:afterLines="40" w:after="96" w:line="240" w:lineRule="auto"/>
        <w:rPr>
          <w:rFonts w:cs="Verdana"/>
          <w:spacing w:val="-2"/>
          <w:sz w:val="20"/>
          <w:szCs w:val="20"/>
        </w:rPr>
      </w:pPr>
      <w:r w:rsidRPr="00D13792">
        <w:rPr>
          <w:rFonts w:cs="Verdana"/>
          <w:spacing w:val="-2"/>
          <w:sz w:val="20"/>
          <w:szCs w:val="20"/>
        </w:rPr>
        <w:t xml:space="preserve">por </w:t>
      </w:r>
      <w:r w:rsidRPr="00D13792">
        <w:rPr>
          <w:spacing w:val="-2"/>
          <w:sz w:val="20"/>
          <w:szCs w:val="20"/>
        </w:rPr>
        <w:t>unanimidad</w:t>
      </w:r>
      <w:r w:rsidRPr="00D13792">
        <w:rPr>
          <w:rFonts w:cs="Verdana"/>
          <w:spacing w:val="-2"/>
          <w:sz w:val="20"/>
          <w:szCs w:val="20"/>
        </w:rPr>
        <w:t xml:space="preserve"> que:</w:t>
      </w:r>
    </w:p>
    <w:p w:rsidR="006A0E1C" w:rsidRPr="00D13792" w:rsidRDefault="006A0E1C" w:rsidP="006A0E1C">
      <w:pPr>
        <w:tabs>
          <w:tab w:val="left" w:pos="567"/>
          <w:tab w:val="left" w:pos="720"/>
        </w:tabs>
        <w:spacing w:afterLines="40" w:after="96" w:line="240" w:lineRule="auto"/>
        <w:rPr>
          <w:rFonts w:cs="Verdana"/>
          <w:spacing w:val="-2"/>
          <w:sz w:val="20"/>
          <w:szCs w:val="20"/>
        </w:rPr>
      </w:pPr>
    </w:p>
    <w:p w:rsidR="006A0E1C" w:rsidRPr="00D13792" w:rsidRDefault="006A0E1C" w:rsidP="006A0E1C">
      <w:pPr>
        <w:numPr>
          <w:ilvl w:val="0"/>
          <w:numId w:val="29"/>
        </w:numPr>
        <w:tabs>
          <w:tab w:val="left" w:pos="567"/>
        </w:tabs>
        <w:spacing w:afterLines="40" w:after="96" w:line="240" w:lineRule="auto"/>
        <w:ind w:right="4"/>
        <w:rPr>
          <w:spacing w:val="-2"/>
          <w:sz w:val="20"/>
          <w:szCs w:val="20"/>
        </w:rPr>
      </w:pPr>
      <w:r w:rsidRPr="00D13792">
        <w:rPr>
          <w:spacing w:val="-2"/>
          <w:sz w:val="20"/>
          <w:szCs w:val="20"/>
        </w:rPr>
        <w:t xml:space="preserve">Esta </w:t>
      </w:r>
      <w:r w:rsidRPr="00D13792">
        <w:rPr>
          <w:spacing w:val="-2"/>
          <w:sz w:val="20"/>
          <w:szCs w:val="20"/>
          <w:lang w:eastAsia="es-ES"/>
        </w:rPr>
        <w:t>Sentencia</w:t>
      </w:r>
      <w:r w:rsidRPr="00D13792">
        <w:rPr>
          <w:spacing w:val="-2"/>
          <w:sz w:val="20"/>
          <w:szCs w:val="20"/>
        </w:rPr>
        <w:t xml:space="preserve"> constituye </w:t>
      </w:r>
      <w:r w:rsidRPr="00D13792">
        <w:rPr>
          <w:i/>
          <w:spacing w:val="-2"/>
          <w:sz w:val="20"/>
          <w:szCs w:val="20"/>
        </w:rPr>
        <w:t>per se</w:t>
      </w:r>
      <w:r w:rsidRPr="00D13792">
        <w:rPr>
          <w:spacing w:val="-2"/>
          <w:sz w:val="20"/>
          <w:szCs w:val="20"/>
        </w:rPr>
        <w:t xml:space="preserve"> una forma de reparación.</w:t>
      </w:r>
    </w:p>
    <w:p w:rsidR="006A0E1C" w:rsidRPr="00D13792" w:rsidRDefault="006A0E1C" w:rsidP="006A0E1C">
      <w:pPr>
        <w:tabs>
          <w:tab w:val="left" w:pos="567"/>
        </w:tabs>
        <w:spacing w:afterLines="40" w:after="96" w:line="240" w:lineRule="auto"/>
        <w:ind w:right="4"/>
        <w:rPr>
          <w:rFonts w:cs="Arial"/>
          <w:sz w:val="20"/>
          <w:szCs w:val="20"/>
        </w:rPr>
      </w:pPr>
    </w:p>
    <w:p w:rsidR="006A0E1C" w:rsidRPr="00D13792" w:rsidRDefault="006A0E1C" w:rsidP="006A0E1C">
      <w:pPr>
        <w:numPr>
          <w:ilvl w:val="0"/>
          <w:numId w:val="29"/>
        </w:numPr>
        <w:tabs>
          <w:tab w:val="left" w:pos="567"/>
        </w:tabs>
        <w:spacing w:afterLines="40" w:after="96" w:line="240" w:lineRule="auto"/>
        <w:ind w:right="4"/>
        <w:rPr>
          <w:rFonts w:cs="Arial"/>
          <w:sz w:val="20"/>
          <w:szCs w:val="20"/>
        </w:rPr>
      </w:pPr>
      <w:r w:rsidRPr="00D13792">
        <w:rPr>
          <w:sz w:val="20"/>
          <w:szCs w:val="20"/>
        </w:rPr>
        <w:t xml:space="preserve">El Estado debe remover todos los obstáculos, </w:t>
      </w:r>
      <w:r w:rsidRPr="00D13792">
        <w:rPr>
          <w:i/>
          <w:sz w:val="20"/>
          <w:szCs w:val="20"/>
        </w:rPr>
        <w:t>de facto</w:t>
      </w:r>
      <w:r w:rsidRPr="00D13792">
        <w:rPr>
          <w:sz w:val="20"/>
          <w:szCs w:val="20"/>
        </w:rPr>
        <w:t xml:space="preserve"> y </w:t>
      </w:r>
      <w:r w:rsidRPr="00D13792">
        <w:rPr>
          <w:i/>
          <w:sz w:val="20"/>
          <w:szCs w:val="20"/>
        </w:rPr>
        <w:t>de jure</w:t>
      </w:r>
      <w:r w:rsidRPr="00D13792">
        <w:rPr>
          <w:sz w:val="20"/>
          <w:szCs w:val="20"/>
        </w:rPr>
        <w:t xml:space="preserve">, que mantienen la impunidad en este caso, e iniciar, continuar, impulsar y reabrir las investigaciones que sean necesarias para determinar y, en su caso, sancionar a los responsables de </w:t>
      </w:r>
      <w:r w:rsidRPr="008E7B68">
        <w:rPr>
          <w:sz w:val="20"/>
          <w:szCs w:val="20"/>
        </w:rPr>
        <w:t xml:space="preserve">las violaciones de los derechos humanos </w:t>
      </w:r>
      <w:r w:rsidRPr="00D13792">
        <w:rPr>
          <w:sz w:val="20"/>
          <w:szCs w:val="20"/>
        </w:rPr>
        <w:t xml:space="preserve">objeto del presente caso. Todo ello en un plazo razonable, con el fin de establecer la verdad de los hechos, en los términos de los párrafos 285 a 289 de esta Sentencia. </w:t>
      </w:r>
    </w:p>
    <w:p w:rsidR="006A0E1C" w:rsidRPr="00D13792" w:rsidRDefault="006A0E1C" w:rsidP="006A0E1C">
      <w:pPr>
        <w:tabs>
          <w:tab w:val="num" w:pos="1152"/>
        </w:tabs>
        <w:spacing w:afterLines="40" w:after="96" w:line="240" w:lineRule="auto"/>
        <w:ind w:right="99"/>
        <w:rPr>
          <w:rFonts w:cs="Arial"/>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spacing w:val="-2"/>
          <w:sz w:val="20"/>
          <w:szCs w:val="20"/>
        </w:rPr>
        <w:t xml:space="preserve">El Estado debe realizar o continuar, de manera sistemática, rigurosa y con los recursos humanos y económicos adecuados, </w:t>
      </w:r>
      <w:r w:rsidRPr="00D13792">
        <w:rPr>
          <w:rFonts w:cs="Cambria"/>
          <w:spacing w:val="-2"/>
          <w:sz w:val="20"/>
          <w:szCs w:val="20"/>
        </w:rPr>
        <w:t>las</w:t>
      </w:r>
      <w:r w:rsidRPr="00D13792">
        <w:rPr>
          <w:spacing w:val="-2"/>
          <w:sz w:val="20"/>
          <w:szCs w:val="20"/>
        </w:rPr>
        <w:t xml:space="preserve"> acciones necesarias tanto</w:t>
      </w:r>
      <w:r w:rsidRPr="00D13792">
        <w:rPr>
          <w:rFonts w:cs="Verdana"/>
          <w:spacing w:val="-2"/>
          <w:sz w:val="20"/>
          <w:szCs w:val="20"/>
        </w:rPr>
        <w:t xml:space="preserve"> para </w:t>
      </w:r>
      <w:r w:rsidRPr="00D13792">
        <w:rPr>
          <w:sz w:val="20"/>
          <w:szCs w:val="20"/>
        </w:rPr>
        <w:t>determinar el paradero de los miembros de la aldea de Chichupac y comunidades vecinas desaparecidos forzadamente, así como localizar, exhumar e identificar a las personas falleci</w:t>
      </w:r>
      <w:r>
        <w:rPr>
          <w:sz w:val="20"/>
          <w:szCs w:val="20"/>
        </w:rPr>
        <w:t>das</w:t>
      </w:r>
      <w:r w:rsidRPr="00D13792">
        <w:rPr>
          <w:sz w:val="20"/>
          <w:szCs w:val="20"/>
        </w:rPr>
        <w:t>, en los términos de los párrafos 292 a 297 de esta Sentencia.</w:t>
      </w:r>
    </w:p>
    <w:p w:rsidR="006A0E1C" w:rsidRPr="00D13792" w:rsidRDefault="006A0E1C" w:rsidP="006A0E1C">
      <w:pPr>
        <w:pStyle w:val="ListParagraph"/>
        <w:spacing w:afterLines="40" w:after="96" w:line="240" w:lineRule="auto"/>
        <w:ind w:left="0"/>
        <w:jc w:val="both"/>
        <w:rPr>
          <w:rFonts w:ascii="Verdana" w:hAnsi="Verdana"/>
          <w:sz w:val="20"/>
          <w:szCs w:val="20"/>
          <w:lang w:val="es-CR"/>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sz w:val="20"/>
          <w:szCs w:val="20"/>
        </w:rPr>
        <w:t>El Estado debe brindar tratamiento médico, psicológico y/o psiquiátrico a las víctimas del presente caso, en los términos de los párrafos 302 a 304 de esta Sentencia.</w:t>
      </w:r>
    </w:p>
    <w:p w:rsidR="006A0E1C" w:rsidRPr="00D13792" w:rsidRDefault="006A0E1C" w:rsidP="006A0E1C">
      <w:pPr>
        <w:tabs>
          <w:tab w:val="num" w:pos="792"/>
          <w:tab w:val="num" w:pos="1152"/>
        </w:tabs>
        <w:spacing w:afterLines="40" w:after="96" w:line="240" w:lineRule="auto"/>
        <w:ind w:right="99"/>
        <w:rPr>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sz w:val="20"/>
          <w:szCs w:val="20"/>
        </w:rPr>
        <w:t>El Estado debe realizar un acto público de reconocimiento de responsabilidad internacional por los hechos del presente caso, en los términos del párrafo 306 de esta Sentencia.</w:t>
      </w:r>
    </w:p>
    <w:p w:rsidR="006A0E1C" w:rsidRPr="00D13792" w:rsidRDefault="006A0E1C" w:rsidP="006A0E1C">
      <w:pPr>
        <w:pStyle w:val="ListParagraph"/>
        <w:spacing w:afterLines="40" w:after="96" w:line="240" w:lineRule="auto"/>
        <w:ind w:left="0"/>
        <w:jc w:val="both"/>
        <w:rPr>
          <w:rFonts w:ascii="Verdana" w:hAnsi="Verdana"/>
          <w:sz w:val="20"/>
          <w:szCs w:val="20"/>
          <w:lang w:val="es-CR"/>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sz w:val="20"/>
          <w:szCs w:val="20"/>
        </w:rPr>
        <w:t>El Estado debe realizar las publicaciones indicadas en el párrafo 309 de la presente Sentencia.</w:t>
      </w:r>
    </w:p>
    <w:p w:rsidR="006A0E1C" w:rsidRPr="00D13792" w:rsidRDefault="006A0E1C" w:rsidP="006A0E1C">
      <w:pPr>
        <w:tabs>
          <w:tab w:val="left" w:pos="567"/>
        </w:tabs>
        <w:spacing w:afterLines="40" w:after="96" w:line="240" w:lineRule="auto"/>
        <w:ind w:right="4"/>
        <w:rPr>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sz w:val="20"/>
          <w:szCs w:val="20"/>
        </w:rPr>
        <w:t>El Estado debe incluir formación</w:t>
      </w:r>
      <w:r w:rsidRPr="00D13792">
        <w:rPr>
          <w:b/>
          <w:sz w:val="20"/>
          <w:szCs w:val="20"/>
        </w:rPr>
        <w:t xml:space="preserve"> </w:t>
      </w:r>
      <w:r w:rsidRPr="00D13792">
        <w:rPr>
          <w:sz w:val="20"/>
          <w:szCs w:val="20"/>
        </w:rPr>
        <w:t>en derechos humanos y derecho internacional humanitario de forma permanente en el pensum de los diferentes centros de formación, profesionalización vocacional y capacitación del Ejército de Guatemala, en los términos de los párrafos 312 y 313 de esta Sentencia.</w:t>
      </w:r>
    </w:p>
    <w:p w:rsidR="006A0E1C" w:rsidRPr="00D13792" w:rsidRDefault="006A0E1C" w:rsidP="006A0E1C">
      <w:pPr>
        <w:tabs>
          <w:tab w:val="num" w:pos="792"/>
          <w:tab w:val="num" w:pos="1152"/>
        </w:tabs>
        <w:spacing w:afterLines="40" w:after="96" w:line="240" w:lineRule="auto"/>
        <w:ind w:right="99"/>
        <w:rPr>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sz w:val="20"/>
          <w:szCs w:val="20"/>
        </w:rPr>
        <w:t xml:space="preserve">El Estado debe </w:t>
      </w:r>
      <w:r w:rsidRPr="00D13792">
        <w:rPr>
          <w:rFonts w:eastAsia="Batang" w:cs="Times"/>
          <w:sz w:val="20"/>
          <w:szCs w:val="20"/>
        </w:rPr>
        <w:t>diseñar e implementar, en los pensum permanente</w:t>
      </w:r>
      <w:r>
        <w:rPr>
          <w:rFonts w:eastAsia="Batang" w:cs="Times"/>
          <w:sz w:val="20"/>
          <w:szCs w:val="20"/>
        </w:rPr>
        <w:t>s</w:t>
      </w:r>
      <w:r w:rsidRPr="00D13792">
        <w:rPr>
          <w:rFonts w:eastAsia="Batang" w:cs="Times"/>
          <w:sz w:val="20"/>
          <w:szCs w:val="20"/>
        </w:rPr>
        <w:t xml:space="preserve"> de formación de la carrera judicial y de la carrera fiscal, respectivamente, programas de educación en derechos humanos y derecho internacional humanitario, </w:t>
      </w:r>
      <w:r w:rsidRPr="00D13792">
        <w:rPr>
          <w:sz w:val="20"/>
          <w:szCs w:val="20"/>
        </w:rPr>
        <w:t>en los términos de los párrafos 316 a 318 de esta Sentencia.</w:t>
      </w:r>
    </w:p>
    <w:p w:rsidR="006A0E1C" w:rsidRPr="00D13792" w:rsidRDefault="006A0E1C" w:rsidP="006A0E1C">
      <w:pPr>
        <w:tabs>
          <w:tab w:val="num" w:pos="792"/>
          <w:tab w:val="num" w:pos="1152"/>
        </w:tabs>
        <w:spacing w:afterLines="40" w:after="96" w:line="240" w:lineRule="auto"/>
        <w:ind w:right="99"/>
        <w:rPr>
          <w:sz w:val="20"/>
          <w:szCs w:val="20"/>
        </w:rPr>
      </w:pPr>
    </w:p>
    <w:p w:rsidR="006A0E1C" w:rsidRPr="00D13792" w:rsidRDefault="006A0E1C" w:rsidP="006A0E1C">
      <w:pPr>
        <w:numPr>
          <w:ilvl w:val="0"/>
          <w:numId w:val="29"/>
        </w:numPr>
        <w:tabs>
          <w:tab w:val="left" w:pos="567"/>
        </w:tabs>
        <w:spacing w:afterLines="40" w:after="96" w:line="240" w:lineRule="auto"/>
        <w:ind w:right="4"/>
        <w:rPr>
          <w:rFonts w:eastAsia="Batang" w:cs="Times"/>
          <w:sz w:val="20"/>
          <w:szCs w:val="20"/>
        </w:rPr>
      </w:pPr>
      <w:r w:rsidRPr="00D13792">
        <w:rPr>
          <w:rFonts w:eastAsia="Batang" w:cs="Times"/>
          <w:sz w:val="20"/>
          <w:szCs w:val="20"/>
        </w:rPr>
        <w:t xml:space="preserve">El Estado debe incorporar al currículo del Sistema Educativo Nacional, en todos sus niveles, un programa de educación cuyo contenido refleje la naturaleza pluricultural y multilingüe de la sociedad guatemalteca, impulsando el respeto y el conocimiento de las diversas culturas indígenas, incluyendo sus cosmovisiones, historias, lenguas, conocimientos, valores, culturas, prácticas y formas de vida, </w:t>
      </w:r>
      <w:r w:rsidRPr="00D13792">
        <w:rPr>
          <w:sz w:val="20"/>
          <w:szCs w:val="20"/>
        </w:rPr>
        <w:t>en los términos del párrafo 319 de esta Sentencia</w:t>
      </w:r>
      <w:r w:rsidRPr="00D13792">
        <w:rPr>
          <w:rFonts w:eastAsia="Batang" w:cs="Times"/>
          <w:sz w:val="20"/>
          <w:szCs w:val="20"/>
        </w:rPr>
        <w:t>.</w:t>
      </w:r>
    </w:p>
    <w:p w:rsidR="006A0E1C" w:rsidRPr="00D13792" w:rsidRDefault="006A0E1C" w:rsidP="006A0E1C">
      <w:pPr>
        <w:tabs>
          <w:tab w:val="left" w:pos="567"/>
        </w:tabs>
        <w:spacing w:afterLines="40" w:after="96" w:line="240" w:lineRule="auto"/>
        <w:ind w:right="4"/>
        <w:rPr>
          <w:sz w:val="20"/>
          <w:szCs w:val="20"/>
        </w:rPr>
      </w:pPr>
    </w:p>
    <w:p w:rsidR="006A0E1C" w:rsidRPr="00D13792" w:rsidRDefault="006A0E1C" w:rsidP="006A0E1C">
      <w:pPr>
        <w:numPr>
          <w:ilvl w:val="0"/>
          <w:numId w:val="29"/>
        </w:numPr>
        <w:tabs>
          <w:tab w:val="left" w:pos="567"/>
        </w:tabs>
        <w:spacing w:afterLines="40" w:after="96" w:line="240" w:lineRule="auto"/>
        <w:ind w:right="4"/>
        <w:rPr>
          <w:rFonts w:eastAsia="Batang" w:cs="Times"/>
          <w:sz w:val="20"/>
          <w:szCs w:val="20"/>
        </w:rPr>
      </w:pPr>
      <w:r w:rsidRPr="00D13792">
        <w:rPr>
          <w:sz w:val="20"/>
          <w:szCs w:val="20"/>
        </w:rPr>
        <w:t>El Estado debe fortalecer los organismos existentes o los que vaya a crear con el fin de erradicar la discriminación racial y étnica, en los términos del párrafo 320 de esta Sentencia</w:t>
      </w:r>
      <w:r w:rsidRPr="00D13792">
        <w:rPr>
          <w:rFonts w:eastAsia="Batang" w:cs="Times"/>
          <w:sz w:val="20"/>
          <w:szCs w:val="20"/>
        </w:rPr>
        <w:t>.</w:t>
      </w:r>
    </w:p>
    <w:p w:rsidR="006A0E1C" w:rsidRPr="00D13792" w:rsidRDefault="006A0E1C" w:rsidP="006A0E1C">
      <w:pPr>
        <w:tabs>
          <w:tab w:val="left" w:pos="567"/>
        </w:tabs>
        <w:spacing w:afterLines="40" w:after="96" w:line="240" w:lineRule="auto"/>
        <w:ind w:right="4"/>
        <w:rPr>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sz w:val="20"/>
          <w:szCs w:val="20"/>
        </w:rPr>
        <w:t xml:space="preserve">El Estado debe pagar las cantidades fijadas en los párrafos 327 y 334 de la presente Sentencia, por concepto de indemnizaciones por daño material e inmaterial, y por el reintegro de costas y gastos, en los términos de los referidos párrafos y de los párrafos 324 a 328, y 331 a 340 de este Fallo.  </w:t>
      </w:r>
    </w:p>
    <w:p w:rsidR="006A0E1C" w:rsidRPr="00D13792" w:rsidRDefault="006A0E1C" w:rsidP="006A0E1C">
      <w:pPr>
        <w:tabs>
          <w:tab w:val="num" w:pos="792"/>
          <w:tab w:val="num" w:pos="1152"/>
        </w:tabs>
        <w:spacing w:afterLines="40" w:after="96" w:line="240" w:lineRule="auto"/>
        <w:ind w:right="99"/>
        <w:rPr>
          <w:sz w:val="20"/>
          <w:szCs w:val="20"/>
        </w:rPr>
      </w:pPr>
    </w:p>
    <w:p w:rsidR="006A0E1C" w:rsidRPr="00D13792" w:rsidRDefault="006A0E1C" w:rsidP="006A0E1C">
      <w:pPr>
        <w:numPr>
          <w:ilvl w:val="0"/>
          <w:numId w:val="29"/>
        </w:numPr>
        <w:tabs>
          <w:tab w:val="left" w:pos="567"/>
        </w:tabs>
        <w:spacing w:afterLines="40" w:after="96" w:line="240" w:lineRule="auto"/>
        <w:ind w:right="4"/>
        <w:rPr>
          <w:sz w:val="20"/>
          <w:szCs w:val="20"/>
        </w:rPr>
      </w:pPr>
      <w:r w:rsidRPr="00D13792">
        <w:rPr>
          <w:sz w:val="20"/>
          <w:szCs w:val="20"/>
        </w:rPr>
        <w:t xml:space="preserve">El Estado debe, dentro del plazo de un año contado a partir de la notificación de esta Sentencia, rendir a la Corte Interamericana de Derechos Humanos un informe sobre las medidas adoptadas para cumplir con la misma. </w:t>
      </w:r>
    </w:p>
    <w:p w:rsidR="006A0E1C" w:rsidRPr="00D13792" w:rsidRDefault="006A0E1C" w:rsidP="006A0E1C">
      <w:pPr>
        <w:pStyle w:val="PrrafodeSentencia"/>
        <w:spacing w:afterLines="40" w:after="96"/>
        <w:jc w:val="both"/>
        <w:rPr>
          <w:b w:val="0"/>
          <w:bCs/>
          <w:i w:val="0"/>
          <w:lang w:val="es-CR"/>
        </w:rPr>
      </w:pPr>
    </w:p>
    <w:p w:rsidR="006A0E1C" w:rsidRPr="00D13792" w:rsidRDefault="006A0E1C" w:rsidP="006A0E1C">
      <w:pPr>
        <w:numPr>
          <w:ilvl w:val="0"/>
          <w:numId w:val="29"/>
        </w:numPr>
        <w:tabs>
          <w:tab w:val="left" w:pos="567"/>
        </w:tabs>
        <w:spacing w:afterLines="40" w:after="96" w:line="240" w:lineRule="auto"/>
        <w:ind w:right="4"/>
        <w:rPr>
          <w:rFonts w:eastAsia="Calibri"/>
          <w:lang w:eastAsia="es-ES"/>
        </w:rPr>
      </w:pPr>
      <w:r w:rsidRPr="00D13792">
        <w:rPr>
          <w:sz w:val="20"/>
          <w:szCs w:val="20"/>
        </w:rPr>
        <w:t xml:space="preserve">La Corte supervisará el cumplimiento íntegro de este Fallo, en ejercicio de sus atribuciones y en cumplimiento de sus deberes conforme a la Convención Americana, y dará por concluido el presente caso una vez que el Estado haya dado cabal cumplimiento a lo dispuesto en el mismo.  </w:t>
      </w:r>
    </w:p>
    <w:p w:rsidR="00231E67" w:rsidRDefault="00231E67">
      <w:pPr>
        <w:widowControl/>
        <w:adjustRightInd/>
        <w:spacing w:line="240" w:lineRule="auto"/>
        <w:jc w:val="left"/>
        <w:textAlignment w:val="auto"/>
        <w:rPr>
          <w:sz w:val="16"/>
        </w:rPr>
      </w:pPr>
      <w:bookmarkStart w:id="291" w:name="_GoBack"/>
      <w:bookmarkEnd w:id="291"/>
    </w:p>
    <w:p w:rsidR="00467C66" w:rsidRDefault="00467C66" w:rsidP="00AD1689">
      <w:pPr>
        <w:tabs>
          <w:tab w:val="left" w:pos="567"/>
        </w:tabs>
        <w:spacing w:line="240" w:lineRule="auto"/>
        <w:ind w:right="4"/>
        <w:rPr>
          <w:sz w:val="16"/>
        </w:rPr>
      </w:pPr>
    </w:p>
    <w:p w:rsidR="00D057A2" w:rsidRDefault="00D057A2" w:rsidP="00AD1689">
      <w:pPr>
        <w:tabs>
          <w:tab w:val="left" w:pos="567"/>
        </w:tabs>
        <w:spacing w:line="240" w:lineRule="auto"/>
        <w:ind w:right="4"/>
        <w:rPr>
          <w:sz w:val="16"/>
        </w:rPr>
      </w:pPr>
    </w:p>
    <w:p w:rsidR="00D057A2" w:rsidRDefault="00D057A2" w:rsidP="00AD1689">
      <w:pPr>
        <w:tabs>
          <w:tab w:val="left" w:pos="567"/>
        </w:tabs>
        <w:spacing w:line="240" w:lineRule="auto"/>
        <w:ind w:right="4"/>
        <w:rPr>
          <w:sz w:val="16"/>
        </w:rPr>
      </w:pPr>
    </w:p>
    <w:p w:rsidR="00D057A2" w:rsidRPr="00D057A2" w:rsidRDefault="00D057A2" w:rsidP="00D057A2">
      <w:pPr>
        <w:widowControl/>
        <w:adjustRightInd/>
        <w:spacing w:line="240" w:lineRule="auto"/>
        <w:textAlignment w:val="auto"/>
        <w:rPr>
          <w:rFonts w:eastAsia="Times"/>
          <w:sz w:val="20"/>
          <w:szCs w:val="20"/>
          <w:lang w:val="es-ES" w:eastAsia="en-US"/>
        </w:rPr>
      </w:pPr>
      <w:r w:rsidRPr="00D057A2">
        <w:rPr>
          <w:rFonts w:eastAsia="Times"/>
          <w:sz w:val="20"/>
          <w:szCs w:val="20"/>
          <w:lang w:val="es-ES" w:eastAsia="en-US"/>
        </w:rPr>
        <w:lastRenderedPageBreak/>
        <w:t>Sentencia de la Corte Interamericana de Derechos Humanos. Caso Miembros de la Aldea Chichupac y Comunidades Vecinas del Municipio de Rabinal Vs. Guatemala. Excepciones Preliminares, Fondo, Reparaciones y Costas. Sentencia de 30 de noviembre de 2016.</w:t>
      </w: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jc w:val="center"/>
        <w:textAlignment w:val="auto"/>
        <w:rPr>
          <w:rFonts w:eastAsia="Times"/>
          <w:sz w:val="20"/>
          <w:szCs w:val="20"/>
          <w:lang w:val="es-ES" w:eastAsia="en-US"/>
        </w:rPr>
      </w:pPr>
    </w:p>
    <w:p w:rsidR="00D057A2" w:rsidRPr="00D057A2" w:rsidRDefault="00D057A2" w:rsidP="00D057A2">
      <w:pPr>
        <w:widowControl/>
        <w:adjustRightInd/>
        <w:spacing w:line="240" w:lineRule="auto"/>
        <w:jc w:val="center"/>
        <w:textAlignment w:val="auto"/>
        <w:rPr>
          <w:rFonts w:eastAsia="Times"/>
          <w:sz w:val="20"/>
          <w:szCs w:val="20"/>
          <w:lang w:val="es-ES" w:eastAsia="en-US"/>
        </w:rPr>
      </w:pPr>
    </w:p>
    <w:p w:rsidR="00D057A2" w:rsidRPr="00D057A2" w:rsidRDefault="00D057A2" w:rsidP="00D057A2">
      <w:pPr>
        <w:widowControl/>
        <w:adjustRightInd/>
        <w:spacing w:line="240" w:lineRule="auto"/>
        <w:jc w:val="center"/>
        <w:textAlignment w:val="auto"/>
        <w:rPr>
          <w:rFonts w:eastAsia="Times"/>
          <w:sz w:val="20"/>
          <w:szCs w:val="20"/>
          <w:lang w:val="es-ES" w:eastAsia="en-US"/>
        </w:rPr>
      </w:pPr>
    </w:p>
    <w:p w:rsidR="00D057A2" w:rsidRPr="00D057A2" w:rsidRDefault="00D057A2" w:rsidP="00D057A2">
      <w:pPr>
        <w:widowControl/>
        <w:adjustRightInd/>
        <w:spacing w:line="240" w:lineRule="auto"/>
        <w:jc w:val="center"/>
        <w:textAlignment w:val="auto"/>
        <w:rPr>
          <w:rFonts w:eastAsia="Times"/>
          <w:sz w:val="20"/>
          <w:szCs w:val="20"/>
          <w:lang w:val="es-ES" w:eastAsia="en-US"/>
        </w:rPr>
      </w:pPr>
    </w:p>
    <w:p w:rsidR="00D057A2" w:rsidRPr="00D057A2" w:rsidRDefault="00D057A2" w:rsidP="00D057A2">
      <w:pPr>
        <w:widowControl/>
        <w:adjustRightInd/>
        <w:spacing w:line="240" w:lineRule="auto"/>
        <w:jc w:val="center"/>
        <w:textAlignment w:val="auto"/>
        <w:rPr>
          <w:rFonts w:eastAsia="Times"/>
          <w:sz w:val="20"/>
          <w:szCs w:val="20"/>
          <w:lang w:val="es-ES" w:eastAsia="en-US"/>
        </w:rPr>
      </w:pPr>
      <w:r w:rsidRPr="00D057A2">
        <w:rPr>
          <w:rFonts w:eastAsia="Times"/>
          <w:sz w:val="20"/>
          <w:szCs w:val="20"/>
          <w:lang w:val="es-ES" w:eastAsia="en-US"/>
        </w:rPr>
        <w:t>Roberto F. Caldas</w:t>
      </w:r>
    </w:p>
    <w:p w:rsidR="00D057A2" w:rsidRPr="00D057A2" w:rsidRDefault="00D057A2" w:rsidP="00D057A2">
      <w:pPr>
        <w:widowControl/>
        <w:adjustRightInd/>
        <w:spacing w:line="240" w:lineRule="auto"/>
        <w:jc w:val="center"/>
        <w:textAlignment w:val="auto"/>
        <w:rPr>
          <w:rFonts w:eastAsia="Times"/>
          <w:sz w:val="20"/>
          <w:szCs w:val="20"/>
          <w:lang w:val="es-ES" w:eastAsia="en-US"/>
        </w:rPr>
      </w:pPr>
      <w:r w:rsidRPr="00D057A2">
        <w:rPr>
          <w:rFonts w:eastAsia="Times"/>
          <w:sz w:val="20"/>
          <w:szCs w:val="20"/>
          <w:lang w:val="es-ES" w:eastAsia="en-US"/>
        </w:rPr>
        <w:t xml:space="preserve">Presidente </w:t>
      </w: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r w:rsidRPr="00D057A2">
        <w:rPr>
          <w:rFonts w:eastAsia="Times"/>
          <w:sz w:val="20"/>
          <w:szCs w:val="20"/>
          <w:lang w:val="es-ES" w:eastAsia="en-US"/>
        </w:rPr>
        <w:t>Eduardo Ferrer Mac-Gregor Poisot</w:t>
      </w:r>
      <w:r w:rsidRPr="00D057A2">
        <w:rPr>
          <w:rFonts w:eastAsia="Times"/>
          <w:sz w:val="20"/>
          <w:szCs w:val="20"/>
          <w:lang w:val="es-ES" w:eastAsia="en-US"/>
        </w:rPr>
        <w:tab/>
      </w:r>
      <w:r w:rsidRPr="00D057A2">
        <w:rPr>
          <w:rFonts w:eastAsia="Times"/>
          <w:sz w:val="20"/>
          <w:szCs w:val="20"/>
          <w:lang w:val="es-ES" w:eastAsia="en-US"/>
        </w:rPr>
        <w:tab/>
      </w:r>
      <w:r w:rsidRPr="00D057A2">
        <w:rPr>
          <w:rFonts w:eastAsia="Times"/>
          <w:sz w:val="20"/>
          <w:szCs w:val="20"/>
          <w:lang w:val="es-ES" w:eastAsia="en-US"/>
        </w:rPr>
        <w:tab/>
      </w:r>
      <w:r w:rsidRPr="00D057A2">
        <w:rPr>
          <w:rFonts w:eastAsia="Times"/>
          <w:sz w:val="20"/>
          <w:szCs w:val="20"/>
          <w:lang w:val="es-ES" w:eastAsia="en-US"/>
        </w:rPr>
        <w:tab/>
      </w:r>
      <w:r w:rsidRPr="00D057A2">
        <w:rPr>
          <w:rFonts w:eastAsia="Times"/>
          <w:sz w:val="20"/>
          <w:szCs w:val="20"/>
          <w:lang w:val="es-ES" w:eastAsia="en-US"/>
        </w:rPr>
        <w:tab/>
        <w:t xml:space="preserve">       Eduardo Vio Grossi</w:t>
      </w: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r w:rsidRPr="00D057A2">
        <w:rPr>
          <w:rFonts w:eastAsia="Times"/>
          <w:sz w:val="20"/>
          <w:szCs w:val="20"/>
          <w:lang w:val="es-ES" w:eastAsia="en-US"/>
        </w:rPr>
        <w:t>Humberto Antonio Sierra Porto</w:t>
      </w:r>
      <w:r w:rsidRPr="00D057A2">
        <w:rPr>
          <w:rFonts w:eastAsia="Times"/>
          <w:sz w:val="20"/>
          <w:szCs w:val="20"/>
          <w:lang w:val="es-ES" w:eastAsia="en-US"/>
        </w:rPr>
        <w:tab/>
      </w:r>
      <w:r w:rsidRPr="00D057A2">
        <w:rPr>
          <w:rFonts w:eastAsia="Times"/>
          <w:sz w:val="20"/>
          <w:szCs w:val="20"/>
          <w:lang w:val="es-ES" w:eastAsia="en-US"/>
        </w:rPr>
        <w:tab/>
      </w:r>
      <w:r w:rsidRPr="00D057A2">
        <w:rPr>
          <w:rFonts w:eastAsia="Times"/>
          <w:sz w:val="20"/>
          <w:szCs w:val="20"/>
          <w:lang w:val="es-ES" w:eastAsia="en-US"/>
        </w:rPr>
        <w:tab/>
      </w:r>
      <w:r w:rsidRPr="00D057A2">
        <w:rPr>
          <w:rFonts w:eastAsia="Times"/>
          <w:sz w:val="20"/>
          <w:szCs w:val="20"/>
          <w:lang w:val="es-ES" w:eastAsia="en-US"/>
        </w:rPr>
        <w:tab/>
      </w:r>
      <w:r w:rsidRPr="00D057A2">
        <w:rPr>
          <w:rFonts w:eastAsia="Times"/>
          <w:sz w:val="20"/>
          <w:szCs w:val="20"/>
          <w:lang w:val="es-ES" w:eastAsia="en-US"/>
        </w:rPr>
        <w:tab/>
        <w:t xml:space="preserve">    Elizabeth Odio Benito</w:t>
      </w: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jc w:val="left"/>
        <w:textAlignment w:val="auto"/>
        <w:rPr>
          <w:rFonts w:eastAsia="Times"/>
          <w:sz w:val="20"/>
          <w:szCs w:val="20"/>
          <w:lang w:val="es-ES" w:eastAsia="en-US"/>
        </w:rPr>
      </w:pPr>
      <w:r w:rsidRPr="00D057A2">
        <w:rPr>
          <w:rFonts w:eastAsia="Times"/>
          <w:sz w:val="20"/>
          <w:szCs w:val="20"/>
          <w:lang w:val="es-ES" w:eastAsia="en-US"/>
        </w:rPr>
        <w:t xml:space="preserve">Eugenio Raúl Zaffaroni </w:t>
      </w:r>
      <w:r w:rsidRPr="00D057A2">
        <w:rPr>
          <w:rFonts w:eastAsia="Times"/>
          <w:sz w:val="20"/>
          <w:szCs w:val="20"/>
          <w:lang w:val="es-ES" w:eastAsia="en-US"/>
        </w:rPr>
        <w:tab/>
      </w:r>
      <w:r w:rsidRPr="00D057A2">
        <w:rPr>
          <w:rFonts w:eastAsia="Times"/>
          <w:sz w:val="20"/>
          <w:szCs w:val="20"/>
          <w:lang w:val="es-ES" w:eastAsia="en-US"/>
        </w:rPr>
        <w:tab/>
      </w:r>
      <w:r w:rsidRPr="00D057A2">
        <w:rPr>
          <w:rFonts w:eastAsia="Times"/>
          <w:sz w:val="20"/>
          <w:szCs w:val="20"/>
          <w:lang w:val="es-ES" w:eastAsia="en-US"/>
        </w:rPr>
        <w:tab/>
      </w:r>
      <w:r w:rsidRPr="00D057A2">
        <w:rPr>
          <w:rFonts w:eastAsia="Times"/>
          <w:sz w:val="20"/>
          <w:szCs w:val="20"/>
          <w:lang w:val="es-ES" w:eastAsia="en-US"/>
        </w:rPr>
        <w:tab/>
      </w:r>
      <w:r w:rsidRPr="00D057A2">
        <w:rPr>
          <w:rFonts w:eastAsia="Times"/>
          <w:sz w:val="20"/>
          <w:szCs w:val="20"/>
          <w:lang w:val="es-ES" w:eastAsia="en-US"/>
        </w:rPr>
        <w:tab/>
        <w:t xml:space="preserve">        L. Patricio Pazmiño Freire</w:t>
      </w: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jc w:val="center"/>
        <w:textAlignment w:val="auto"/>
        <w:rPr>
          <w:rFonts w:eastAsia="Times"/>
          <w:sz w:val="20"/>
          <w:szCs w:val="20"/>
          <w:lang w:val="es-ES" w:eastAsia="en-US"/>
        </w:rPr>
      </w:pPr>
      <w:r w:rsidRPr="00D057A2">
        <w:rPr>
          <w:rFonts w:eastAsia="Times"/>
          <w:sz w:val="20"/>
          <w:szCs w:val="20"/>
          <w:lang w:val="es-ES" w:eastAsia="en-US"/>
        </w:rPr>
        <w:t>Pablo Saavedra Alessandri</w:t>
      </w:r>
    </w:p>
    <w:p w:rsidR="00D057A2" w:rsidRPr="00D057A2" w:rsidRDefault="00D057A2" w:rsidP="00D057A2">
      <w:pPr>
        <w:widowControl/>
        <w:adjustRightInd/>
        <w:spacing w:line="240" w:lineRule="auto"/>
        <w:jc w:val="center"/>
        <w:textAlignment w:val="auto"/>
        <w:rPr>
          <w:rFonts w:eastAsia="Times"/>
          <w:sz w:val="20"/>
          <w:szCs w:val="20"/>
          <w:lang w:val="es-ES" w:eastAsia="en-US"/>
        </w:rPr>
      </w:pPr>
      <w:r w:rsidRPr="00D057A2">
        <w:rPr>
          <w:rFonts w:eastAsia="Times"/>
          <w:sz w:val="20"/>
          <w:szCs w:val="20"/>
          <w:lang w:val="es-ES" w:eastAsia="en-US"/>
        </w:rPr>
        <w:t>Secretario</w:t>
      </w:r>
    </w:p>
    <w:p w:rsidR="00D057A2" w:rsidRPr="00D057A2" w:rsidRDefault="00D057A2" w:rsidP="00D057A2">
      <w:pPr>
        <w:widowControl/>
        <w:adjustRightInd/>
        <w:spacing w:line="240" w:lineRule="auto"/>
        <w:jc w:val="left"/>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r w:rsidRPr="00D057A2">
        <w:rPr>
          <w:rFonts w:eastAsia="Times"/>
          <w:sz w:val="20"/>
          <w:szCs w:val="20"/>
          <w:lang w:val="es-ES" w:eastAsia="en-US"/>
        </w:rPr>
        <w:t>Comuníquese y ejecútese,</w:t>
      </w: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jc w:val="center"/>
        <w:textAlignment w:val="auto"/>
        <w:rPr>
          <w:rFonts w:eastAsia="Times"/>
          <w:sz w:val="20"/>
          <w:szCs w:val="20"/>
          <w:lang w:val="es-ES" w:eastAsia="en-US"/>
        </w:rPr>
      </w:pPr>
      <w:r w:rsidRPr="00D057A2">
        <w:rPr>
          <w:rFonts w:eastAsia="Times"/>
          <w:sz w:val="20"/>
          <w:szCs w:val="20"/>
          <w:lang w:val="es-ES" w:eastAsia="en-US"/>
        </w:rPr>
        <w:t>Roberto F. Caldas</w:t>
      </w:r>
    </w:p>
    <w:p w:rsidR="00D057A2" w:rsidRPr="00D057A2" w:rsidRDefault="00D057A2" w:rsidP="00D057A2">
      <w:pPr>
        <w:widowControl/>
        <w:adjustRightInd/>
        <w:spacing w:line="240" w:lineRule="auto"/>
        <w:jc w:val="center"/>
        <w:textAlignment w:val="auto"/>
        <w:rPr>
          <w:rFonts w:eastAsia="Times"/>
          <w:sz w:val="20"/>
          <w:szCs w:val="20"/>
          <w:lang w:val="es-ES" w:eastAsia="en-US"/>
        </w:rPr>
      </w:pPr>
      <w:r w:rsidRPr="00D057A2">
        <w:rPr>
          <w:rFonts w:eastAsia="Times"/>
          <w:sz w:val="20"/>
          <w:szCs w:val="20"/>
          <w:lang w:val="es-ES" w:eastAsia="en-US"/>
        </w:rPr>
        <w:t xml:space="preserve">Presidente </w:t>
      </w: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p>
    <w:p w:rsidR="00D057A2" w:rsidRPr="00D057A2" w:rsidRDefault="00D057A2" w:rsidP="00D057A2">
      <w:pPr>
        <w:widowControl/>
        <w:adjustRightInd/>
        <w:spacing w:line="240" w:lineRule="auto"/>
        <w:textAlignment w:val="auto"/>
        <w:rPr>
          <w:rFonts w:eastAsia="Times"/>
          <w:sz w:val="20"/>
          <w:szCs w:val="20"/>
          <w:lang w:val="es-ES" w:eastAsia="en-US"/>
        </w:rPr>
      </w:pPr>
      <w:r w:rsidRPr="00D057A2">
        <w:rPr>
          <w:rFonts w:eastAsia="Times"/>
          <w:sz w:val="20"/>
          <w:szCs w:val="20"/>
          <w:lang w:val="es-ES" w:eastAsia="en-US"/>
        </w:rPr>
        <w:t>Pablo Saavedra Alessandri</w:t>
      </w:r>
    </w:p>
    <w:p w:rsidR="00D057A2" w:rsidRPr="00D057A2" w:rsidRDefault="00D057A2" w:rsidP="00D057A2">
      <w:pPr>
        <w:widowControl/>
        <w:adjustRightInd/>
        <w:spacing w:line="240" w:lineRule="auto"/>
        <w:jc w:val="left"/>
        <w:textAlignment w:val="auto"/>
        <w:rPr>
          <w:rFonts w:eastAsia="Times"/>
          <w:sz w:val="20"/>
          <w:szCs w:val="20"/>
          <w:lang w:eastAsia="en-US"/>
        </w:rPr>
      </w:pPr>
      <w:r w:rsidRPr="00D057A2">
        <w:rPr>
          <w:rFonts w:eastAsia="Times"/>
          <w:sz w:val="20"/>
          <w:szCs w:val="20"/>
          <w:lang w:val="es-ES" w:eastAsia="en-US"/>
        </w:rPr>
        <w:tab/>
      </w:r>
      <w:r w:rsidRPr="00D057A2">
        <w:rPr>
          <w:rFonts w:eastAsia="Times"/>
          <w:sz w:val="20"/>
          <w:szCs w:val="20"/>
          <w:lang w:eastAsia="en-US"/>
        </w:rPr>
        <w:t>Secretario</w:t>
      </w:r>
    </w:p>
    <w:p w:rsidR="00537112" w:rsidRDefault="00537112" w:rsidP="00AD1689">
      <w:pPr>
        <w:tabs>
          <w:tab w:val="left" w:pos="567"/>
        </w:tabs>
        <w:spacing w:line="240" w:lineRule="auto"/>
        <w:ind w:right="4"/>
        <w:rPr>
          <w:sz w:val="16"/>
        </w:rPr>
        <w:sectPr w:rsidR="00537112" w:rsidSect="00D46CE5">
          <w:headerReference w:type="default" r:id="rId13"/>
          <w:footerReference w:type="even" r:id="rId14"/>
          <w:footerReference w:type="default" r:id="rId15"/>
          <w:headerReference w:type="first" r:id="rId16"/>
          <w:pgSz w:w="12240" w:h="15840" w:code="1"/>
          <w:pgMar w:top="1210" w:right="1296" w:bottom="1210" w:left="1296" w:header="706" w:footer="706" w:gutter="0"/>
          <w:cols w:space="708"/>
          <w:titlePg/>
          <w:docGrid w:linePitch="360"/>
        </w:sectPr>
      </w:pPr>
    </w:p>
    <w:p w:rsidR="00537112" w:rsidRPr="00537112" w:rsidRDefault="00537112" w:rsidP="00537112">
      <w:pPr>
        <w:autoSpaceDE w:val="0"/>
        <w:autoSpaceDN w:val="0"/>
        <w:spacing w:before="9"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772"/>
        <w:gridCol w:w="4496"/>
      </w:tblGrid>
      <w:tr w:rsidR="00537112" w:rsidRPr="00537112" w:rsidTr="00630EEC">
        <w:trPr>
          <w:trHeight w:hRule="exact" w:val="348"/>
        </w:trPr>
        <w:tc>
          <w:tcPr>
            <w:tcW w:w="10203" w:type="dxa"/>
            <w:gridSpan w:val="4"/>
            <w:tcBorders>
              <w:top w:val="single" w:sz="4" w:space="0" w:color="auto"/>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34" w:line="240" w:lineRule="auto"/>
              <w:ind w:right="-20"/>
              <w:jc w:val="left"/>
              <w:textAlignment w:val="auto"/>
              <w:rPr>
                <w:rFonts w:ascii="Times New Roman" w:hAnsi="Times New Roman"/>
              </w:rPr>
            </w:pPr>
            <w:r w:rsidRPr="00537112">
              <w:rPr>
                <w:rFonts w:cs="Verdana"/>
                <w:b/>
                <w:bCs/>
                <w:spacing w:val="1"/>
              </w:rPr>
              <w:t>AN</w:t>
            </w:r>
            <w:r w:rsidRPr="00537112">
              <w:rPr>
                <w:rFonts w:cs="Verdana"/>
                <w:b/>
                <w:bCs/>
                <w:spacing w:val="-1"/>
              </w:rPr>
              <w:t>EX</w:t>
            </w:r>
            <w:r w:rsidRPr="00537112">
              <w:rPr>
                <w:rFonts w:cs="Verdana"/>
                <w:b/>
                <w:bCs/>
              </w:rPr>
              <w:t xml:space="preserve">O </w:t>
            </w:r>
            <w:r w:rsidRPr="00537112">
              <w:rPr>
                <w:rFonts w:cs="Verdana"/>
                <w:b/>
                <w:bCs/>
                <w:spacing w:val="1"/>
              </w:rPr>
              <w:t>I</w:t>
            </w:r>
            <w:r w:rsidRPr="00537112">
              <w:rPr>
                <w:rFonts w:cs="Verdana"/>
                <w:b/>
                <w:bCs/>
              </w:rPr>
              <w:t xml:space="preserve">. </w:t>
            </w:r>
            <w:r w:rsidRPr="00537112">
              <w:rPr>
                <w:rFonts w:cs="Verdana"/>
                <w:b/>
                <w:bCs/>
                <w:spacing w:val="1"/>
              </w:rPr>
              <w:t>LI</w:t>
            </w:r>
            <w:r w:rsidRPr="00537112">
              <w:rPr>
                <w:rFonts w:cs="Verdana"/>
                <w:b/>
                <w:bCs/>
              </w:rPr>
              <w:t>ST</w:t>
            </w:r>
            <w:r w:rsidRPr="00537112">
              <w:rPr>
                <w:rFonts w:cs="Verdana"/>
                <w:b/>
                <w:bCs/>
                <w:spacing w:val="1"/>
              </w:rPr>
              <w:t>A</w:t>
            </w:r>
            <w:r w:rsidRPr="00537112">
              <w:rPr>
                <w:rFonts w:cs="Verdana"/>
                <w:b/>
                <w:bCs/>
              </w:rPr>
              <w:t>DO G</w:t>
            </w:r>
            <w:r w:rsidRPr="00537112">
              <w:rPr>
                <w:rFonts w:cs="Verdana"/>
                <w:b/>
                <w:bCs/>
                <w:spacing w:val="-1"/>
              </w:rPr>
              <w:t>E</w:t>
            </w:r>
            <w:r w:rsidRPr="00537112">
              <w:rPr>
                <w:rFonts w:cs="Verdana"/>
                <w:b/>
                <w:bCs/>
                <w:spacing w:val="1"/>
              </w:rPr>
              <w:t>N</w:t>
            </w:r>
            <w:r w:rsidRPr="00537112">
              <w:rPr>
                <w:rFonts w:cs="Verdana"/>
                <w:b/>
                <w:bCs/>
                <w:spacing w:val="-1"/>
              </w:rPr>
              <w:t>E</w:t>
            </w:r>
            <w:r w:rsidRPr="00537112">
              <w:rPr>
                <w:rFonts w:cs="Verdana"/>
                <w:b/>
                <w:bCs/>
              </w:rPr>
              <w:t>R</w:t>
            </w:r>
            <w:r w:rsidRPr="00537112">
              <w:rPr>
                <w:rFonts w:cs="Verdana"/>
                <w:b/>
                <w:bCs/>
                <w:spacing w:val="1"/>
              </w:rPr>
              <w:t>A</w:t>
            </w:r>
            <w:r w:rsidRPr="00537112">
              <w:rPr>
                <w:rFonts w:cs="Verdana"/>
                <w:b/>
                <w:bCs/>
              </w:rPr>
              <w:t>L DE</w:t>
            </w:r>
            <w:r w:rsidRPr="00537112">
              <w:rPr>
                <w:rFonts w:cs="Verdana"/>
                <w:b/>
                <w:bCs/>
                <w:spacing w:val="-1"/>
              </w:rPr>
              <w:t xml:space="preserve"> V</w:t>
            </w:r>
            <w:r w:rsidRPr="00537112">
              <w:rPr>
                <w:rFonts w:cs="Verdana"/>
                <w:b/>
                <w:bCs/>
                <w:spacing w:val="1"/>
              </w:rPr>
              <w:t>Í</w:t>
            </w:r>
            <w:r w:rsidRPr="00537112">
              <w:rPr>
                <w:rFonts w:cs="Verdana"/>
                <w:b/>
                <w:bCs/>
                <w:spacing w:val="-1"/>
              </w:rPr>
              <w:t>C</w:t>
            </w:r>
            <w:r w:rsidRPr="00537112">
              <w:rPr>
                <w:rFonts w:cs="Verdana"/>
                <w:b/>
                <w:bCs/>
              </w:rPr>
              <w:t>T</w:t>
            </w:r>
            <w:r w:rsidRPr="00537112">
              <w:rPr>
                <w:rFonts w:cs="Verdana"/>
                <w:b/>
                <w:bCs/>
                <w:spacing w:val="1"/>
              </w:rPr>
              <w:t>I</w:t>
            </w:r>
            <w:r w:rsidRPr="00537112">
              <w:rPr>
                <w:rFonts w:cs="Verdana"/>
                <w:b/>
                <w:bCs/>
              </w:rPr>
              <w:t>M</w:t>
            </w:r>
            <w:r w:rsidRPr="00537112">
              <w:rPr>
                <w:rFonts w:cs="Verdana"/>
                <w:b/>
                <w:bCs/>
                <w:spacing w:val="1"/>
              </w:rPr>
              <w:t>AS</w:t>
            </w:r>
          </w:p>
        </w:tc>
      </w:tr>
      <w:tr w:rsidR="00537112" w:rsidRPr="00537112" w:rsidTr="00630EEC">
        <w:trPr>
          <w:trHeight w:hRule="exact" w:val="494"/>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71"/>
              <w:jc w:val="center"/>
              <w:textAlignment w:val="auto"/>
              <w:rPr>
                <w:rFonts w:ascii="Times New Roman" w:hAnsi="Times New Roman"/>
              </w:rPr>
            </w:pPr>
            <w:r w:rsidRPr="00537112">
              <w:rPr>
                <w:rFonts w:cs="Verdana"/>
                <w:b/>
                <w:bCs/>
                <w:spacing w:val="-1"/>
                <w:w w:val="99"/>
                <w:sz w:val="20"/>
                <w:szCs w:val="20"/>
              </w:rPr>
              <w:t>N</w:t>
            </w:r>
            <w:r w:rsidRPr="00537112">
              <w:rPr>
                <w:rFonts w:cs="Verdana"/>
                <w:b/>
                <w:bCs/>
                <w:w w:val="99"/>
                <w:sz w:val="20"/>
                <w:szCs w:val="20"/>
              </w:rPr>
              <w:t>°</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8" w:lineRule="exact"/>
              <w:ind w:right="-20"/>
              <w:jc w:val="left"/>
              <w:textAlignment w:val="auto"/>
              <w:rPr>
                <w:rFonts w:cs="Verdana"/>
                <w:sz w:val="20"/>
                <w:szCs w:val="20"/>
              </w:rPr>
            </w:pPr>
            <w:r w:rsidRPr="00537112">
              <w:rPr>
                <w:rFonts w:cs="Verdana"/>
                <w:b/>
                <w:bCs/>
                <w:spacing w:val="-1"/>
                <w:sz w:val="20"/>
                <w:szCs w:val="20"/>
              </w:rPr>
              <w:t>VÍ</w:t>
            </w:r>
            <w:r w:rsidRPr="00537112">
              <w:rPr>
                <w:rFonts w:cs="Verdana"/>
                <w:b/>
                <w:bCs/>
                <w:sz w:val="20"/>
                <w:szCs w:val="20"/>
              </w:rPr>
              <w:t>C</w:t>
            </w:r>
            <w:r w:rsidRPr="00537112">
              <w:rPr>
                <w:rFonts w:cs="Verdana"/>
                <w:b/>
                <w:bCs/>
                <w:spacing w:val="1"/>
                <w:sz w:val="20"/>
                <w:szCs w:val="20"/>
              </w:rPr>
              <w:t>T</w:t>
            </w:r>
            <w:r w:rsidRPr="00537112">
              <w:rPr>
                <w:rFonts w:cs="Verdana"/>
                <w:b/>
                <w:bCs/>
                <w:spacing w:val="-1"/>
                <w:sz w:val="20"/>
                <w:szCs w:val="20"/>
              </w:rPr>
              <w:t>I</w:t>
            </w:r>
            <w:r w:rsidRPr="00537112">
              <w:rPr>
                <w:rFonts w:cs="Verdana"/>
                <w:b/>
                <w:bCs/>
                <w:spacing w:val="1"/>
                <w:sz w:val="20"/>
                <w:szCs w:val="20"/>
              </w:rPr>
              <w:t>M</w:t>
            </w:r>
            <w:r w:rsidRPr="00537112">
              <w:rPr>
                <w:rFonts w:cs="Verdana"/>
                <w:b/>
                <w:bCs/>
                <w:spacing w:val="-1"/>
                <w:sz w:val="20"/>
                <w:szCs w:val="20"/>
              </w:rPr>
              <w:t>A</w:t>
            </w:r>
            <w:r w:rsidRPr="00537112">
              <w:rPr>
                <w:rFonts w:cs="Verdana"/>
                <w:b/>
                <w:bCs/>
                <w:sz w:val="20"/>
                <w:szCs w:val="20"/>
              </w:rPr>
              <w:t>S</w:t>
            </w:r>
            <w:r w:rsidRPr="00537112">
              <w:rPr>
                <w:rFonts w:cs="Verdana"/>
                <w:b/>
                <w:bCs/>
                <w:spacing w:val="-12"/>
                <w:sz w:val="20"/>
                <w:szCs w:val="20"/>
              </w:rPr>
              <w:t xml:space="preserve"> </w:t>
            </w:r>
            <w:r w:rsidRPr="00537112">
              <w:rPr>
                <w:rFonts w:cs="Verdana"/>
                <w:b/>
                <w:bCs/>
                <w:sz w:val="20"/>
                <w:szCs w:val="20"/>
              </w:rPr>
              <w:t>DE</w:t>
            </w:r>
            <w:r w:rsidRPr="00537112">
              <w:rPr>
                <w:rFonts w:cs="Verdana"/>
                <w:b/>
                <w:bCs/>
                <w:spacing w:val="-3"/>
                <w:sz w:val="20"/>
                <w:szCs w:val="20"/>
              </w:rPr>
              <w:t xml:space="preserve"> </w:t>
            </w:r>
            <w:r w:rsidRPr="00537112">
              <w:rPr>
                <w:rFonts w:cs="Verdana"/>
                <w:b/>
                <w:bCs/>
                <w:sz w:val="20"/>
                <w:szCs w:val="20"/>
              </w:rPr>
              <w:t>D</w:t>
            </w:r>
            <w:r w:rsidRPr="00537112">
              <w:rPr>
                <w:rFonts w:cs="Verdana"/>
                <w:b/>
                <w:bCs/>
                <w:spacing w:val="1"/>
                <w:sz w:val="20"/>
                <w:szCs w:val="20"/>
              </w:rPr>
              <w:t>E</w:t>
            </w:r>
            <w:r w:rsidRPr="00537112">
              <w:rPr>
                <w:rFonts w:cs="Verdana"/>
                <w:b/>
                <w:bCs/>
                <w:sz w:val="20"/>
                <w:szCs w:val="20"/>
              </w:rPr>
              <w:t>S</w:t>
            </w:r>
            <w:r w:rsidRPr="00537112">
              <w:rPr>
                <w:rFonts w:cs="Verdana"/>
                <w:b/>
                <w:bCs/>
                <w:spacing w:val="-1"/>
                <w:sz w:val="20"/>
                <w:szCs w:val="20"/>
              </w:rPr>
              <w:t>A</w:t>
            </w:r>
            <w:r w:rsidRPr="00537112">
              <w:rPr>
                <w:rFonts w:cs="Verdana"/>
                <w:b/>
                <w:bCs/>
                <w:sz w:val="20"/>
                <w:szCs w:val="20"/>
              </w:rPr>
              <w:t>P</w:t>
            </w:r>
            <w:r w:rsidRPr="00537112">
              <w:rPr>
                <w:rFonts w:cs="Verdana"/>
                <w:b/>
                <w:bCs/>
                <w:spacing w:val="-1"/>
                <w:sz w:val="20"/>
                <w:szCs w:val="20"/>
              </w:rPr>
              <w:t>A</w:t>
            </w:r>
            <w:r w:rsidRPr="00537112">
              <w:rPr>
                <w:rFonts w:cs="Verdana"/>
                <w:b/>
                <w:bCs/>
                <w:sz w:val="20"/>
                <w:szCs w:val="20"/>
              </w:rPr>
              <w:t>R</w:t>
            </w:r>
            <w:r w:rsidRPr="00537112">
              <w:rPr>
                <w:rFonts w:cs="Verdana"/>
                <w:b/>
                <w:bCs/>
                <w:spacing w:val="-1"/>
                <w:sz w:val="20"/>
                <w:szCs w:val="20"/>
              </w:rPr>
              <w:t>I</w:t>
            </w:r>
            <w:r w:rsidRPr="00537112">
              <w:rPr>
                <w:rFonts w:cs="Verdana"/>
                <w:b/>
                <w:bCs/>
                <w:sz w:val="20"/>
                <w:szCs w:val="20"/>
              </w:rPr>
              <w:t>C</w:t>
            </w:r>
            <w:r w:rsidRPr="00537112">
              <w:rPr>
                <w:rFonts w:cs="Verdana"/>
                <w:b/>
                <w:bCs/>
                <w:spacing w:val="-1"/>
                <w:sz w:val="20"/>
                <w:szCs w:val="20"/>
              </w:rPr>
              <w:t>I</w:t>
            </w:r>
            <w:r w:rsidRPr="00537112">
              <w:rPr>
                <w:rFonts w:cs="Verdana"/>
                <w:b/>
                <w:bCs/>
                <w:spacing w:val="1"/>
                <w:sz w:val="20"/>
                <w:szCs w:val="20"/>
              </w:rPr>
              <w:t>Ó</w:t>
            </w:r>
            <w:r w:rsidRPr="00537112">
              <w:rPr>
                <w:rFonts w:cs="Verdana"/>
                <w:b/>
                <w:bCs/>
                <w:sz w:val="20"/>
                <w:szCs w:val="20"/>
              </w:rPr>
              <w:t>N</w:t>
            </w:r>
          </w:p>
          <w:p w:rsidR="00537112" w:rsidRPr="00537112" w:rsidRDefault="00537112" w:rsidP="00537112">
            <w:pPr>
              <w:autoSpaceDE w:val="0"/>
              <w:autoSpaceDN w:val="0"/>
              <w:spacing w:before="16" w:line="229" w:lineRule="exact"/>
              <w:ind w:right="-20"/>
              <w:jc w:val="left"/>
              <w:textAlignment w:val="auto"/>
              <w:rPr>
                <w:rFonts w:ascii="Times New Roman" w:hAnsi="Times New Roman"/>
              </w:rPr>
            </w:pPr>
            <w:r w:rsidRPr="00537112">
              <w:rPr>
                <w:rFonts w:cs="Verdana"/>
                <w:b/>
                <w:bCs/>
                <w:position w:val="-2"/>
                <w:sz w:val="20"/>
                <w:szCs w:val="20"/>
              </w:rPr>
              <w:t>F</w:t>
            </w:r>
            <w:r w:rsidRPr="00537112">
              <w:rPr>
                <w:rFonts w:cs="Verdana"/>
                <w:b/>
                <w:bCs/>
                <w:spacing w:val="1"/>
                <w:position w:val="-2"/>
                <w:sz w:val="20"/>
                <w:szCs w:val="20"/>
              </w:rPr>
              <w:t>O</w:t>
            </w:r>
            <w:r w:rsidRPr="00537112">
              <w:rPr>
                <w:rFonts w:cs="Verdana"/>
                <w:b/>
                <w:bCs/>
                <w:position w:val="-2"/>
                <w:sz w:val="20"/>
                <w:szCs w:val="20"/>
              </w:rPr>
              <w:t>R</w:t>
            </w:r>
            <w:r w:rsidRPr="00537112">
              <w:rPr>
                <w:rFonts w:cs="Verdana"/>
                <w:b/>
                <w:bCs/>
                <w:spacing w:val="-1"/>
                <w:position w:val="-2"/>
                <w:sz w:val="20"/>
                <w:szCs w:val="20"/>
              </w:rPr>
              <w:t>ZA</w:t>
            </w:r>
            <w:r w:rsidRPr="00537112">
              <w:rPr>
                <w:rFonts w:cs="Verdana"/>
                <w:b/>
                <w:bCs/>
                <w:position w:val="-2"/>
                <w:sz w:val="20"/>
                <w:szCs w:val="20"/>
              </w:rPr>
              <w:t>DA</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5"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pacing w:val="-1"/>
                <w:sz w:val="20"/>
                <w:szCs w:val="20"/>
              </w:rPr>
              <w:t>N</w:t>
            </w:r>
            <w:r w:rsidRPr="00537112">
              <w:rPr>
                <w:rFonts w:cs="Verdana"/>
                <w:b/>
                <w:bCs/>
                <w:sz w:val="20"/>
                <w:szCs w:val="20"/>
              </w:rPr>
              <w:t>°</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pacing w:val="-1"/>
                <w:sz w:val="20"/>
                <w:szCs w:val="20"/>
              </w:rPr>
              <w:t>NU</w:t>
            </w:r>
            <w:r w:rsidRPr="00537112">
              <w:rPr>
                <w:rFonts w:cs="Verdana"/>
                <w:b/>
                <w:bCs/>
                <w:sz w:val="20"/>
                <w:szCs w:val="20"/>
              </w:rPr>
              <w:t>CL</w:t>
            </w:r>
            <w:r w:rsidRPr="00537112">
              <w:rPr>
                <w:rFonts w:cs="Verdana"/>
                <w:b/>
                <w:bCs/>
                <w:spacing w:val="1"/>
                <w:sz w:val="20"/>
                <w:szCs w:val="20"/>
              </w:rPr>
              <w:t>E</w:t>
            </w:r>
            <w:r w:rsidRPr="00537112">
              <w:rPr>
                <w:rFonts w:cs="Verdana"/>
                <w:b/>
                <w:bCs/>
                <w:sz w:val="20"/>
                <w:szCs w:val="20"/>
              </w:rPr>
              <w:t>O</w:t>
            </w:r>
            <w:r w:rsidRPr="00537112">
              <w:rPr>
                <w:rFonts w:cs="Verdana"/>
                <w:b/>
                <w:bCs/>
                <w:spacing w:val="-9"/>
                <w:sz w:val="20"/>
                <w:szCs w:val="20"/>
              </w:rPr>
              <w:t xml:space="preserve"> </w:t>
            </w:r>
            <w:r w:rsidRPr="00537112">
              <w:rPr>
                <w:rFonts w:cs="Verdana"/>
                <w:b/>
                <w:bCs/>
                <w:sz w:val="20"/>
                <w:szCs w:val="20"/>
              </w:rPr>
              <w:t>F</w:t>
            </w:r>
            <w:r w:rsidRPr="00537112">
              <w:rPr>
                <w:rFonts w:cs="Verdana"/>
                <w:b/>
                <w:bCs/>
                <w:spacing w:val="-1"/>
                <w:sz w:val="20"/>
                <w:szCs w:val="20"/>
              </w:rPr>
              <w:t>A</w:t>
            </w:r>
            <w:r w:rsidRPr="00537112">
              <w:rPr>
                <w:rFonts w:cs="Verdana"/>
                <w:b/>
                <w:bCs/>
                <w:spacing w:val="1"/>
                <w:sz w:val="20"/>
                <w:szCs w:val="20"/>
              </w:rPr>
              <w:t>M</w:t>
            </w:r>
            <w:r w:rsidRPr="00537112">
              <w:rPr>
                <w:rFonts w:cs="Verdana"/>
                <w:b/>
                <w:bCs/>
                <w:spacing w:val="-1"/>
                <w:sz w:val="20"/>
                <w:szCs w:val="20"/>
              </w:rPr>
              <w:t>I</w:t>
            </w:r>
            <w:r w:rsidRPr="00537112">
              <w:rPr>
                <w:rFonts w:cs="Verdana"/>
                <w:b/>
                <w:bCs/>
                <w:sz w:val="20"/>
                <w:szCs w:val="20"/>
              </w:rPr>
              <w:t>L</w:t>
            </w:r>
            <w:r w:rsidRPr="00537112">
              <w:rPr>
                <w:rFonts w:cs="Verdana"/>
                <w:b/>
                <w:bCs/>
                <w:spacing w:val="-1"/>
                <w:sz w:val="20"/>
                <w:szCs w:val="20"/>
              </w:rPr>
              <w:t>IAR</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350"/>
              <w:jc w:val="center"/>
              <w:textAlignment w:val="auto"/>
              <w:rPr>
                <w:rFonts w:ascii="Times New Roman" w:hAnsi="Times New Roman"/>
              </w:rPr>
            </w:pPr>
            <w:r w:rsidRPr="00537112">
              <w:rPr>
                <w:rFonts w:cs="Verdana"/>
                <w:b/>
                <w:bCs/>
                <w:w w:val="99"/>
                <w:sz w:val="20"/>
                <w:szCs w:val="20"/>
              </w:rPr>
              <w:t>1</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H</w:t>
            </w:r>
            <w:r w:rsidRPr="00537112">
              <w:rPr>
                <w:rFonts w:cs="Verdana"/>
                <w:spacing w:val="1"/>
                <w:sz w:val="20"/>
                <w:szCs w:val="20"/>
              </w:rPr>
              <w:t>ug</w:t>
            </w:r>
            <w:r w:rsidRPr="00537112">
              <w:rPr>
                <w:rFonts w:cs="Verdana"/>
                <w:sz w:val="20"/>
                <w:szCs w:val="20"/>
              </w:rPr>
              <w:t>o</w:t>
            </w:r>
            <w:r w:rsidRPr="00537112">
              <w:rPr>
                <w:rFonts w:cs="Verdana"/>
                <w:spacing w:val="-7"/>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r w:rsidRPr="00537112">
              <w:rPr>
                <w:rFonts w:cs="Verdana"/>
                <w:spacing w:val="-6"/>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57"/>
              <w:jc w:val="center"/>
              <w:textAlignment w:val="auto"/>
              <w:rPr>
                <w:rFonts w:ascii="Times New Roman" w:hAnsi="Times New Roman"/>
              </w:rPr>
            </w:pPr>
            <w:r w:rsidRPr="00537112">
              <w:rPr>
                <w:rFonts w:cs="Verdana"/>
                <w:w w:val="99"/>
                <w:position w:val="-1"/>
                <w:sz w:val="20"/>
                <w:szCs w:val="20"/>
              </w:rPr>
              <w:t>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Ad</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án</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64"/>
                <w:position w:val="-1"/>
                <w:sz w:val="20"/>
                <w:szCs w:val="20"/>
              </w:rPr>
              <w:t xml:space="preserve"> </w:t>
            </w:r>
            <w:r w:rsidRPr="00537112">
              <w:rPr>
                <w:rFonts w:cs="Verdana"/>
                <w:spacing w:val="1"/>
                <w:position w:val="-1"/>
                <w:sz w:val="20"/>
                <w:szCs w:val="20"/>
              </w:rPr>
              <w:t>(</w:t>
            </w:r>
            <w:r w:rsidRPr="00537112">
              <w:rPr>
                <w:rFonts w:cs="Verdana"/>
                <w:position w:val="-1"/>
                <w:sz w:val="20"/>
                <w:szCs w:val="20"/>
              </w:rPr>
              <w:t>Pa</w:t>
            </w:r>
            <w:r w:rsidRPr="00537112">
              <w:rPr>
                <w:rFonts w:cs="Verdana"/>
                <w:spacing w:val="1"/>
                <w:position w:val="-1"/>
                <w:sz w:val="20"/>
                <w:szCs w:val="20"/>
              </w:rPr>
              <w:t>d</w:t>
            </w:r>
            <w:r w:rsidRPr="00537112">
              <w:rPr>
                <w:rFonts w:cs="Verdana"/>
                <w:spacing w:val="-1"/>
                <w:position w:val="-1"/>
                <w:sz w:val="20"/>
                <w:szCs w:val="20"/>
              </w:rPr>
              <w:t>re</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57"/>
              <w:jc w:val="center"/>
              <w:textAlignment w:val="auto"/>
              <w:rPr>
                <w:rFonts w:ascii="Times New Roman" w:hAnsi="Times New Roman"/>
              </w:rPr>
            </w:pPr>
            <w:r w:rsidRPr="00537112">
              <w:rPr>
                <w:rFonts w:cs="Verdana"/>
                <w:w w:val="99"/>
                <w:position w:val="-1"/>
                <w:sz w:val="20"/>
                <w:szCs w:val="20"/>
              </w:rPr>
              <w:t>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r w:rsidRPr="00537112">
              <w:rPr>
                <w:rFonts w:cs="Verdana"/>
                <w:spacing w:val="-3"/>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spacing w:val="1"/>
                <w:position w:val="-1"/>
                <w:sz w:val="20"/>
                <w:szCs w:val="20"/>
              </w:rPr>
              <w:t>z(</w:t>
            </w:r>
            <w:r w:rsidRPr="00537112">
              <w:rPr>
                <w:rFonts w:cs="Verdana"/>
                <w:position w:val="-1"/>
                <w:sz w:val="20"/>
                <w:szCs w:val="20"/>
              </w:rPr>
              <w:t>Ma</w:t>
            </w:r>
            <w:r w:rsidRPr="00537112">
              <w:rPr>
                <w:rFonts w:cs="Verdana"/>
                <w:spacing w:val="1"/>
                <w:position w:val="-1"/>
                <w:sz w:val="20"/>
                <w:szCs w:val="20"/>
              </w:rPr>
              <w:t>d</w:t>
            </w:r>
            <w:r w:rsidRPr="00537112">
              <w:rPr>
                <w:rFonts w:cs="Verdana"/>
                <w:spacing w:val="-1"/>
                <w:position w:val="-1"/>
                <w:sz w:val="20"/>
                <w:szCs w:val="20"/>
              </w:rPr>
              <w:t>re</w:t>
            </w:r>
            <w:r w:rsidRPr="00537112">
              <w:rPr>
                <w:rFonts w:cs="Verdana"/>
                <w:position w:val="-1"/>
                <w:sz w:val="20"/>
                <w:szCs w:val="20"/>
              </w:rPr>
              <w:t>)</w:t>
            </w:r>
          </w:p>
        </w:tc>
      </w:tr>
      <w:tr w:rsidR="00537112" w:rsidRPr="00537112" w:rsidTr="00630EEC">
        <w:trPr>
          <w:trHeight w:hRule="exact" w:val="494"/>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350"/>
              <w:jc w:val="center"/>
              <w:textAlignment w:val="auto"/>
              <w:rPr>
                <w:rFonts w:ascii="Times New Roman" w:hAnsi="Times New Roman"/>
              </w:rPr>
            </w:pPr>
            <w:r w:rsidRPr="00537112">
              <w:rPr>
                <w:rFonts w:cs="Verdana"/>
                <w:b/>
                <w:bCs/>
                <w:w w:val="99"/>
                <w:sz w:val="20"/>
                <w:szCs w:val="20"/>
              </w:rPr>
              <w:t>2</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90" w:lineRule="exact"/>
              <w:jc w:val="left"/>
              <w:textAlignment w:val="auto"/>
              <w:rPr>
                <w:rFonts w:ascii="Times New Roman" w:hAnsi="Times New Roman"/>
                <w:sz w:val="19"/>
                <w:szCs w:val="19"/>
                <w:lang w:val="pt-BR"/>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lang w:val="pt-BR"/>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lang w:val="pt-BR"/>
              </w:rPr>
            </w:pPr>
          </w:p>
          <w:p w:rsidR="00537112" w:rsidRPr="00537112" w:rsidRDefault="00537112" w:rsidP="00537112">
            <w:pPr>
              <w:autoSpaceDE w:val="0"/>
              <w:autoSpaceDN w:val="0"/>
              <w:spacing w:line="240" w:lineRule="auto"/>
              <w:ind w:right="-20"/>
              <w:jc w:val="left"/>
              <w:textAlignment w:val="auto"/>
              <w:rPr>
                <w:rFonts w:cs="Verdana"/>
                <w:sz w:val="20"/>
                <w:szCs w:val="20"/>
                <w:lang w:val="pt-BR"/>
              </w:rPr>
            </w:pPr>
            <w:r w:rsidRPr="00537112">
              <w:rPr>
                <w:rFonts w:cs="Verdana"/>
                <w:spacing w:val="1"/>
                <w:sz w:val="20"/>
                <w:szCs w:val="20"/>
                <w:lang w:val="pt-BR"/>
              </w:rPr>
              <w:t>Ab</w:t>
            </w:r>
            <w:r w:rsidRPr="00537112">
              <w:rPr>
                <w:rFonts w:cs="Verdana"/>
                <w:spacing w:val="-1"/>
                <w:sz w:val="20"/>
                <w:szCs w:val="20"/>
                <w:lang w:val="pt-BR"/>
              </w:rPr>
              <w:t>r</w:t>
            </w:r>
            <w:r w:rsidRPr="00537112">
              <w:rPr>
                <w:rFonts w:cs="Verdana"/>
                <w:sz w:val="20"/>
                <w:szCs w:val="20"/>
                <w:lang w:val="pt-BR"/>
              </w:rPr>
              <w:t>a</w:t>
            </w:r>
            <w:r w:rsidRPr="00537112">
              <w:rPr>
                <w:rFonts w:cs="Verdana"/>
                <w:spacing w:val="1"/>
                <w:sz w:val="20"/>
                <w:szCs w:val="20"/>
                <w:lang w:val="pt-BR"/>
              </w:rPr>
              <w:t>h</w:t>
            </w:r>
            <w:r w:rsidRPr="00537112">
              <w:rPr>
                <w:rFonts w:cs="Verdana"/>
                <w:sz w:val="20"/>
                <w:szCs w:val="20"/>
                <w:lang w:val="pt-BR"/>
              </w:rPr>
              <w:t>am</w:t>
            </w:r>
            <w:r w:rsidRPr="00537112">
              <w:rPr>
                <w:rFonts w:cs="Verdana"/>
                <w:spacing w:val="-9"/>
                <w:sz w:val="20"/>
                <w:szCs w:val="20"/>
                <w:lang w:val="pt-BR"/>
              </w:rPr>
              <w:t xml:space="preserve"> </w:t>
            </w:r>
            <w:r w:rsidRPr="00537112">
              <w:rPr>
                <w:rFonts w:cs="Verdana"/>
                <w:spacing w:val="1"/>
                <w:sz w:val="20"/>
                <w:szCs w:val="20"/>
                <w:lang w:val="pt-BR"/>
              </w:rPr>
              <w:t>A</w:t>
            </w:r>
            <w:r w:rsidRPr="00537112">
              <w:rPr>
                <w:rFonts w:cs="Verdana"/>
                <w:spacing w:val="3"/>
                <w:sz w:val="20"/>
                <w:szCs w:val="20"/>
                <w:lang w:val="pt-BR"/>
              </w:rPr>
              <w:t>l</w:t>
            </w:r>
            <w:r w:rsidRPr="00537112">
              <w:rPr>
                <w:rFonts w:cs="Verdana"/>
                <w:sz w:val="20"/>
                <w:szCs w:val="20"/>
                <w:lang w:val="pt-BR"/>
              </w:rPr>
              <w:t>va</w:t>
            </w:r>
            <w:r w:rsidRPr="00537112">
              <w:rPr>
                <w:rFonts w:cs="Verdana"/>
                <w:spacing w:val="-1"/>
                <w:sz w:val="20"/>
                <w:szCs w:val="20"/>
                <w:lang w:val="pt-BR"/>
              </w:rPr>
              <w:t>r</w:t>
            </w:r>
            <w:r w:rsidRPr="00537112">
              <w:rPr>
                <w:rFonts w:cs="Verdana"/>
                <w:sz w:val="20"/>
                <w:szCs w:val="20"/>
                <w:lang w:val="pt-BR"/>
              </w:rPr>
              <w:t>a</w:t>
            </w:r>
            <w:r w:rsidRPr="00537112">
              <w:rPr>
                <w:rFonts w:cs="Verdana"/>
                <w:spacing w:val="1"/>
                <w:sz w:val="20"/>
                <w:szCs w:val="20"/>
                <w:lang w:val="pt-BR"/>
              </w:rPr>
              <w:t>d</w:t>
            </w:r>
            <w:r w:rsidRPr="00537112">
              <w:rPr>
                <w:rFonts w:cs="Verdana"/>
                <w:sz w:val="20"/>
                <w:szCs w:val="20"/>
                <w:lang w:val="pt-BR"/>
              </w:rPr>
              <w:t>o</w:t>
            </w:r>
            <w:r w:rsidRPr="00537112">
              <w:rPr>
                <w:rFonts w:cs="Verdana"/>
                <w:spacing w:val="-11"/>
                <w:sz w:val="20"/>
                <w:szCs w:val="20"/>
                <w:lang w:val="pt-BR"/>
              </w:rPr>
              <w:t xml:space="preserve"> </w:t>
            </w:r>
            <w:r w:rsidRPr="00537112">
              <w:rPr>
                <w:rFonts w:cs="Verdana"/>
                <w:sz w:val="20"/>
                <w:szCs w:val="20"/>
                <w:lang w:val="pt-BR"/>
              </w:rPr>
              <w:t>T</w:t>
            </w:r>
            <w:r w:rsidRPr="00537112">
              <w:rPr>
                <w:rFonts w:cs="Verdana"/>
                <w:spacing w:val="-1"/>
                <w:sz w:val="20"/>
                <w:szCs w:val="20"/>
                <w:lang w:val="pt-BR"/>
              </w:rPr>
              <w:t>ec</w:t>
            </w:r>
            <w:r w:rsidRPr="00537112">
              <w:rPr>
                <w:rFonts w:cs="Verdana"/>
                <w:sz w:val="20"/>
                <w:szCs w:val="20"/>
                <w:lang w:val="pt-BR"/>
              </w:rPr>
              <w:t>ú</w:t>
            </w:r>
            <w:r w:rsidRPr="00537112">
              <w:rPr>
                <w:rFonts w:cs="Verdana"/>
                <w:spacing w:val="-5"/>
                <w:sz w:val="20"/>
                <w:szCs w:val="20"/>
                <w:lang w:val="pt-BR"/>
              </w:rPr>
              <w:t xml:space="preserve"> </w:t>
            </w:r>
            <w:r w:rsidRPr="00537112">
              <w:rPr>
                <w:rFonts w:cs="Verdana"/>
                <w:spacing w:val="1"/>
                <w:sz w:val="20"/>
                <w:szCs w:val="20"/>
                <w:lang w:val="pt-BR"/>
              </w:rPr>
              <w:t>(</w:t>
            </w:r>
            <w:r w:rsidRPr="00537112">
              <w:rPr>
                <w:rFonts w:cs="Verdana"/>
                <w:sz w:val="20"/>
                <w:szCs w:val="20"/>
                <w:lang w:val="pt-BR"/>
              </w:rPr>
              <w:t>o</w:t>
            </w:r>
            <w:r w:rsidRPr="00537112">
              <w:rPr>
                <w:rFonts w:cs="Verdana"/>
                <w:spacing w:val="-4"/>
                <w:sz w:val="20"/>
                <w:szCs w:val="20"/>
                <w:lang w:val="pt-BR"/>
              </w:rPr>
              <w:t xml:space="preserve"> </w:t>
            </w:r>
            <w:r w:rsidRPr="00537112">
              <w:rPr>
                <w:rFonts w:cs="Verdana"/>
                <w:spacing w:val="1"/>
                <w:sz w:val="20"/>
                <w:szCs w:val="20"/>
                <w:lang w:val="pt-BR"/>
              </w:rPr>
              <w:t>Ag</w:t>
            </w:r>
            <w:r w:rsidRPr="00537112">
              <w:rPr>
                <w:rFonts w:cs="Verdana"/>
                <w:sz w:val="20"/>
                <w:szCs w:val="20"/>
                <w:lang w:val="pt-BR"/>
              </w:rPr>
              <w:t>a</w:t>
            </w:r>
            <w:r w:rsidRPr="00537112">
              <w:rPr>
                <w:rFonts w:cs="Verdana"/>
                <w:spacing w:val="1"/>
                <w:sz w:val="20"/>
                <w:szCs w:val="20"/>
                <w:lang w:val="pt-BR"/>
              </w:rPr>
              <w:t>p</w:t>
            </w:r>
            <w:r w:rsidRPr="00537112">
              <w:rPr>
                <w:rFonts w:cs="Verdana"/>
                <w:spacing w:val="3"/>
                <w:sz w:val="20"/>
                <w:szCs w:val="20"/>
                <w:lang w:val="pt-BR"/>
              </w:rPr>
              <w:t>i</w:t>
            </w:r>
            <w:r w:rsidRPr="00537112">
              <w:rPr>
                <w:rFonts w:cs="Verdana"/>
                <w:spacing w:val="1"/>
                <w:sz w:val="20"/>
                <w:szCs w:val="20"/>
                <w:lang w:val="pt-BR"/>
              </w:rPr>
              <w:t>t</w:t>
            </w:r>
            <w:r w:rsidRPr="00537112">
              <w:rPr>
                <w:rFonts w:cs="Verdana"/>
                <w:sz w:val="20"/>
                <w:szCs w:val="20"/>
                <w:lang w:val="pt-BR"/>
              </w:rPr>
              <w:t>o</w:t>
            </w:r>
          </w:p>
          <w:p w:rsidR="00537112" w:rsidRPr="00537112" w:rsidRDefault="00537112" w:rsidP="00537112">
            <w:pPr>
              <w:autoSpaceDE w:val="0"/>
              <w:autoSpaceDN w:val="0"/>
              <w:spacing w:before="16" w:line="240" w:lineRule="auto"/>
              <w:ind w:right="-20"/>
              <w:jc w:val="left"/>
              <w:textAlignment w:val="auto"/>
              <w:rPr>
                <w:rFonts w:ascii="Times New Roman" w:hAnsi="Times New Roman"/>
                <w:lang w:val="pt-BR"/>
              </w:rPr>
            </w:pPr>
            <w:r w:rsidRPr="00537112">
              <w:rPr>
                <w:rFonts w:cs="Verdana"/>
                <w:spacing w:val="1"/>
                <w:sz w:val="20"/>
                <w:szCs w:val="20"/>
                <w:lang w:val="pt-BR"/>
              </w:rPr>
              <w:t>A</w:t>
            </w:r>
            <w:r w:rsidRPr="00537112">
              <w:rPr>
                <w:rFonts w:cs="Verdana"/>
                <w:spacing w:val="3"/>
                <w:sz w:val="20"/>
                <w:szCs w:val="20"/>
                <w:lang w:val="pt-BR"/>
              </w:rPr>
              <w:t>l</w:t>
            </w:r>
            <w:r w:rsidRPr="00537112">
              <w:rPr>
                <w:rFonts w:cs="Verdana"/>
                <w:sz w:val="20"/>
                <w:szCs w:val="20"/>
                <w:lang w:val="pt-BR"/>
              </w:rPr>
              <w:t>va</w:t>
            </w:r>
            <w:r w:rsidRPr="00537112">
              <w:rPr>
                <w:rFonts w:cs="Verdana"/>
                <w:spacing w:val="-1"/>
                <w:sz w:val="20"/>
                <w:szCs w:val="20"/>
                <w:lang w:val="pt-BR"/>
              </w:rPr>
              <w:t>r</w:t>
            </w:r>
            <w:r w:rsidRPr="00537112">
              <w:rPr>
                <w:rFonts w:cs="Verdana"/>
                <w:sz w:val="20"/>
                <w:szCs w:val="20"/>
                <w:lang w:val="pt-BR"/>
              </w:rPr>
              <w:t>a</w:t>
            </w:r>
            <w:r w:rsidRPr="00537112">
              <w:rPr>
                <w:rFonts w:cs="Verdana"/>
                <w:spacing w:val="1"/>
                <w:sz w:val="20"/>
                <w:szCs w:val="20"/>
                <w:lang w:val="pt-BR"/>
              </w:rPr>
              <w:t>d</w:t>
            </w:r>
            <w:r w:rsidRPr="00537112">
              <w:rPr>
                <w:rFonts w:cs="Verdana"/>
                <w:sz w:val="20"/>
                <w:szCs w:val="20"/>
                <w:lang w:val="pt-BR"/>
              </w:rPr>
              <w:t>o</w:t>
            </w:r>
            <w:r w:rsidRPr="00537112">
              <w:rPr>
                <w:rFonts w:cs="Verdana"/>
                <w:spacing w:val="-11"/>
                <w:sz w:val="20"/>
                <w:szCs w:val="20"/>
                <w:lang w:val="pt-BR"/>
              </w:rPr>
              <w:t xml:space="preserve"> </w:t>
            </w:r>
            <w:r w:rsidRPr="00537112">
              <w:rPr>
                <w:rFonts w:cs="Verdana"/>
                <w:sz w:val="20"/>
                <w:szCs w:val="20"/>
                <w:lang w:val="pt-BR"/>
              </w:rPr>
              <w:t>D</w:t>
            </w:r>
            <w:r w:rsidRPr="00537112">
              <w:rPr>
                <w:rFonts w:cs="Verdana"/>
                <w:spacing w:val="-1"/>
                <w:sz w:val="20"/>
                <w:szCs w:val="20"/>
                <w:lang w:val="pt-BR"/>
              </w:rPr>
              <w:t>e</w:t>
            </w:r>
            <w:r w:rsidRPr="00537112">
              <w:rPr>
                <w:rFonts w:cs="Verdana"/>
                <w:spacing w:val="1"/>
                <w:sz w:val="20"/>
                <w:szCs w:val="20"/>
                <w:lang w:val="pt-BR"/>
              </w:rPr>
              <w:t>p</w:t>
            </w:r>
            <w:r w:rsidRPr="00537112">
              <w:rPr>
                <w:rFonts w:cs="Verdana"/>
                <w:sz w:val="20"/>
                <w:szCs w:val="20"/>
                <w:lang w:val="pt-BR"/>
              </w:rPr>
              <w:t>a</w:t>
            </w:r>
            <w:r w:rsidRPr="00537112">
              <w:rPr>
                <w:rFonts w:cs="Verdana"/>
                <w:spacing w:val="1"/>
                <w:sz w:val="20"/>
                <w:szCs w:val="20"/>
                <w:lang w:val="pt-BR"/>
              </w:rPr>
              <w:t>z</w:t>
            </w:r>
            <w:r w:rsidRPr="00537112">
              <w:rPr>
                <w:rFonts w:cs="Verdana"/>
                <w:sz w:val="20"/>
                <w:szCs w:val="20"/>
                <w:lang w:val="pt-BR"/>
              </w:rPr>
              <w:t>)</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lang w:val="pt-BR"/>
              </w:rPr>
            </w:pPr>
          </w:p>
          <w:p w:rsidR="00537112" w:rsidRPr="00537112" w:rsidRDefault="00537112" w:rsidP="00537112">
            <w:pPr>
              <w:autoSpaceDE w:val="0"/>
              <w:autoSpaceDN w:val="0"/>
              <w:spacing w:line="240" w:lineRule="auto"/>
              <w:ind w:right="257"/>
              <w:jc w:val="center"/>
              <w:textAlignment w:val="auto"/>
              <w:rPr>
                <w:rFonts w:ascii="Times New Roman" w:hAnsi="Times New Roman"/>
              </w:rPr>
            </w:pPr>
            <w:r w:rsidRPr="00537112">
              <w:rPr>
                <w:rFonts w:cs="Verdana"/>
                <w:w w:val="99"/>
                <w:sz w:val="20"/>
                <w:szCs w:val="20"/>
              </w:rPr>
              <w:t>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Áng</w:t>
            </w:r>
            <w:r w:rsidRPr="00537112">
              <w:rPr>
                <w:rFonts w:cs="Verdana"/>
                <w:spacing w:val="-1"/>
                <w:sz w:val="20"/>
                <w:szCs w:val="20"/>
              </w:rPr>
              <w:t>e</w:t>
            </w:r>
            <w:r w:rsidRPr="00537112">
              <w:rPr>
                <w:rFonts w:cs="Verdana"/>
                <w:sz w:val="20"/>
                <w:szCs w:val="20"/>
              </w:rPr>
              <w:t>l</w:t>
            </w:r>
            <w:r w:rsidRPr="00537112">
              <w:rPr>
                <w:rFonts w:cs="Verdana"/>
                <w:spacing w:val="-4"/>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z w:val="20"/>
                <w:szCs w:val="20"/>
              </w:rPr>
              <w:t>T</w:t>
            </w:r>
            <w:r w:rsidRPr="00537112">
              <w:rPr>
                <w:rFonts w:cs="Verdana"/>
                <w:spacing w:val="-1"/>
                <w:sz w:val="20"/>
                <w:szCs w:val="20"/>
              </w:rPr>
              <w:t>ec</w:t>
            </w:r>
            <w:r w:rsidRPr="00537112">
              <w:rPr>
                <w:rFonts w:cs="Verdana"/>
                <w:spacing w:val="1"/>
                <w:sz w:val="20"/>
                <w:szCs w:val="20"/>
              </w:rPr>
              <w:t>ú(</w:t>
            </w:r>
            <w:r w:rsidRPr="00537112">
              <w:rPr>
                <w:rFonts w:cs="Verdana"/>
                <w:sz w:val="20"/>
                <w:szCs w:val="20"/>
              </w:rPr>
              <w:t>Pa</w:t>
            </w:r>
            <w:r w:rsidRPr="00537112">
              <w:rPr>
                <w:rFonts w:cs="Verdana"/>
                <w:spacing w:val="1"/>
                <w:sz w:val="20"/>
                <w:szCs w:val="20"/>
              </w:rPr>
              <w:t>d</w:t>
            </w:r>
            <w:r w:rsidRPr="00537112">
              <w:rPr>
                <w:rFonts w:cs="Verdana"/>
                <w:spacing w:val="-1"/>
                <w:sz w:val="20"/>
                <w:szCs w:val="20"/>
              </w:rPr>
              <w:t>re</w:t>
            </w:r>
            <w:r w:rsidRPr="00537112">
              <w:rPr>
                <w:rFonts w:cs="Verdana"/>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57"/>
              <w:jc w:val="center"/>
              <w:textAlignment w:val="auto"/>
              <w:rPr>
                <w:rFonts w:ascii="Times New Roman" w:hAnsi="Times New Roman"/>
              </w:rPr>
            </w:pPr>
            <w:r w:rsidRPr="00537112">
              <w:rPr>
                <w:rFonts w:cs="Verdana"/>
                <w:w w:val="99"/>
                <w:position w:val="-1"/>
                <w:sz w:val="20"/>
                <w:szCs w:val="20"/>
              </w:rPr>
              <w:t>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r w:rsidRPr="00537112">
              <w:rPr>
                <w:rFonts w:cs="Verdana"/>
                <w:spacing w:val="-3"/>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w:t>
            </w:r>
            <w:r w:rsidRPr="00537112">
              <w:rPr>
                <w:rFonts w:cs="Verdana"/>
                <w:position w:val="-1"/>
                <w:sz w:val="20"/>
                <w:szCs w:val="20"/>
              </w:rPr>
              <w:t>Ma</w:t>
            </w:r>
            <w:r w:rsidRPr="00537112">
              <w:rPr>
                <w:rFonts w:cs="Verdana"/>
                <w:spacing w:val="1"/>
                <w:position w:val="-1"/>
                <w:sz w:val="20"/>
                <w:szCs w:val="20"/>
              </w:rPr>
              <w:t>d</w:t>
            </w:r>
            <w:r w:rsidRPr="00537112">
              <w:rPr>
                <w:rFonts w:cs="Verdana"/>
                <w:spacing w:val="-1"/>
                <w:position w:val="-1"/>
                <w:sz w:val="20"/>
                <w:szCs w:val="20"/>
              </w:rPr>
              <w:t>re</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57"/>
              <w:jc w:val="center"/>
              <w:textAlignment w:val="auto"/>
              <w:rPr>
                <w:rFonts w:ascii="Times New Roman" w:hAnsi="Times New Roman"/>
              </w:rPr>
            </w:pPr>
            <w:r w:rsidRPr="00537112">
              <w:rPr>
                <w:rFonts w:cs="Verdana"/>
                <w:w w:val="99"/>
                <w:position w:val="-1"/>
                <w:sz w:val="20"/>
                <w:szCs w:val="20"/>
              </w:rPr>
              <w:t>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position w:val="-1"/>
                <w:sz w:val="20"/>
                <w:szCs w:val="20"/>
              </w:rPr>
              <w:t>as</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Her</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57"/>
              <w:jc w:val="center"/>
              <w:textAlignment w:val="auto"/>
              <w:rPr>
                <w:rFonts w:ascii="Times New Roman" w:hAnsi="Times New Roman"/>
              </w:rPr>
            </w:pPr>
            <w:r w:rsidRPr="00537112">
              <w:rPr>
                <w:rFonts w:cs="Verdana"/>
                <w:w w:val="99"/>
                <w:position w:val="-1"/>
                <w:sz w:val="20"/>
                <w:szCs w:val="20"/>
              </w:rPr>
              <w:t>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spacing w:val="3"/>
                <w:position w:val="-1"/>
                <w:sz w:val="20"/>
                <w:szCs w:val="20"/>
              </w:rPr>
              <w:t>il</w:t>
            </w:r>
            <w:r w:rsidRPr="00537112">
              <w:rPr>
                <w:rFonts w:cs="Verdana"/>
                <w:position w:val="-1"/>
                <w:sz w:val="20"/>
                <w:szCs w:val="20"/>
              </w:rPr>
              <w:t>v</w:t>
            </w:r>
            <w:r w:rsidRPr="00537112">
              <w:rPr>
                <w:rFonts w:cs="Verdana"/>
                <w:spacing w:val="-1"/>
                <w:position w:val="-1"/>
                <w:sz w:val="20"/>
                <w:szCs w:val="20"/>
              </w:rPr>
              <w:t>er</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áz</w:t>
            </w:r>
            <w:r w:rsidRPr="00537112">
              <w:rPr>
                <w:rFonts w:cs="Verdana"/>
                <w:spacing w:val="-6"/>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Her</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57"/>
              <w:jc w:val="center"/>
              <w:textAlignment w:val="auto"/>
              <w:rPr>
                <w:rFonts w:ascii="Times New Roman" w:hAnsi="Times New Roman"/>
              </w:rPr>
            </w:pPr>
            <w:r w:rsidRPr="00537112">
              <w:rPr>
                <w:rFonts w:cs="Verdana"/>
                <w:w w:val="99"/>
                <w:position w:val="-1"/>
                <w:sz w:val="20"/>
                <w:szCs w:val="20"/>
              </w:rPr>
              <w:t>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position w:val="-1"/>
                <w:sz w:val="20"/>
                <w:szCs w:val="20"/>
              </w:rPr>
              <w:t>Páz</w:t>
            </w:r>
            <w:r w:rsidRPr="00537112">
              <w:rPr>
                <w:rFonts w:cs="Verdana"/>
                <w:spacing w:val="63"/>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Her</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57"/>
              <w:jc w:val="center"/>
              <w:textAlignment w:val="auto"/>
              <w:rPr>
                <w:rFonts w:ascii="Times New Roman" w:hAnsi="Times New Roman"/>
              </w:rPr>
            </w:pPr>
            <w:r w:rsidRPr="00537112">
              <w:rPr>
                <w:rFonts w:cs="Verdana"/>
                <w:w w:val="99"/>
                <w:position w:val="-1"/>
                <w:sz w:val="20"/>
                <w:szCs w:val="20"/>
              </w:rPr>
              <w:t>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áz</w:t>
            </w:r>
            <w:r w:rsidRPr="00537112">
              <w:rPr>
                <w:rFonts w:cs="Verdana"/>
                <w:spacing w:val="63"/>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Her</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350"/>
              <w:jc w:val="center"/>
              <w:textAlignment w:val="auto"/>
              <w:rPr>
                <w:rFonts w:ascii="Times New Roman" w:hAnsi="Times New Roman"/>
              </w:rPr>
            </w:pPr>
            <w:r w:rsidRPr="00537112">
              <w:rPr>
                <w:rFonts w:cs="Verdana"/>
                <w:b/>
                <w:bCs/>
                <w:w w:val="99"/>
                <w:sz w:val="20"/>
                <w:szCs w:val="20"/>
              </w:rPr>
              <w:t>3</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lang w:val="pt-BR"/>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lang w:val="pt-BR"/>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lang w:val="pt-BR"/>
              </w:rPr>
            </w:pPr>
          </w:p>
          <w:p w:rsidR="00537112" w:rsidRPr="00537112" w:rsidRDefault="00537112" w:rsidP="00537112">
            <w:pPr>
              <w:autoSpaceDE w:val="0"/>
              <w:autoSpaceDN w:val="0"/>
              <w:spacing w:before="7" w:line="240" w:lineRule="exact"/>
              <w:jc w:val="left"/>
              <w:textAlignment w:val="auto"/>
              <w:rPr>
                <w:rFonts w:ascii="Times New Roman" w:hAnsi="Times New Roman"/>
                <w:lang w:val="pt-BR"/>
              </w:rPr>
            </w:pPr>
          </w:p>
          <w:p w:rsidR="00537112" w:rsidRPr="00537112" w:rsidRDefault="00537112" w:rsidP="00537112">
            <w:pPr>
              <w:autoSpaceDE w:val="0"/>
              <w:autoSpaceDN w:val="0"/>
              <w:spacing w:line="240" w:lineRule="auto"/>
              <w:ind w:right="-20"/>
              <w:jc w:val="left"/>
              <w:textAlignment w:val="auto"/>
              <w:rPr>
                <w:rFonts w:ascii="Times New Roman" w:hAnsi="Times New Roman"/>
                <w:lang w:val="pt-BR"/>
              </w:rPr>
            </w:pPr>
            <w:r w:rsidRPr="00537112">
              <w:rPr>
                <w:rFonts w:cs="Verdana"/>
                <w:sz w:val="20"/>
                <w:szCs w:val="20"/>
                <w:lang w:val="pt-BR"/>
              </w:rPr>
              <w:t>Ma</w:t>
            </w:r>
            <w:r w:rsidRPr="00537112">
              <w:rPr>
                <w:rFonts w:cs="Verdana"/>
                <w:spacing w:val="1"/>
                <w:sz w:val="20"/>
                <w:szCs w:val="20"/>
                <w:lang w:val="pt-BR"/>
              </w:rPr>
              <w:t>nu</w:t>
            </w:r>
            <w:r w:rsidRPr="00537112">
              <w:rPr>
                <w:rFonts w:cs="Verdana"/>
                <w:spacing w:val="-1"/>
                <w:sz w:val="20"/>
                <w:szCs w:val="20"/>
                <w:lang w:val="pt-BR"/>
              </w:rPr>
              <w:t>e</w:t>
            </w:r>
            <w:r w:rsidRPr="00537112">
              <w:rPr>
                <w:rFonts w:cs="Verdana"/>
                <w:sz w:val="20"/>
                <w:szCs w:val="20"/>
                <w:lang w:val="pt-BR"/>
              </w:rPr>
              <w:t>l</w:t>
            </w:r>
            <w:r w:rsidRPr="00537112">
              <w:rPr>
                <w:rFonts w:cs="Verdana"/>
                <w:spacing w:val="-5"/>
                <w:sz w:val="20"/>
                <w:szCs w:val="20"/>
                <w:lang w:val="pt-BR"/>
              </w:rPr>
              <w:t xml:space="preserve"> </w:t>
            </w:r>
            <w:r w:rsidRPr="00537112">
              <w:rPr>
                <w:rFonts w:cs="Verdana"/>
                <w:spacing w:val="1"/>
                <w:sz w:val="20"/>
                <w:szCs w:val="20"/>
                <w:lang w:val="pt-BR"/>
              </w:rPr>
              <w:t>d</w:t>
            </w:r>
            <w:r w:rsidRPr="00537112">
              <w:rPr>
                <w:rFonts w:cs="Verdana"/>
                <w:sz w:val="20"/>
                <w:szCs w:val="20"/>
                <w:lang w:val="pt-BR"/>
              </w:rPr>
              <w:t>e</w:t>
            </w:r>
            <w:r w:rsidRPr="00537112">
              <w:rPr>
                <w:rFonts w:cs="Verdana"/>
                <w:spacing w:val="-4"/>
                <w:sz w:val="20"/>
                <w:szCs w:val="20"/>
                <w:lang w:val="pt-BR"/>
              </w:rPr>
              <w:t xml:space="preserve"> </w:t>
            </w:r>
            <w:r w:rsidRPr="00537112">
              <w:rPr>
                <w:rFonts w:cs="Verdana"/>
                <w:spacing w:val="1"/>
                <w:sz w:val="20"/>
                <w:szCs w:val="20"/>
                <w:lang w:val="pt-BR"/>
              </w:rPr>
              <w:t>J</w:t>
            </w:r>
            <w:r w:rsidRPr="00537112">
              <w:rPr>
                <w:rFonts w:cs="Verdana"/>
                <w:spacing w:val="-1"/>
                <w:sz w:val="20"/>
                <w:szCs w:val="20"/>
                <w:lang w:val="pt-BR"/>
              </w:rPr>
              <w:t>es</w:t>
            </w:r>
            <w:r w:rsidRPr="00537112">
              <w:rPr>
                <w:rFonts w:cs="Verdana"/>
                <w:spacing w:val="1"/>
                <w:sz w:val="20"/>
                <w:szCs w:val="20"/>
                <w:lang w:val="pt-BR"/>
              </w:rPr>
              <w:t>ú</w:t>
            </w:r>
            <w:r w:rsidRPr="00537112">
              <w:rPr>
                <w:rFonts w:cs="Verdana"/>
                <w:sz w:val="20"/>
                <w:szCs w:val="20"/>
                <w:lang w:val="pt-BR"/>
              </w:rPr>
              <w:t>s</w:t>
            </w:r>
            <w:r w:rsidRPr="00537112">
              <w:rPr>
                <w:rFonts w:cs="Verdana"/>
                <w:spacing w:val="-6"/>
                <w:sz w:val="20"/>
                <w:szCs w:val="20"/>
                <w:lang w:val="pt-BR"/>
              </w:rPr>
              <w:t xml:space="preserve"> </w:t>
            </w:r>
            <w:r w:rsidRPr="00537112">
              <w:rPr>
                <w:rFonts w:cs="Verdana"/>
                <w:spacing w:val="1"/>
                <w:sz w:val="20"/>
                <w:szCs w:val="20"/>
                <w:lang w:val="pt-BR"/>
              </w:rPr>
              <w:t>A</w:t>
            </w:r>
            <w:r w:rsidRPr="00537112">
              <w:rPr>
                <w:rFonts w:cs="Verdana"/>
                <w:spacing w:val="3"/>
                <w:sz w:val="20"/>
                <w:szCs w:val="20"/>
                <w:lang w:val="pt-BR"/>
              </w:rPr>
              <w:t>l</w:t>
            </w:r>
            <w:r w:rsidRPr="00537112">
              <w:rPr>
                <w:rFonts w:cs="Verdana"/>
                <w:sz w:val="20"/>
                <w:szCs w:val="20"/>
                <w:lang w:val="pt-BR"/>
              </w:rPr>
              <w:t>a</w:t>
            </w:r>
            <w:r w:rsidRPr="00537112">
              <w:rPr>
                <w:rFonts w:cs="Verdana"/>
                <w:spacing w:val="-1"/>
                <w:sz w:val="20"/>
                <w:szCs w:val="20"/>
                <w:lang w:val="pt-BR"/>
              </w:rPr>
              <w:t>rcó</w:t>
            </w:r>
            <w:r w:rsidRPr="00537112">
              <w:rPr>
                <w:rFonts w:cs="Verdana"/>
                <w:sz w:val="20"/>
                <w:szCs w:val="20"/>
                <w:lang w:val="pt-BR"/>
              </w:rPr>
              <w:t>n</w:t>
            </w:r>
            <w:r w:rsidRPr="00537112">
              <w:rPr>
                <w:rFonts w:cs="Verdana"/>
                <w:spacing w:val="-7"/>
                <w:sz w:val="20"/>
                <w:szCs w:val="20"/>
                <w:lang w:val="pt-BR"/>
              </w:rPr>
              <w:t xml:space="preserve"> </w:t>
            </w:r>
            <w:r w:rsidRPr="00537112">
              <w:rPr>
                <w:rFonts w:cs="Verdana"/>
                <w:sz w:val="20"/>
                <w:szCs w:val="20"/>
                <w:lang w:val="pt-BR"/>
              </w:rPr>
              <w:t>M</w:t>
            </w:r>
            <w:r w:rsidRPr="00537112">
              <w:rPr>
                <w:rFonts w:cs="Verdana"/>
                <w:spacing w:val="-1"/>
                <w:sz w:val="20"/>
                <w:szCs w:val="20"/>
                <w:lang w:val="pt-BR"/>
              </w:rPr>
              <w:t>ore</w:t>
            </w:r>
            <w:r w:rsidRPr="00537112">
              <w:rPr>
                <w:rFonts w:cs="Verdana"/>
                <w:spacing w:val="1"/>
                <w:sz w:val="20"/>
                <w:szCs w:val="20"/>
                <w:lang w:val="pt-BR"/>
              </w:rPr>
              <w:t>nt</w:t>
            </w:r>
            <w:r w:rsidRPr="00537112">
              <w:rPr>
                <w:rFonts w:cs="Verdana"/>
                <w:sz w:val="20"/>
                <w:szCs w:val="20"/>
                <w:lang w:val="pt-BR"/>
              </w:rPr>
              <w:t>e</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57"/>
              <w:jc w:val="center"/>
              <w:textAlignment w:val="auto"/>
              <w:rPr>
                <w:rFonts w:ascii="Times New Roman" w:hAnsi="Times New Roman"/>
              </w:rPr>
            </w:pPr>
            <w:r w:rsidRPr="00537112">
              <w:rPr>
                <w:rFonts w:cs="Verdana"/>
                <w:w w:val="99"/>
                <w:position w:val="-1"/>
                <w:sz w:val="20"/>
                <w:szCs w:val="20"/>
              </w:rPr>
              <w:t>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rcó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1"/>
                <w:position w:val="-1"/>
                <w:sz w:val="20"/>
                <w:szCs w:val="20"/>
              </w:rPr>
              <w:t>(</w:t>
            </w:r>
            <w:r w:rsidRPr="00537112">
              <w:rPr>
                <w:rFonts w:cs="Verdana"/>
                <w:position w:val="-1"/>
                <w:sz w:val="20"/>
                <w:szCs w:val="20"/>
              </w:rPr>
              <w:t>Pa</w:t>
            </w:r>
            <w:r w:rsidRPr="00537112">
              <w:rPr>
                <w:rFonts w:cs="Verdana"/>
                <w:spacing w:val="1"/>
                <w:position w:val="-1"/>
                <w:sz w:val="20"/>
                <w:szCs w:val="20"/>
              </w:rPr>
              <w:t>d</w:t>
            </w:r>
            <w:r w:rsidRPr="00537112">
              <w:rPr>
                <w:rFonts w:cs="Verdana"/>
                <w:spacing w:val="-1"/>
                <w:position w:val="-1"/>
                <w:sz w:val="20"/>
                <w:szCs w:val="20"/>
              </w:rPr>
              <w:t>re</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Gr</w:t>
            </w:r>
            <w:r w:rsidRPr="00537112">
              <w:rPr>
                <w:rFonts w:cs="Verdana"/>
                <w:position w:val="-1"/>
                <w:sz w:val="20"/>
                <w:szCs w:val="20"/>
              </w:rPr>
              <w:t>a</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position w:val="-1"/>
                <w:sz w:val="20"/>
                <w:szCs w:val="20"/>
              </w:rPr>
              <w:t>e</w:t>
            </w:r>
            <w:r w:rsidRPr="00537112">
              <w:rPr>
                <w:rFonts w:cs="Verdana"/>
                <w:spacing w:val="-10"/>
                <w:position w:val="-1"/>
                <w:sz w:val="20"/>
                <w:szCs w:val="20"/>
              </w:rPr>
              <w:t xml:space="preserve"> </w:t>
            </w:r>
            <w:r w:rsidRPr="00537112">
              <w:rPr>
                <w:rFonts w:cs="Verdana"/>
                <w:spacing w:val="1"/>
                <w:position w:val="-1"/>
                <w:sz w:val="20"/>
                <w:szCs w:val="20"/>
              </w:rPr>
              <w:t>(</w:t>
            </w:r>
            <w:r w:rsidRPr="00537112">
              <w:rPr>
                <w:rFonts w:cs="Verdana"/>
                <w:position w:val="-1"/>
                <w:sz w:val="20"/>
                <w:szCs w:val="20"/>
              </w:rPr>
              <w:t>Ma</w:t>
            </w:r>
            <w:r w:rsidRPr="00537112">
              <w:rPr>
                <w:rFonts w:cs="Verdana"/>
                <w:spacing w:val="1"/>
                <w:position w:val="-1"/>
                <w:sz w:val="20"/>
                <w:szCs w:val="20"/>
              </w:rPr>
              <w:t>d</w:t>
            </w:r>
            <w:r w:rsidRPr="00537112">
              <w:rPr>
                <w:rFonts w:cs="Verdana"/>
                <w:spacing w:val="-1"/>
                <w:position w:val="-1"/>
                <w:sz w:val="20"/>
                <w:szCs w:val="20"/>
              </w:rPr>
              <w:t>re</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tabs>
                <w:tab w:val="left" w:pos="2880"/>
              </w:tabs>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rcó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position w:val="-1"/>
                <w:sz w:val="20"/>
                <w:szCs w:val="20"/>
              </w:rPr>
              <w:t>e</w:t>
            </w:r>
            <w:r w:rsidRPr="00537112">
              <w:rPr>
                <w:rFonts w:cs="Verdana"/>
                <w:position w:val="-1"/>
                <w:sz w:val="20"/>
                <w:szCs w:val="20"/>
              </w:rPr>
              <w:tab/>
            </w:r>
            <w:r w:rsidRPr="00537112">
              <w:rPr>
                <w:rFonts w:cs="Verdana"/>
                <w:spacing w:val="1"/>
                <w:position w:val="-1"/>
                <w:sz w:val="20"/>
                <w:szCs w:val="20"/>
              </w:rPr>
              <w:t>(</w:t>
            </w:r>
            <w:r w:rsidRPr="00537112">
              <w:rPr>
                <w:rFonts w:cs="Verdana"/>
                <w:spacing w:val="-1"/>
                <w:position w:val="-1"/>
                <w:sz w:val="20"/>
                <w:szCs w:val="20"/>
              </w:rPr>
              <w:t>Her</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494"/>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tabs>
                <w:tab w:val="left" w:pos="2880"/>
              </w:tabs>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tabs>
                <w:tab w:val="left" w:pos="2880"/>
              </w:tabs>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12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C</w:t>
            </w:r>
            <w:r w:rsidRPr="00537112">
              <w:rPr>
                <w:rFonts w:cs="Verdana"/>
                <w:spacing w:val="3"/>
                <w:sz w:val="20"/>
                <w:szCs w:val="20"/>
              </w:rPr>
              <w:t>l</w:t>
            </w:r>
            <w:r w:rsidRPr="00537112">
              <w:rPr>
                <w:rFonts w:cs="Verdana"/>
                <w:spacing w:val="-1"/>
                <w:sz w:val="20"/>
                <w:szCs w:val="20"/>
              </w:rPr>
              <w:t>o</w:t>
            </w:r>
            <w:r w:rsidRPr="00537112">
              <w:rPr>
                <w:rFonts w:cs="Verdana"/>
                <w:spacing w:val="1"/>
                <w:sz w:val="20"/>
                <w:szCs w:val="20"/>
              </w:rPr>
              <w:t>t</w:t>
            </w:r>
            <w:r w:rsidRPr="00537112">
              <w:rPr>
                <w:rFonts w:cs="Verdana"/>
                <w:spacing w:val="3"/>
                <w:sz w:val="20"/>
                <w:szCs w:val="20"/>
              </w:rPr>
              <w:t>il</w:t>
            </w:r>
            <w:r w:rsidRPr="00537112">
              <w:rPr>
                <w:rFonts w:cs="Verdana"/>
                <w:spacing w:val="1"/>
                <w:sz w:val="20"/>
                <w:szCs w:val="20"/>
              </w:rPr>
              <w:t>d</w:t>
            </w:r>
            <w:r w:rsidRPr="00537112">
              <w:rPr>
                <w:rFonts w:cs="Verdana"/>
                <w:sz w:val="20"/>
                <w:szCs w:val="20"/>
              </w:rPr>
              <w:t>e</w:t>
            </w:r>
            <w:r w:rsidRPr="00537112">
              <w:rPr>
                <w:rFonts w:cs="Verdana"/>
                <w:spacing w:val="-9"/>
                <w:sz w:val="20"/>
                <w:szCs w:val="20"/>
              </w:rPr>
              <w:t xml:space="preserve"> </w:t>
            </w:r>
            <w:r w:rsidRPr="00537112">
              <w:rPr>
                <w:rFonts w:cs="Verdana"/>
                <w:spacing w:val="1"/>
                <w:sz w:val="20"/>
                <w:szCs w:val="20"/>
              </w:rPr>
              <w:t>F</w:t>
            </w:r>
            <w:r w:rsidRPr="00537112">
              <w:rPr>
                <w:rFonts w:cs="Verdana"/>
                <w:spacing w:val="-1"/>
                <w:sz w:val="20"/>
                <w:szCs w:val="20"/>
              </w:rPr>
              <w:t>e</w:t>
            </w:r>
            <w:r w:rsidRPr="00537112">
              <w:rPr>
                <w:rFonts w:cs="Verdana"/>
                <w:spacing w:val="3"/>
                <w:sz w:val="20"/>
                <w:szCs w:val="20"/>
              </w:rPr>
              <w:t>li</w:t>
            </w:r>
            <w:r w:rsidRPr="00537112">
              <w:rPr>
                <w:rFonts w:cs="Verdana"/>
                <w:spacing w:val="1"/>
                <w:sz w:val="20"/>
                <w:szCs w:val="20"/>
              </w:rPr>
              <w:t>p</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a</w:t>
            </w:r>
            <w:r w:rsidRPr="00537112">
              <w:rPr>
                <w:rFonts w:cs="Verdana"/>
                <w:spacing w:val="-1"/>
                <w:sz w:val="20"/>
                <w:szCs w:val="20"/>
              </w:rPr>
              <w:t>rcó</w:t>
            </w:r>
            <w:r w:rsidRPr="00537112">
              <w:rPr>
                <w:rFonts w:cs="Verdana"/>
                <w:sz w:val="20"/>
                <w:szCs w:val="20"/>
              </w:rPr>
              <w:t>n</w:t>
            </w:r>
            <w:r w:rsidRPr="00537112">
              <w:rPr>
                <w:rFonts w:cs="Verdana"/>
                <w:spacing w:val="-7"/>
                <w:sz w:val="20"/>
                <w:szCs w:val="20"/>
              </w:rPr>
              <w:t xml:space="preserve"> </w:t>
            </w:r>
            <w:r w:rsidRPr="00537112">
              <w:rPr>
                <w:rFonts w:cs="Verdana"/>
                <w:sz w:val="20"/>
                <w:szCs w:val="20"/>
              </w:rPr>
              <w:t>M</w:t>
            </w:r>
            <w:r w:rsidRPr="00537112">
              <w:rPr>
                <w:rFonts w:cs="Verdana"/>
                <w:spacing w:val="-1"/>
                <w:sz w:val="20"/>
                <w:szCs w:val="20"/>
              </w:rPr>
              <w:t>ore</w:t>
            </w:r>
            <w:r w:rsidRPr="00537112">
              <w:rPr>
                <w:rFonts w:cs="Verdana"/>
                <w:spacing w:val="1"/>
                <w:sz w:val="20"/>
                <w:szCs w:val="20"/>
              </w:rPr>
              <w:t>nt</w:t>
            </w:r>
            <w:r w:rsidRPr="00537112">
              <w:rPr>
                <w:rFonts w:cs="Verdana"/>
                <w:sz w:val="20"/>
                <w:szCs w:val="20"/>
              </w:rPr>
              <w:t>e</w:t>
            </w:r>
            <w:r w:rsidRPr="00537112">
              <w:rPr>
                <w:rFonts w:cs="Verdana"/>
                <w:spacing w:val="-10"/>
                <w:sz w:val="20"/>
                <w:szCs w:val="20"/>
              </w:rPr>
              <w:t xml:space="preserve"> </w:t>
            </w:r>
            <w:r w:rsidRPr="00537112">
              <w:rPr>
                <w:rFonts w:cs="Verdana"/>
                <w:spacing w:val="1"/>
                <w:sz w:val="20"/>
                <w:szCs w:val="20"/>
              </w:rPr>
              <w:t>(</w:t>
            </w:r>
            <w:r w:rsidRPr="00537112">
              <w:rPr>
                <w:rFonts w:cs="Verdana"/>
                <w:spacing w:val="-1"/>
                <w:sz w:val="20"/>
                <w:szCs w:val="20"/>
              </w:rPr>
              <w:t>Her</w:t>
            </w:r>
            <w:r w:rsidRPr="00537112">
              <w:rPr>
                <w:rFonts w:cs="Verdana"/>
                <w:spacing w:val="1"/>
                <w:sz w:val="20"/>
                <w:szCs w:val="20"/>
              </w:rPr>
              <w:t>m</w:t>
            </w:r>
            <w:r w:rsidRPr="00537112">
              <w:rPr>
                <w:rFonts w:cs="Verdana"/>
                <w:sz w:val="20"/>
                <w:szCs w:val="20"/>
              </w:rPr>
              <w:t>a</w:t>
            </w:r>
            <w:r w:rsidRPr="00537112">
              <w:rPr>
                <w:rFonts w:cs="Verdana"/>
                <w:spacing w:val="1"/>
                <w:sz w:val="20"/>
                <w:szCs w:val="20"/>
              </w:rPr>
              <w:t>n</w:t>
            </w:r>
            <w:r w:rsidRPr="00537112">
              <w:rPr>
                <w:rFonts w:cs="Verdana"/>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es</w:t>
            </w:r>
            <w:r w:rsidRPr="00537112">
              <w:rPr>
                <w:rFonts w:cs="Verdana"/>
                <w:spacing w:val="1"/>
                <w:position w:val="-1"/>
                <w:sz w:val="20"/>
                <w:szCs w:val="20"/>
              </w:rPr>
              <w:t>u</w:t>
            </w:r>
            <w:r w:rsidRPr="00537112">
              <w:rPr>
                <w:rFonts w:cs="Verdana"/>
                <w:position w:val="-1"/>
                <w:sz w:val="20"/>
                <w:szCs w:val="20"/>
              </w:rPr>
              <w:t>s</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rcó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position w:val="-1"/>
                <w:sz w:val="20"/>
                <w:szCs w:val="20"/>
              </w:rPr>
              <w:t>e</w:t>
            </w:r>
            <w:r w:rsidRPr="00537112">
              <w:rPr>
                <w:rFonts w:cs="Verdana"/>
                <w:spacing w:val="-10"/>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Her</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rcó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position w:val="-1"/>
                <w:sz w:val="20"/>
                <w:szCs w:val="20"/>
              </w:rPr>
              <w:t>e</w:t>
            </w:r>
            <w:r w:rsidRPr="00537112">
              <w:rPr>
                <w:rFonts w:cs="Verdana"/>
                <w:spacing w:val="59"/>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Her</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rcó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position w:val="-1"/>
                <w:sz w:val="20"/>
                <w:szCs w:val="20"/>
              </w:rPr>
              <w:t>e</w:t>
            </w:r>
            <w:r w:rsidRPr="00537112">
              <w:rPr>
                <w:rFonts w:cs="Verdana"/>
                <w:spacing w:val="-10"/>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Her</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350"/>
              <w:jc w:val="center"/>
              <w:textAlignment w:val="auto"/>
              <w:rPr>
                <w:rFonts w:ascii="Times New Roman" w:hAnsi="Times New Roman"/>
              </w:rPr>
            </w:pPr>
            <w:r w:rsidRPr="00537112">
              <w:rPr>
                <w:rFonts w:cs="Verdana"/>
                <w:b/>
                <w:bCs/>
                <w:w w:val="99"/>
                <w:sz w:val="20"/>
                <w:szCs w:val="20"/>
              </w:rPr>
              <w:t>4</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8" w:line="240" w:lineRule="auto"/>
              <w:ind w:right="-20"/>
              <w:jc w:val="left"/>
              <w:textAlignment w:val="auto"/>
              <w:rPr>
                <w:rFonts w:cs="Verdana"/>
                <w:sz w:val="20"/>
                <w:szCs w:val="20"/>
              </w:rPr>
            </w:pPr>
            <w:r w:rsidRPr="00537112">
              <w:rPr>
                <w:rFonts w:cs="Verdana"/>
                <w:spacing w:val="-1"/>
                <w:sz w:val="20"/>
                <w:szCs w:val="20"/>
              </w:rPr>
              <w:t>E</w:t>
            </w:r>
            <w:r w:rsidRPr="00537112">
              <w:rPr>
                <w:rFonts w:cs="Verdana"/>
                <w:spacing w:val="1"/>
                <w:sz w:val="20"/>
                <w:szCs w:val="20"/>
              </w:rPr>
              <w:t>dmund</w:t>
            </w:r>
            <w:r w:rsidRPr="00537112">
              <w:rPr>
                <w:rFonts w:cs="Verdana"/>
                <w:sz w:val="20"/>
                <w:szCs w:val="20"/>
              </w:rPr>
              <w:t>o</w:t>
            </w:r>
            <w:r w:rsidRPr="00537112">
              <w:rPr>
                <w:rFonts w:cs="Verdana"/>
                <w:spacing w:val="-11"/>
                <w:sz w:val="20"/>
                <w:szCs w:val="20"/>
              </w:rPr>
              <w:t xml:space="preserve"> </w:t>
            </w:r>
            <w:r w:rsidRPr="00537112">
              <w:rPr>
                <w:rFonts w:cs="Verdana"/>
                <w:sz w:val="20"/>
                <w:szCs w:val="20"/>
              </w:rPr>
              <w:t>o</w:t>
            </w:r>
            <w:r w:rsidRPr="00537112">
              <w:rPr>
                <w:rFonts w:cs="Verdana"/>
                <w:spacing w:val="-3"/>
                <w:sz w:val="20"/>
                <w:szCs w:val="20"/>
              </w:rPr>
              <w:t xml:space="preserve"> </w:t>
            </w:r>
            <w:r w:rsidRPr="00537112">
              <w:rPr>
                <w:rFonts w:cs="Verdana"/>
                <w:spacing w:val="1"/>
                <w:sz w:val="20"/>
                <w:szCs w:val="20"/>
              </w:rPr>
              <w:t>R</w:t>
            </w:r>
            <w:r w:rsidRPr="00537112">
              <w:rPr>
                <w:rFonts w:cs="Verdana"/>
                <w:sz w:val="20"/>
                <w:szCs w:val="20"/>
              </w:rPr>
              <w:t>ay</w:t>
            </w:r>
            <w:r w:rsidRPr="00537112">
              <w:rPr>
                <w:rFonts w:cs="Verdana"/>
                <w:spacing w:val="1"/>
                <w:sz w:val="20"/>
                <w:szCs w:val="20"/>
              </w:rPr>
              <w:t>mund</w:t>
            </w:r>
            <w:r w:rsidRPr="00537112">
              <w:rPr>
                <w:rFonts w:cs="Verdana"/>
                <w:sz w:val="20"/>
                <w:szCs w:val="20"/>
              </w:rPr>
              <w:t>o</w:t>
            </w:r>
            <w:r w:rsidRPr="00537112">
              <w:rPr>
                <w:rFonts w:cs="Verdana"/>
                <w:spacing w:val="-13"/>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a</w:t>
            </w:r>
            <w:r w:rsidRPr="00537112">
              <w:rPr>
                <w:rFonts w:cs="Verdana"/>
                <w:spacing w:val="-1"/>
                <w:sz w:val="20"/>
                <w:szCs w:val="20"/>
              </w:rPr>
              <w:t>rcó</w:t>
            </w:r>
            <w:r w:rsidRPr="00537112">
              <w:rPr>
                <w:rFonts w:cs="Verdana"/>
                <w:sz w:val="20"/>
                <w:szCs w:val="20"/>
              </w:rPr>
              <w:t>n</w:t>
            </w:r>
          </w:p>
          <w:p w:rsidR="00537112" w:rsidRPr="00537112" w:rsidRDefault="00537112" w:rsidP="00537112">
            <w:pPr>
              <w:autoSpaceDE w:val="0"/>
              <w:autoSpaceDN w:val="0"/>
              <w:spacing w:before="16" w:line="240" w:lineRule="auto"/>
              <w:ind w:right="-20"/>
              <w:jc w:val="left"/>
              <w:textAlignment w:val="auto"/>
              <w:rPr>
                <w:rFonts w:ascii="Times New Roman" w:hAnsi="Times New Roman"/>
              </w:rPr>
            </w:pPr>
            <w:r w:rsidRPr="00537112">
              <w:rPr>
                <w:rFonts w:cs="Verdana"/>
                <w:sz w:val="20"/>
                <w:szCs w:val="20"/>
              </w:rPr>
              <w:t>M</w:t>
            </w:r>
            <w:r w:rsidRPr="00537112">
              <w:rPr>
                <w:rFonts w:cs="Verdana"/>
                <w:spacing w:val="-1"/>
                <w:sz w:val="20"/>
                <w:szCs w:val="20"/>
              </w:rPr>
              <w:t>ore</w:t>
            </w:r>
            <w:r w:rsidRPr="00537112">
              <w:rPr>
                <w:rFonts w:cs="Verdana"/>
                <w:spacing w:val="1"/>
                <w:sz w:val="20"/>
                <w:szCs w:val="20"/>
              </w:rPr>
              <w:t>nt</w:t>
            </w:r>
            <w:r w:rsidRPr="00537112">
              <w:rPr>
                <w:rFonts w:cs="Verdana"/>
                <w:sz w:val="20"/>
                <w:szCs w:val="20"/>
              </w:rPr>
              <w:t>e</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position w:val="-1"/>
                <w:sz w:val="20"/>
                <w:szCs w:val="20"/>
              </w:rPr>
              <w:t>a</w:t>
            </w:r>
            <w:r w:rsidRPr="00537112">
              <w:rPr>
                <w:rFonts w:cs="Verdana"/>
                <w:spacing w:val="1"/>
                <w:position w:val="-1"/>
                <w:sz w:val="20"/>
                <w:szCs w:val="20"/>
              </w:rPr>
              <w:t>u</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61"/>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Es</w:t>
            </w:r>
            <w:r w:rsidRPr="00537112">
              <w:rPr>
                <w:rFonts w:cs="Verdana"/>
                <w:spacing w:val="1"/>
                <w:position w:val="-1"/>
                <w:sz w:val="20"/>
                <w:szCs w:val="20"/>
              </w:rPr>
              <w:t>p</w:t>
            </w:r>
            <w:r w:rsidRPr="00537112">
              <w:rPr>
                <w:rFonts w:cs="Verdana"/>
                <w:spacing w:val="-1"/>
                <w:position w:val="-1"/>
                <w:sz w:val="20"/>
                <w:szCs w:val="20"/>
              </w:rPr>
              <w:t>os</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up</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rcó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3"/>
                <w:position w:val="-1"/>
                <w:sz w:val="20"/>
                <w:szCs w:val="20"/>
              </w:rPr>
              <w:t>l</w:t>
            </w:r>
            <w:r w:rsidRPr="00537112">
              <w:rPr>
                <w:rFonts w:cs="Verdana"/>
                <w:position w:val="-1"/>
                <w:sz w:val="20"/>
                <w:szCs w:val="20"/>
              </w:rPr>
              <w:t>á</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d</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rcó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61"/>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350"/>
              <w:jc w:val="center"/>
              <w:textAlignment w:val="auto"/>
              <w:rPr>
                <w:rFonts w:ascii="Times New Roman" w:hAnsi="Times New Roman"/>
              </w:rPr>
            </w:pPr>
            <w:r w:rsidRPr="00537112">
              <w:rPr>
                <w:rFonts w:cs="Verdana"/>
                <w:b/>
                <w:bCs/>
                <w:w w:val="99"/>
                <w:sz w:val="20"/>
                <w:szCs w:val="20"/>
              </w:rPr>
              <w:t>5</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P</w:t>
            </w:r>
            <w:r w:rsidRPr="00537112">
              <w:rPr>
                <w:rFonts w:cs="Verdana"/>
                <w:spacing w:val="-1"/>
                <w:sz w:val="20"/>
                <w:szCs w:val="20"/>
              </w:rPr>
              <w:t>e</w:t>
            </w:r>
            <w:r w:rsidRPr="00537112">
              <w:rPr>
                <w:rFonts w:cs="Verdana"/>
                <w:spacing w:val="1"/>
                <w:sz w:val="20"/>
                <w:szCs w:val="20"/>
              </w:rPr>
              <w:t>d</w:t>
            </w:r>
            <w:r w:rsidRPr="00537112">
              <w:rPr>
                <w:rFonts w:cs="Verdana"/>
                <w:spacing w:val="-1"/>
                <w:sz w:val="20"/>
                <w:szCs w:val="20"/>
              </w:rPr>
              <w:t>r</w:t>
            </w:r>
            <w:r w:rsidRPr="00537112">
              <w:rPr>
                <w:rFonts w:cs="Verdana"/>
                <w:sz w:val="20"/>
                <w:szCs w:val="20"/>
              </w:rPr>
              <w:t>o</w:t>
            </w:r>
            <w:r w:rsidRPr="00537112">
              <w:rPr>
                <w:rFonts w:cs="Verdana"/>
                <w:spacing w:val="-8"/>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a</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60"/>
                <w:position w:val="-1"/>
                <w:sz w:val="20"/>
                <w:szCs w:val="20"/>
              </w:rPr>
              <w:t xml:space="preserve"> </w:t>
            </w:r>
            <w:r w:rsidRPr="00537112">
              <w:rPr>
                <w:rFonts w:cs="Verdana"/>
                <w:spacing w:val="1"/>
                <w:position w:val="-1"/>
                <w:sz w:val="20"/>
                <w:szCs w:val="20"/>
              </w:rPr>
              <w:t>(</w:t>
            </w:r>
            <w:r w:rsidRPr="00537112">
              <w:rPr>
                <w:rFonts w:cs="Verdana"/>
                <w:position w:val="-1"/>
                <w:sz w:val="20"/>
                <w:szCs w:val="20"/>
              </w:rPr>
              <w:t>C</w:t>
            </w:r>
            <w:r w:rsidRPr="00537112">
              <w:rPr>
                <w:rFonts w:cs="Verdana"/>
                <w:spacing w:val="-1"/>
                <w:position w:val="-1"/>
                <w:sz w:val="20"/>
                <w:szCs w:val="20"/>
              </w:rPr>
              <w:t>o</w:t>
            </w:r>
            <w:r w:rsidRPr="00537112">
              <w:rPr>
                <w:rFonts w:cs="Verdana"/>
                <w:spacing w:val="1"/>
                <w:position w:val="-1"/>
                <w:sz w:val="20"/>
                <w:szCs w:val="20"/>
              </w:rPr>
              <w:t>n</w:t>
            </w:r>
            <w:r w:rsidRPr="00537112">
              <w:rPr>
                <w:rFonts w:cs="Verdana"/>
                <w:position w:val="-1"/>
                <w:sz w:val="20"/>
                <w:szCs w:val="20"/>
              </w:rPr>
              <w:t>y</w:t>
            </w:r>
            <w:r w:rsidRPr="00537112">
              <w:rPr>
                <w:rFonts w:cs="Verdana"/>
                <w:spacing w:val="1"/>
                <w:position w:val="-1"/>
                <w:sz w:val="20"/>
                <w:szCs w:val="20"/>
              </w:rPr>
              <w:t>ug</w:t>
            </w:r>
            <w:r w:rsidRPr="00537112">
              <w:rPr>
                <w:rFonts w:cs="Verdana"/>
                <w:spacing w:val="-1"/>
                <w:position w:val="-1"/>
                <w:sz w:val="20"/>
                <w:szCs w:val="20"/>
              </w:rPr>
              <w:t>e</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w:t>
            </w:r>
            <w:r w:rsidRPr="00537112">
              <w:rPr>
                <w:rFonts w:cs="Verdana"/>
                <w:spacing w:val="3"/>
                <w:position w:val="-1"/>
                <w:sz w:val="20"/>
                <w:szCs w:val="20"/>
              </w:rPr>
              <w:t>li</w:t>
            </w:r>
            <w:r w:rsidRPr="00537112">
              <w:rPr>
                <w:rFonts w:cs="Verdana"/>
                <w:position w:val="-1"/>
                <w:sz w:val="20"/>
                <w:szCs w:val="20"/>
              </w:rPr>
              <w:t>v</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61"/>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61"/>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350"/>
              <w:jc w:val="center"/>
              <w:textAlignment w:val="auto"/>
              <w:rPr>
                <w:rFonts w:ascii="Times New Roman" w:hAnsi="Times New Roman"/>
              </w:rPr>
            </w:pPr>
            <w:r w:rsidRPr="00537112">
              <w:rPr>
                <w:rFonts w:cs="Verdana"/>
                <w:b/>
                <w:bCs/>
                <w:w w:val="99"/>
                <w:sz w:val="20"/>
                <w:szCs w:val="20"/>
              </w:rPr>
              <w:t>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Ju</w:t>
            </w:r>
            <w:r w:rsidRPr="00537112">
              <w:rPr>
                <w:rFonts w:cs="Verdana"/>
                <w:sz w:val="20"/>
                <w:szCs w:val="20"/>
              </w:rPr>
              <w:t>an</w:t>
            </w:r>
            <w:r w:rsidRPr="00537112">
              <w:rPr>
                <w:rFonts w:cs="Verdana"/>
                <w:spacing w:val="-5"/>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r w:rsidRPr="00537112">
              <w:rPr>
                <w:rFonts w:cs="Verdana"/>
                <w:spacing w:val="-5"/>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tabs>
                <w:tab w:val="left" w:pos="2060"/>
              </w:tabs>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T</w:t>
            </w:r>
            <w:r w:rsidRPr="00537112">
              <w:rPr>
                <w:rFonts w:cs="Verdana"/>
                <w:spacing w:val="-1"/>
                <w:position w:val="-1"/>
                <w:sz w:val="20"/>
                <w:szCs w:val="20"/>
              </w:rPr>
              <w:t>o</w:t>
            </w:r>
            <w:r w:rsidRPr="00537112">
              <w:rPr>
                <w:rFonts w:cs="Verdana"/>
                <w:position w:val="-1"/>
                <w:sz w:val="20"/>
                <w:szCs w:val="20"/>
              </w:rPr>
              <w:t>j</w:t>
            </w:r>
            <w:r w:rsidRPr="00537112">
              <w:rPr>
                <w:rFonts w:cs="Verdana"/>
                <w:spacing w:val="-3"/>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r w:rsidRPr="00537112">
              <w:rPr>
                <w:rFonts w:cs="Verdana"/>
                <w:position w:val="-1"/>
                <w:sz w:val="20"/>
                <w:szCs w:val="20"/>
              </w:rPr>
              <w:tab/>
            </w:r>
            <w:r w:rsidRPr="00537112">
              <w:rPr>
                <w:rFonts w:cs="Verdana"/>
                <w:spacing w:val="1"/>
                <w:position w:val="-1"/>
                <w:sz w:val="20"/>
                <w:szCs w:val="20"/>
              </w:rPr>
              <w:t>(</w:t>
            </w:r>
            <w:r w:rsidRPr="00537112">
              <w:rPr>
                <w:rFonts w:cs="Verdana"/>
                <w:position w:val="-1"/>
                <w:sz w:val="20"/>
                <w:szCs w:val="20"/>
              </w:rPr>
              <w:t>C</w:t>
            </w:r>
            <w:r w:rsidRPr="00537112">
              <w:rPr>
                <w:rFonts w:cs="Verdana"/>
                <w:spacing w:val="-1"/>
                <w:position w:val="-1"/>
                <w:sz w:val="20"/>
                <w:szCs w:val="20"/>
              </w:rPr>
              <w:t>o</w:t>
            </w:r>
            <w:r w:rsidRPr="00537112">
              <w:rPr>
                <w:rFonts w:cs="Verdana"/>
                <w:spacing w:val="1"/>
                <w:position w:val="-1"/>
                <w:sz w:val="20"/>
                <w:szCs w:val="20"/>
              </w:rPr>
              <w:t>n</w:t>
            </w:r>
            <w:r w:rsidRPr="00537112">
              <w:rPr>
                <w:rFonts w:cs="Verdana"/>
                <w:position w:val="-1"/>
                <w:sz w:val="20"/>
                <w:szCs w:val="20"/>
              </w:rPr>
              <w:t>y</w:t>
            </w:r>
            <w:r w:rsidRPr="00537112">
              <w:rPr>
                <w:rFonts w:cs="Verdana"/>
                <w:spacing w:val="1"/>
                <w:position w:val="-1"/>
                <w:sz w:val="20"/>
                <w:szCs w:val="20"/>
              </w:rPr>
              <w:t>ug</w:t>
            </w:r>
            <w:r w:rsidRPr="00537112">
              <w:rPr>
                <w:rFonts w:cs="Verdana"/>
                <w:spacing w:val="-1"/>
                <w:position w:val="-1"/>
                <w:sz w:val="20"/>
                <w:szCs w:val="20"/>
              </w:rPr>
              <w:t>e</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tabs>
                <w:tab w:val="left" w:pos="2060"/>
              </w:tabs>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tabs>
                <w:tab w:val="left" w:pos="2060"/>
              </w:tabs>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Er</w:t>
            </w:r>
            <w:r w:rsidRPr="00537112">
              <w:rPr>
                <w:rFonts w:cs="Verdana"/>
                <w:spacing w:val="1"/>
                <w:position w:val="-1"/>
                <w:sz w:val="20"/>
                <w:szCs w:val="20"/>
              </w:rPr>
              <w:t>n</w:t>
            </w:r>
            <w:r w:rsidRPr="00537112">
              <w:rPr>
                <w:rFonts w:cs="Verdana"/>
                <w:spacing w:val="-1"/>
                <w:position w:val="-1"/>
                <w:sz w:val="20"/>
                <w:szCs w:val="20"/>
              </w:rPr>
              <w:t>es</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T</w:t>
            </w:r>
            <w:r w:rsidRPr="00537112">
              <w:rPr>
                <w:rFonts w:cs="Verdana"/>
                <w:spacing w:val="-1"/>
                <w:position w:val="-1"/>
                <w:sz w:val="20"/>
                <w:szCs w:val="20"/>
              </w:rPr>
              <w:t>o</w:t>
            </w:r>
            <w:r w:rsidRPr="00537112">
              <w:rPr>
                <w:rFonts w:cs="Verdana"/>
                <w:position w:val="-1"/>
                <w:sz w:val="20"/>
                <w:szCs w:val="20"/>
              </w:rPr>
              <w:t>j</w:t>
            </w:r>
            <w:r w:rsidRPr="00537112">
              <w:rPr>
                <w:rFonts w:cs="Verdana"/>
                <w:spacing w:val="66"/>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350"/>
              <w:jc w:val="center"/>
              <w:textAlignment w:val="auto"/>
              <w:rPr>
                <w:rFonts w:ascii="Times New Roman" w:hAnsi="Times New Roman"/>
              </w:rPr>
            </w:pPr>
            <w:r w:rsidRPr="00537112">
              <w:rPr>
                <w:rFonts w:cs="Verdana"/>
                <w:b/>
                <w:bCs/>
                <w:w w:val="99"/>
                <w:sz w:val="20"/>
                <w:szCs w:val="20"/>
              </w:rPr>
              <w:t>7</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40" w:lineRule="exact"/>
              <w:jc w:val="left"/>
              <w:textAlignment w:val="auto"/>
              <w:rPr>
                <w:rFonts w:ascii="Times New Roman" w:hAnsi="Times New Roman"/>
                <w:sz w:val="14"/>
                <w:szCs w:val="14"/>
                <w:lang w:val="pt-BR"/>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lang w:val="pt-BR"/>
              </w:rPr>
            </w:pPr>
          </w:p>
          <w:p w:rsidR="00537112" w:rsidRPr="00537112" w:rsidRDefault="00537112" w:rsidP="00537112">
            <w:pPr>
              <w:autoSpaceDE w:val="0"/>
              <w:autoSpaceDN w:val="0"/>
              <w:spacing w:line="240" w:lineRule="auto"/>
              <w:ind w:right="-20"/>
              <w:jc w:val="left"/>
              <w:textAlignment w:val="auto"/>
              <w:rPr>
                <w:rFonts w:cs="Verdana"/>
                <w:sz w:val="20"/>
                <w:szCs w:val="20"/>
                <w:lang w:val="pt-BR"/>
              </w:rPr>
            </w:pPr>
            <w:r w:rsidRPr="00537112">
              <w:rPr>
                <w:rFonts w:cs="Verdana"/>
                <w:spacing w:val="-1"/>
                <w:sz w:val="20"/>
                <w:szCs w:val="20"/>
                <w:lang w:val="pt-BR"/>
              </w:rPr>
              <w:t>Lore</w:t>
            </w:r>
            <w:r w:rsidRPr="00537112">
              <w:rPr>
                <w:rFonts w:cs="Verdana"/>
                <w:spacing w:val="1"/>
                <w:sz w:val="20"/>
                <w:szCs w:val="20"/>
                <w:lang w:val="pt-BR"/>
              </w:rPr>
              <w:t>nz</w:t>
            </w:r>
            <w:r w:rsidRPr="00537112">
              <w:rPr>
                <w:rFonts w:cs="Verdana"/>
                <w:sz w:val="20"/>
                <w:szCs w:val="20"/>
                <w:lang w:val="pt-BR"/>
              </w:rPr>
              <w:t>o</w:t>
            </w:r>
            <w:r w:rsidRPr="00537112">
              <w:rPr>
                <w:rFonts w:cs="Verdana"/>
                <w:spacing w:val="-10"/>
                <w:sz w:val="20"/>
                <w:szCs w:val="20"/>
                <w:lang w:val="pt-BR"/>
              </w:rPr>
              <w:t xml:space="preserve"> </w:t>
            </w:r>
            <w:r w:rsidRPr="00537112">
              <w:rPr>
                <w:rFonts w:cs="Verdana"/>
                <w:sz w:val="20"/>
                <w:szCs w:val="20"/>
                <w:lang w:val="pt-BR"/>
              </w:rPr>
              <w:t>D</w:t>
            </w:r>
            <w:r w:rsidRPr="00537112">
              <w:rPr>
                <w:rFonts w:cs="Verdana"/>
                <w:spacing w:val="-1"/>
                <w:sz w:val="20"/>
                <w:szCs w:val="20"/>
                <w:lang w:val="pt-BR"/>
              </w:rPr>
              <w:t>e</w:t>
            </w:r>
            <w:r w:rsidRPr="00537112">
              <w:rPr>
                <w:rFonts w:cs="Verdana"/>
                <w:spacing w:val="1"/>
                <w:sz w:val="20"/>
                <w:szCs w:val="20"/>
                <w:lang w:val="pt-BR"/>
              </w:rPr>
              <w:t>p</w:t>
            </w:r>
            <w:r w:rsidRPr="00537112">
              <w:rPr>
                <w:rFonts w:cs="Verdana"/>
                <w:sz w:val="20"/>
                <w:szCs w:val="20"/>
                <w:lang w:val="pt-BR"/>
              </w:rPr>
              <w:t>az</w:t>
            </w:r>
            <w:r w:rsidRPr="00537112">
              <w:rPr>
                <w:rFonts w:cs="Verdana"/>
                <w:spacing w:val="-6"/>
                <w:sz w:val="20"/>
                <w:szCs w:val="20"/>
                <w:lang w:val="pt-BR"/>
              </w:rPr>
              <w:t xml:space="preserve"> </w:t>
            </w:r>
            <w:r w:rsidRPr="00537112">
              <w:rPr>
                <w:rFonts w:cs="Verdana"/>
                <w:spacing w:val="1"/>
                <w:sz w:val="20"/>
                <w:szCs w:val="20"/>
                <w:lang w:val="pt-BR"/>
              </w:rPr>
              <w:t>S</w:t>
            </w:r>
            <w:r w:rsidRPr="00537112">
              <w:rPr>
                <w:rFonts w:cs="Verdana"/>
                <w:spacing w:val="3"/>
                <w:sz w:val="20"/>
                <w:szCs w:val="20"/>
                <w:lang w:val="pt-BR"/>
              </w:rPr>
              <w:t>i</w:t>
            </w:r>
            <w:r w:rsidRPr="00537112">
              <w:rPr>
                <w:rFonts w:cs="Verdana"/>
                <w:spacing w:val="1"/>
                <w:sz w:val="20"/>
                <w:szCs w:val="20"/>
                <w:lang w:val="pt-BR"/>
              </w:rPr>
              <w:t>p</w:t>
            </w:r>
            <w:r w:rsidRPr="00537112">
              <w:rPr>
                <w:rFonts w:cs="Verdana"/>
                <w:spacing w:val="-1"/>
                <w:sz w:val="20"/>
                <w:szCs w:val="20"/>
                <w:lang w:val="pt-BR"/>
              </w:rPr>
              <w:t>r</w:t>
            </w:r>
            <w:r w:rsidRPr="00537112">
              <w:rPr>
                <w:rFonts w:cs="Verdana"/>
                <w:spacing w:val="3"/>
                <w:sz w:val="20"/>
                <w:szCs w:val="20"/>
                <w:lang w:val="pt-BR"/>
              </w:rPr>
              <w:t>i</w:t>
            </w:r>
            <w:r w:rsidRPr="00537112">
              <w:rPr>
                <w:rFonts w:cs="Verdana"/>
                <w:sz w:val="20"/>
                <w:szCs w:val="20"/>
                <w:lang w:val="pt-BR"/>
              </w:rPr>
              <w:t>an</w:t>
            </w:r>
            <w:r w:rsidRPr="00537112">
              <w:rPr>
                <w:rFonts w:cs="Verdana"/>
                <w:spacing w:val="-7"/>
                <w:sz w:val="20"/>
                <w:szCs w:val="20"/>
                <w:lang w:val="pt-BR"/>
              </w:rPr>
              <w:t xml:space="preserve"> </w:t>
            </w:r>
            <w:r w:rsidRPr="00537112">
              <w:rPr>
                <w:rFonts w:cs="Verdana"/>
                <w:spacing w:val="1"/>
                <w:sz w:val="20"/>
                <w:szCs w:val="20"/>
                <w:lang w:val="pt-BR"/>
              </w:rPr>
              <w:t>(</w:t>
            </w:r>
            <w:r w:rsidRPr="00537112">
              <w:rPr>
                <w:rFonts w:cs="Verdana"/>
                <w:sz w:val="20"/>
                <w:szCs w:val="20"/>
                <w:lang w:val="pt-BR"/>
              </w:rPr>
              <w:t>o</w:t>
            </w:r>
            <w:r w:rsidRPr="00537112">
              <w:rPr>
                <w:rFonts w:cs="Verdana"/>
                <w:spacing w:val="-4"/>
                <w:sz w:val="20"/>
                <w:szCs w:val="20"/>
                <w:lang w:val="pt-BR"/>
              </w:rPr>
              <w:t xml:space="preserve"> </w:t>
            </w:r>
            <w:r w:rsidRPr="00537112">
              <w:rPr>
                <w:rFonts w:cs="Verdana"/>
                <w:spacing w:val="1"/>
                <w:sz w:val="20"/>
                <w:szCs w:val="20"/>
                <w:lang w:val="pt-BR"/>
              </w:rPr>
              <w:t>F</w:t>
            </w:r>
            <w:r w:rsidRPr="00537112">
              <w:rPr>
                <w:rFonts w:cs="Verdana"/>
                <w:spacing w:val="3"/>
                <w:sz w:val="20"/>
                <w:szCs w:val="20"/>
                <w:lang w:val="pt-BR"/>
              </w:rPr>
              <w:t>l</w:t>
            </w:r>
            <w:r w:rsidRPr="00537112">
              <w:rPr>
                <w:rFonts w:cs="Verdana"/>
                <w:spacing w:val="-1"/>
                <w:sz w:val="20"/>
                <w:szCs w:val="20"/>
                <w:lang w:val="pt-BR"/>
              </w:rPr>
              <w:t>ore</w:t>
            </w:r>
            <w:r w:rsidRPr="00537112">
              <w:rPr>
                <w:rFonts w:cs="Verdana"/>
                <w:spacing w:val="1"/>
                <w:sz w:val="20"/>
                <w:szCs w:val="20"/>
                <w:lang w:val="pt-BR"/>
              </w:rPr>
              <w:t>n</w:t>
            </w:r>
            <w:r w:rsidRPr="00537112">
              <w:rPr>
                <w:rFonts w:cs="Verdana"/>
                <w:spacing w:val="-1"/>
                <w:sz w:val="20"/>
                <w:szCs w:val="20"/>
                <w:lang w:val="pt-BR"/>
              </w:rPr>
              <w:t>c</w:t>
            </w:r>
            <w:r w:rsidRPr="00537112">
              <w:rPr>
                <w:rFonts w:cs="Verdana"/>
                <w:spacing w:val="3"/>
                <w:sz w:val="20"/>
                <w:szCs w:val="20"/>
                <w:lang w:val="pt-BR"/>
              </w:rPr>
              <w:t>i</w:t>
            </w:r>
            <w:r w:rsidRPr="00537112">
              <w:rPr>
                <w:rFonts w:cs="Verdana"/>
                <w:sz w:val="20"/>
                <w:szCs w:val="20"/>
                <w:lang w:val="pt-BR"/>
              </w:rPr>
              <w:t>o</w:t>
            </w:r>
          </w:p>
          <w:p w:rsidR="00537112" w:rsidRPr="00537112" w:rsidRDefault="00537112" w:rsidP="00537112">
            <w:pPr>
              <w:autoSpaceDE w:val="0"/>
              <w:autoSpaceDN w:val="0"/>
              <w:spacing w:before="16" w:line="240" w:lineRule="auto"/>
              <w:ind w:right="-20"/>
              <w:jc w:val="left"/>
              <w:textAlignment w:val="auto"/>
              <w:rPr>
                <w:rFonts w:ascii="Times New Roman" w:hAnsi="Times New Roman"/>
                <w:lang w:val="pt-BR"/>
              </w:rPr>
            </w:pPr>
            <w:r w:rsidRPr="00537112">
              <w:rPr>
                <w:rFonts w:cs="Verdana"/>
                <w:sz w:val="20"/>
                <w:szCs w:val="20"/>
                <w:lang w:val="pt-BR"/>
              </w:rPr>
              <w:t>D</w:t>
            </w:r>
            <w:r w:rsidRPr="00537112">
              <w:rPr>
                <w:rFonts w:cs="Verdana"/>
                <w:spacing w:val="-1"/>
                <w:sz w:val="20"/>
                <w:szCs w:val="20"/>
                <w:lang w:val="pt-BR"/>
              </w:rPr>
              <w:t>e</w:t>
            </w:r>
            <w:r w:rsidRPr="00537112">
              <w:rPr>
                <w:rFonts w:cs="Verdana"/>
                <w:spacing w:val="1"/>
                <w:sz w:val="20"/>
                <w:szCs w:val="20"/>
                <w:lang w:val="pt-BR"/>
              </w:rPr>
              <w:t>p</w:t>
            </w:r>
            <w:r w:rsidRPr="00537112">
              <w:rPr>
                <w:rFonts w:cs="Verdana"/>
                <w:sz w:val="20"/>
                <w:szCs w:val="20"/>
                <w:lang w:val="pt-BR"/>
              </w:rPr>
              <w:t>az</w:t>
            </w:r>
            <w:r w:rsidRPr="00537112">
              <w:rPr>
                <w:rFonts w:cs="Verdana"/>
                <w:spacing w:val="-6"/>
                <w:sz w:val="20"/>
                <w:szCs w:val="20"/>
                <w:lang w:val="pt-BR"/>
              </w:rPr>
              <w:t xml:space="preserve"> </w:t>
            </w:r>
            <w:r w:rsidRPr="00537112">
              <w:rPr>
                <w:rFonts w:cs="Verdana"/>
                <w:sz w:val="20"/>
                <w:szCs w:val="20"/>
                <w:lang w:val="pt-BR"/>
              </w:rPr>
              <w:t>C</w:t>
            </w:r>
            <w:r w:rsidRPr="00537112">
              <w:rPr>
                <w:rFonts w:cs="Verdana"/>
                <w:spacing w:val="3"/>
                <w:sz w:val="20"/>
                <w:szCs w:val="20"/>
                <w:lang w:val="pt-BR"/>
              </w:rPr>
              <w:t>i</w:t>
            </w:r>
            <w:r w:rsidRPr="00537112">
              <w:rPr>
                <w:rFonts w:cs="Verdana"/>
                <w:spacing w:val="1"/>
                <w:sz w:val="20"/>
                <w:szCs w:val="20"/>
                <w:lang w:val="pt-BR"/>
              </w:rPr>
              <w:t>p</w:t>
            </w:r>
            <w:r w:rsidRPr="00537112">
              <w:rPr>
                <w:rFonts w:cs="Verdana"/>
                <w:spacing w:val="-1"/>
                <w:sz w:val="20"/>
                <w:szCs w:val="20"/>
                <w:lang w:val="pt-BR"/>
              </w:rPr>
              <w:t>r</w:t>
            </w:r>
            <w:r w:rsidRPr="00537112">
              <w:rPr>
                <w:rFonts w:cs="Verdana"/>
                <w:spacing w:val="3"/>
                <w:sz w:val="20"/>
                <w:szCs w:val="20"/>
                <w:lang w:val="pt-BR"/>
              </w:rPr>
              <w:t>i</w:t>
            </w:r>
            <w:r w:rsidRPr="00537112">
              <w:rPr>
                <w:rFonts w:cs="Verdana"/>
                <w:sz w:val="20"/>
                <w:szCs w:val="20"/>
                <w:lang w:val="pt-BR"/>
              </w:rPr>
              <w:t>a</w:t>
            </w:r>
            <w:r w:rsidRPr="00537112">
              <w:rPr>
                <w:rFonts w:cs="Verdana"/>
                <w:spacing w:val="1"/>
                <w:sz w:val="20"/>
                <w:szCs w:val="20"/>
                <w:lang w:val="pt-BR"/>
              </w:rPr>
              <w:t>n</w:t>
            </w:r>
            <w:r w:rsidRPr="00537112">
              <w:rPr>
                <w:rFonts w:cs="Verdana"/>
                <w:spacing w:val="-1"/>
                <w:sz w:val="20"/>
                <w:szCs w:val="20"/>
                <w:lang w:val="pt-BR"/>
              </w:rPr>
              <w:t>o</w:t>
            </w:r>
            <w:r w:rsidRPr="00537112">
              <w:rPr>
                <w:rFonts w:cs="Verdana"/>
                <w:sz w:val="20"/>
                <w:szCs w:val="20"/>
                <w:lang w:val="pt-BR"/>
              </w:rPr>
              <w:t>)</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j</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60"/>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c</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60"/>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Ap</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r w:rsidRPr="00537112">
              <w:rPr>
                <w:rFonts w:cs="Verdana"/>
                <w:spacing w:val="-3"/>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60"/>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w:t>
            </w:r>
            <w:r w:rsidRPr="00537112">
              <w:rPr>
                <w:rFonts w:cs="Verdana"/>
                <w:spacing w:val="1"/>
                <w:position w:val="-1"/>
                <w:sz w:val="20"/>
                <w:szCs w:val="20"/>
              </w:rPr>
              <w:t>d</w:t>
            </w:r>
            <w:r w:rsidRPr="00537112">
              <w:rPr>
                <w:rFonts w:cs="Verdana"/>
                <w:spacing w:val="3"/>
                <w:position w:val="-1"/>
                <w:sz w:val="20"/>
                <w:szCs w:val="20"/>
              </w:rPr>
              <w:t>ili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r w:rsidRPr="00537112">
              <w:rPr>
                <w:rFonts w:cs="Verdana"/>
                <w:spacing w:val="-3"/>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60"/>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r</w:t>
            </w:r>
            <w:r w:rsidRPr="00537112">
              <w:rPr>
                <w:rFonts w:cs="Verdana"/>
                <w:spacing w:val="1"/>
                <w:position w:val="-1"/>
                <w:sz w:val="20"/>
                <w:szCs w:val="20"/>
              </w:rPr>
              <w:t>g</w:t>
            </w:r>
            <w:r w:rsidRPr="00537112">
              <w:rPr>
                <w:rFonts w:cs="Verdana"/>
                <w:spacing w:val="3"/>
                <w:position w:val="-1"/>
                <w:sz w:val="20"/>
                <w:szCs w:val="20"/>
              </w:rPr>
              <w:t>ili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r w:rsidRPr="00537112">
              <w:rPr>
                <w:rFonts w:cs="Verdana"/>
                <w:spacing w:val="-3"/>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60"/>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350"/>
              <w:jc w:val="center"/>
              <w:textAlignment w:val="auto"/>
              <w:rPr>
                <w:rFonts w:ascii="Times New Roman" w:hAnsi="Times New Roman"/>
              </w:rPr>
            </w:pPr>
            <w:r w:rsidRPr="00537112">
              <w:rPr>
                <w:rFonts w:cs="Verdana"/>
                <w:b/>
                <w:bCs/>
                <w:w w:val="99"/>
                <w:sz w:val="20"/>
                <w:szCs w:val="20"/>
              </w:rPr>
              <w:t>8</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Leo</w:t>
            </w:r>
            <w:r w:rsidRPr="00537112">
              <w:rPr>
                <w:rFonts w:cs="Verdana"/>
                <w:spacing w:val="1"/>
                <w:sz w:val="20"/>
                <w:szCs w:val="20"/>
              </w:rPr>
              <w:t>n</w:t>
            </w:r>
            <w:r w:rsidRPr="00537112">
              <w:rPr>
                <w:rFonts w:cs="Verdana"/>
                <w:sz w:val="20"/>
                <w:szCs w:val="20"/>
              </w:rPr>
              <w:t>a</w:t>
            </w:r>
            <w:r w:rsidRPr="00537112">
              <w:rPr>
                <w:rFonts w:cs="Verdana"/>
                <w:spacing w:val="-1"/>
                <w:sz w:val="20"/>
                <w:szCs w:val="20"/>
              </w:rPr>
              <w:t>r</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z w:val="20"/>
                <w:szCs w:val="20"/>
              </w:rPr>
              <w:t>Ca</w:t>
            </w:r>
            <w:r w:rsidRPr="00537112">
              <w:rPr>
                <w:rFonts w:cs="Verdana"/>
                <w:spacing w:val="1"/>
                <w:sz w:val="20"/>
                <w:szCs w:val="20"/>
              </w:rPr>
              <w:t>hu</w:t>
            </w:r>
            <w:r w:rsidRPr="00537112">
              <w:rPr>
                <w:rFonts w:cs="Verdana"/>
                <w:spacing w:val="-1"/>
                <w:sz w:val="20"/>
                <w:szCs w:val="20"/>
              </w:rPr>
              <w:t>e</w:t>
            </w:r>
            <w:r w:rsidRPr="00537112">
              <w:rPr>
                <w:rFonts w:cs="Verdana"/>
                <w:sz w:val="20"/>
                <w:szCs w:val="20"/>
              </w:rPr>
              <w:t>c</w:t>
            </w:r>
            <w:r w:rsidRPr="00537112">
              <w:rPr>
                <w:rFonts w:cs="Verdana"/>
                <w:spacing w:val="-8"/>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á</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tabs>
                <w:tab w:val="left" w:pos="2280"/>
              </w:tabs>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u</w:t>
            </w:r>
            <w:r w:rsidRPr="00537112">
              <w:rPr>
                <w:rFonts w:cs="Verdana"/>
                <w:position w:val="-1"/>
                <w:sz w:val="20"/>
                <w:szCs w:val="20"/>
              </w:rPr>
              <w:t>x</w:t>
            </w:r>
            <w:r w:rsidRPr="00537112">
              <w:rPr>
                <w:rFonts w:cs="Verdana"/>
                <w:spacing w:val="1"/>
                <w:position w:val="-1"/>
                <w:sz w:val="20"/>
                <w:szCs w:val="20"/>
              </w:rPr>
              <w:t>ú</w:t>
            </w:r>
            <w:r w:rsidRPr="00537112">
              <w:rPr>
                <w:rFonts w:cs="Verdana"/>
                <w:position w:val="-1"/>
                <w:sz w:val="20"/>
                <w:szCs w:val="20"/>
              </w:rPr>
              <w:t>m</w:t>
            </w:r>
            <w:r w:rsidRPr="00537112">
              <w:rPr>
                <w:rFonts w:cs="Verdana"/>
                <w:position w:val="-1"/>
                <w:sz w:val="20"/>
                <w:szCs w:val="20"/>
              </w:rPr>
              <w:tab/>
            </w:r>
            <w:r w:rsidRPr="00537112">
              <w:rPr>
                <w:rFonts w:cs="Verdana"/>
                <w:spacing w:val="1"/>
                <w:position w:val="-1"/>
                <w:sz w:val="20"/>
                <w:szCs w:val="20"/>
              </w:rPr>
              <w:t>(</w:t>
            </w:r>
            <w:r w:rsidRPr="00537112">
              <w:rPr>
                <w:rFonts w:cs="Verdana"/>
                <w:spacing w:val="-1"/>
                <w:position w:val="-1"/>
                <w:sz w:val="20"/>
                <w:szCs w:val="20"/>
              </w:rPr>
              <w:t>Es</w:t>
            </w:r>
            <w:r w:rsidRPr="00537112">
              <w:rPr>
                <w:rFonts w:cs="Verdana"/>
                <w:spacing w:val="1"/>
                <w:position w:val="-1"/>
                <w:sz w:val="20"/>
                <w:szCs w:val="20"/>
              </w:rPr>
              <w:t>p</w:t>
            </w:r>
            <w:r w:rsidRPr="00537112">
              <w:rPr>
                <w:rFonts w:cs="Verdana"/>
                <w:spacing w:val="-1"/>
                <w:position w:val="-1"/>
                <w:sz w:val="20"/>
                <w:szCs w:val="20"/>
              </w:rPr>
              <w:t>os</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tabs>
                <w:tab w:val="left" w:pos="2280"/>
              </w:tabs>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tabs>
                <w:tab w:val="left" w:pos="2280"/>
              </w:tabs>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61"/>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350"/>
              <w:jc w:val="center"/>
              <w:textAlignment w:val="auto"/>
              <w:rPr>
                <w:rFonts w:ascii="Times New Roman" w:hAnsi="Times New Roman"/>
              </w:rPr>
            </w:pPr>
            <w:r w:rsidRPr="00537112">
              <w:rPr>
                <w:rFonts w:cs="Verdana"/>
                <w:b/>
                <w:bCs/>
                <w:w w:val="99"/>
                <w:sz w:val="20"/>
                <w:szCs w:val="20"/>
              </w:rPr>
              <w:t>9</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Ju</w:t>
            </w:r>
            <w:r w:rsidRPr="00537112">
              <w:rPr>
                <w:rFonts w:cs="Verdana"/>
                <w:sz w:val="20"/>
                <w:szCs w:val="20"/>
              </w:rPr>
              <w:t>an</w:t>
            </w:r>
            <w:r w:rsidRPr="00537112">
              <w:rPr>
                <w:rFonts w:cs="Verdana"/>
                <w:spacing w:val="-5"/>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r w:rsidRPr="00537112">
              <w:rPr>
                <w:rFonts w:cs="Verdana"/>
                <w:spacing w:val="-9"/>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lang w:val="pt-BR"/>
              </w:rPr>
            </w:pPr>
            <w:r w:rsidRPr="00537112">
              <w:rPr>
                <w:rFonts w:cs="Verdana"/>
                <w:position w:val="-1"/>
                <w:sz w:val="20"/>
                <w:szCs w:val="20"/>
                <w:lang w:val="pt-BR"/>
              </w:rPr>
              <w:t>Ma</w:t>
            </w:r>
            <w:r w:rsidRPr="00537112">
              <w:rPr>
                <w:rFonts w:cs="Verdana"/>
                <w:spacing w:val="-1"/>
                <w:position w:val="-1"/>
                <w:sz w:val="20"/>
                <w:szCs w:val="20"/>
                <w:lang w:val="pt-BR"/>
              </w:rPr>
              <w:t>r</w:t>
            </w:r>
            <w:r w:rsidRPr="00537112">
              <w:rPr>
                <w:rFonts w:cs="Verdana"/>
                <w:spacing w:val="3"/>
                <w:position w:val="-1"/>
                <w:sz w:val="20"/>
                <w:szCs w:val="20"/>
                <w:lang w:val="pt-BR"/>
              </w:rPr>
              <w:t>i</w:t>
            </w:r>
            <w:r w:rsidRPr="00537112">
              <w:rPr>
                <w:rFonts w:cs="Verdana"/>
                <w:position w:val="-1"/>
                <w:sz w:val="20"/>
                <w:szCs w:val="20"/>
                <w:lang w:val="pt-BR"/>
              </w:rPr>
              <w:t>a</w:t>
            </w:r>
            <w:r w:rsidRPr="00537112">
              <w:rPr>
                <w:rFonts w:cs="Verdana"/>
                <w:spacing w:val="-5"/>
                <w:position w:val="-1"/>
                <w:sz w:val="20"/>
                <w:szCs w:val="20"/>
                <w:lang w:val="pt-BR"/>
              </w:rPr>
              <w:t xml:space="preserve"> </w:t>
            </w:r>
            <w:r w:rsidRPr="00537112">
              <w:rPr>
                <w:rFonts w:cs="Verdana"/>
                <w:position w:val="-1"/>
                <w:sz w:val="20"/>
                <w:szCs w:val="20"/>
                <w:lang w:val="pt-BR"/>
              </w:rPr>
              <w:t>T</w:t>
            </w:r>
            <w:r w:rsidRPr="00537112">
              <w:rPr>
                <w:rFonts w:cs="Verdana"/>
                <w:spacing w:val="-1"/>
                <w:position w:val="-1"/>
                <w:sz w:val="20"/>
                <w:szCs w:val="20"/>
                <w:lang w:val="pt-BR"/>
              </w:rPr>
              <w:t>eres</w:t>
            </w:r>
            <w:r w:rsidRPr="00537112">
              <w:rPr>
                <w:rFonts w:cs="Verdana"/>
                <w:position w:val="-1"/>
                <w:sz w:val="20"/>
                <w:szCs w:val="20"/>
                <w:lang w:val="pt-BR"/>
              </w:rPr>
              <w:t>a</w:t>
            </w:r>
            <w:r w:rsidRPr="00537112">
              <w:rPr>
                <w:rFonts w:cs="Verdana"/>
                <w:spacing w:val="-7"/>
                <w:position w:val="-1"/>
                <w:sz w:val="20"/>
                <w:szCs w:val="20"/>
                <w:lang w:val="pt-BR"/>
              </w:rPr>
              <w:t xml:space="preserve"> </w:t>
            </w:r>
            <w:r w:rsidRPr="00537112">
              <w:rPr>
                <w:rFonts w:cs="Verdana"/>
                <w:spacing w:val="1"/>
                <w:position w:val="-1"/>
                <w:sz w:val="20"/>
                <w:szCs w:val="20"/>
                <w:lang w:val="pt-BR"/>
              </w:rPr>
              <w:t>S</w:t>
            </w:r>
            <w:r w:rsidRPr="00537112">
              <w:rPr>
                <w:rFonts w:cs="Verdana"/>
                <w:spacing w:val="3"/>
                <w:position w:val="-1"/>
                <w:sz w:val="20"/>
                <w:szCs w:val="20"/>
                <w:lang w:val="pt-BR"/>
              </w:rPr>
              <w:t>i</w:t>
            </w:r>
            <w:r w:rsidRPr="00537112">
              <w:rPr>
                <w:rFonts w:cs="Verdana"/>
                <w:position w:val="-1"/>
                <w:sz w:val="20"/>
                <w:szCs w:val="20"/>
                <w:lang w:val="pt-BR"/>
              </w:rPr>
              <w:t>c</w:t>
            </w:r>
            <w:r w:rsidRPr="00537112">
              <w:rPr>
                <w:rFonts w:cs="Verdana"/>
                <w:spacing w:val="-4"/>
                <w:position w:val="-1"/>
                <w:sz w:val="20"/>
                <w:szCs w:val="20"/>
                <w:lang w:val="pt-BR"/>
              </w:rPr>
              <w:t xml:space="preserve"> </w:t>
            </w:r>
            <w:r w:rsidRPr="00537112">
              <w:rPr>
                <w:rFonts w:cs="Verdana"/>
                <w:spacing w:val="-1"/>
                <w:position w:val="-1"/>
                <w:sz w:val="20"/>
                <w:szCs w:val="20"/>
                <w:lang w:val="pt-BR"/>
              </w:rPr>
              <w:t>Osor</w:t>
            </w:r>
            <w:r w:rsidRPr="00537112">
              <w:rPr>
                <w:rFonts w:cs="Verdana"/>
                <w:spacing w:val="3"/>
                <w:position w:val="-1"/>
                <w:sz w:val="20"/>
                <w:szCs w:val="20"/>
                <w:lang w:val="pt-BR"/>
              </w:rPr>
              <w:t>i</w:t>
            </w:r>
            <w:r w:rsidRPr="00537112">
              <w:rPr>
                <w:rFonts w:cs="Verdana"/>
                <w:position w:val="-1"/>
                <w:sz w:val="20"/>
                <w:szCs w:val="20"/>
                <w:lang w:val="pt-BR"/>
              </w:rPr>
              <w:t>o</w:t>
            </w:r>
            <w:r w:rsidRPr="00537112">
              <w:rPr>
                <w:rFonts w:cs="Verdana"/>
                <w:spacing w:val="-8"/>
                <w:position w:val="-1"/>
                <w:sz w:val="20"/>
                <w:szCs w:val="20"/>
                <w:lang w:val="pt-BR"/>
              </w:rPr>
              <w:t xml:space="preserve"> </w:t>
            </w:r>
            <w:r w:rsidRPr="00537112">
              <w:rPr>
                <w:rFonts w:cs="Verdana"/>
                <w:spacing w:val="1"/>
                <w:position w:val="-1"/>
                <w:sz w:val="20"/>
                <w:szCs w:val="20"/>
                <w:lang w:val="pt-BR"/>
              </w:rPr>
              <w:t>(</w:t>
            </w:r>
            <w:r w:rsidRPr="00537112">
              <w:rPr>
                <w:rFonts w:cs="Verdana"/>
                <w:spacing w:val="-1"/>
                <w:position w:val="-1"/>
                <w:sz w:val="20"/>
                <w:szCs w:val="20"/>
                <w:lang w:val="pt-BR"/>
              </w:rPr>
              <w:t>Es</w:t>
            </w:r>
            <w:r w:rsidRPr="00537112">
              <w:rPr>
                <w:rFonts w:cs="Verdana"/>
                <w:spacing w:val="1"/>
                <w:position w:val="-1"/>
                <w:sz w:val="20"/>
                <w:szCs w:val="20"/>
                <w:lang w:val="pt-BR"/>
              </w:rPr>
              <w:t>p</w:t>
            </w:r>
            <w:r w:rsidRPr="00537112">
              <w:rPr>
                <w:rFonts w:cs="Verdana"/>
                <w:spacing w:val="-1"/>
                <w:position w:val="-1"/>
                <w:sz w:val="20"/>
                <w:szCs w:val="20"/>
                <w:lang w:val="pt-BR"/>
              </w:rPr>
              <w:t>os</w:t>
            </w:r>
            <w:r w:rsidRPr="00537112">
              <w:rPr>
                <w:rFonts w:cs="Verdana"/>
                <w:position w:val="-1"/>
                <w:sz w:val="20"/>
                <w:szCs w:val="20"/>
                <w:lang w:val="pt-BR"/>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lang w:val="pt-BR"/>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lang w:val="pt-BR"/>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65"/>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tabs>
                <w:tab w:val="left" w:pos="3080"/>
              </w:tabs>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1"/>
                <w:position w:val="-1"/>
                <w:sz w:val="20"/>
                <w:szCs w:val="20"/>
              </w:rPr>
              <w:t>s</w:t>
            </w:r>
            <w:r w:rsidRPr="00537112">
              <w:rPr>
                <w:rFonts w:cs="Verdana"/>
                <w:spacing w:val="1"/>
                <w:position w:val="-1"/>
                <w:sz w:val="20"/>
                <w:szCs w:val="20"/>
              </w:rPr>
              <w:t>un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ó</w:t>
            </w:r>
            <w:r w:rsidRPr="00537112">
              <w:rPr>
                <w:rFonts w:cs="Verdana"/>
                <w:position w:val="-1"/>
                <w:sz w:val="20"/>
                <w:szCs w:val="20"/>
              </w:rPr>
              <w:t>n</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position w:val="-1"/>
                <w:sz w:val="20"/>
                <w:szCs w:val="20"/>
              </w:rPr>
              <w:tab/>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tabs>
                <w:tab w:val="left" w:pos="3080"/>
              </w:tabs>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tabs>
                <w:tab w:val="left" w:pos="3080"/>
              </w:tabs>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tabs>
                <w:tab w:val="left" w:pos="2380"/>
              </w:tabs>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position w:val="-1"/>
                <w:sz w:val="20"/>
                <w:szCs w:val="20"/>
              </w:rPr>
              <w:tab/>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tabs>
                <w:tab w:val="left" w:pos="2380"/>
              </w:tabs>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tabs>
                <w:tab w:val="left" w:pos="2380"/>
              </w:tabs>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m</w:t>
            </w:r>
            <w:r w:rsidRPr="00537112">
              <w:rPr>
                <w:rFonts w:cs="Verdana"/>
                <w:spacing w:val="3"/>
                <w:position w:val="-1"/>
                <w:sz w:val="20"/>
                <w:szCs w:val="20"/>
              </w:rPr>
              <w:t>ili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65"/>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spacing w:val="3"/>
                <w:position w:val="-1"/>
                <w:sz w:val="20"/>
                <w:szCs w:val="20"/>
              </w:rPr>
              <w:t>li</w:t>
            </w:r>
            <w:r w:rsidRPr="00537112">
              <w:rPr>
                <w:rFonts w:cs="Verdana"/>
                <w:position w:val="-1"/>
                <w:sz w:val="20"/>
                <w:szCs w:val="20"/>
              </w:rPr>
              <w:t>an</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60"/>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10</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os</w:t>
            </w:r>
            <w:r w:rsidRPr="00537112">
              <w:rPr>
                <w:rFonts w:cs="Verdana"/>
                <w:sz w:val="20"/>
                <w:szCs w:val="20"/>
              </w:rPr>
              <w:t>é</w:t>
            </w:r>
            <w:r w:rsidRPr="00537112">
              <w:rPr>
                <w:rFonts w:cs="Verdana"/>
                <w:spacing w:val="-6"/>
                <w:sz w:val="20"/>
                <w:szCs w:val="20"/>
              </w:rPr>
              <w:t xml:space="preserve"> </w:t>
            </w:r>
            <w:r w:rsidRPr="00537112">
              <w:rPr>
                <w:rFonts w:cs="Verdana"/>
                <w:sz w:val="20"/>
                <w:szCs w:val="20"/>
              </w:rPr>
              <w:t>C</w:t>
            </w:r>
            <w:r w:rsidRPr="00537112">
              <w:rPr>
                <w:rFonts w:cs="Verdana"/>
                <w:spacing w:val="-1"/>
                <w:sz w:val="20"/>
                <w:szCs w:val="20"/>
              </w:rPr>
              <w:t>r</w:t>
            </w:r>
            <w:r w:rsidRPr="00537112">
              <w:rPr>
                <w:rFonts w:cs="Verdana"/>
                <w:spacing w:val="1"/>
                <w:sz w:val="20"/>
                <w:szCs w:val="20"/>
              </w:rPr>
              <w:t>u</w:t>
            </w:r>
            <w:r w:rsidRPr="00537112">
              <w:rPr>
                <w:rFonts w:cs="Verdana"/>
                <w:sz w:val="20"/>
                <w:szCs w:val="20"/>
              </w:rPr>
              <w:t>z</w:t>
            </w:r>
            <w:r w:rsidRPr="00537112">
              <w:rPr>
                <w:rFonts w:cs="Verdana"/>
                <w:spacing w:val="-5"/>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r w:rsidRPr="00537112">
              <w:rPr>
                <w:rFonts w:cs="Verdana"/>
                <w:spacing w:val="-9"/>
                <w:sz w:val="20"/>
                <w:szCs w:val="20"/>
              </w:rPr>
              <w:t xml:space="preserve"> </w:t>
            </w:r>
            <w:r w:rsidRPr="00537112">
              <w:rPr>
                <w:rFonts w:cs="Verdana"/>
                <w:spacing w:val="1"/>
                <w:sz w:val="20"/>
                <w:szCs w:val="20"/>
              </w:rPr>
              <w:t>Su</w:t>
            </w:r>
            <w:r w:rsidRPr="00537112">
              <w:rPr>
                <w:rFonts w:cs="Verdana"/>
                <w:spacing w:val="-1"/>
                <w:sz w:val="20"/>
                <w:szCs w:val="20"/>
              </w:rPr>
              <w:t>c</w:t>
            </w:r>
            <w:r w:rsidRPr="00537112">
              <w:rPr>
                <w:rFonts w:cs="Verdana"/>
                <w:spacing w:val="1"/>
                <w:sz w:val="20"/>
                <w:szCs w:val="20"/>
              </w:rPr>
              <w:t>u</w:t>
            </w:r>
            <w:r w:rsidRPr="00537112">
              <w:rPr>
                <w:rFonts w:cs="Verdana"/>
                <w:sz w:val="20"/>
                <w:szCs w:val="20"/>
              </w:rPr>
              <w:t>p</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position w:val="-1"/>
                <w:sz w:val="20"/>
                <w:szCs w:val="20"/>
              </w:rPr>
              <w:t>a</w:t>
            </w:r>
            <w:r w:rsidRPr="00537112">
              <w:rPr>
                <w:rFonts w:cs="Verdana"/>
                <w:spacing w:val="1"/>
                <w:position w:val="-1"/>
                <w:sz w:val="20"/>
                <w:szCs w:val="20"/>
              </w:rPr>
              <w:t>bu</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Es</w:t>
            </w:r>
            <w:r w:rsidRPr="00537112">
              <w:rPr>
                <w:rFonts w:cs="Verdana"/>
                <w:spacing w:val="1"/>
                <w:position w:val="-1"/>
                <w:sz w:val="20"/>
                <w:szCs w:val="20"/>
              </w:rPr>
              <w:t>p</w:t>
            </w:r>
            <w:r w:rsidRPr="00537112">
              <w:rPr>
                <w:rFonts w:cs="Verdana"/>
                <w:spacing w:val="-1"/>
                <w:position w:val="-1"/>
                <w:sz w:val="20"/>
                <w:szCs w:val="20"/>
              </w:rPr>
              <w:t>os</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ce</w:t>
            </w:r>
            <w:r w:rsidRPr="00537112">
              <w:rPr>
                <w:rFonts w:cs="Verdana"/>
                <w:spacing w:val="1"/>
                <w:position w:val="-1"/>
                <w:sz w:val="20"/>
                <w:szCs w:val="20"/>
              </w:rPr>
              <w:t>nt</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s</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59"/>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3"/>
                <w:position w:val="-1"/>
                <w:sz w:val="20"/>
                <w:szCs w:val="20"/>
              </w:rPr>
              <w:t>i</w:t>
            </w:r>
            <w:r w:rsidRPr="00537112">
              <w:rPr>
                <w:rFonts w:cs="Verdana"/>
                <w:position w:val="-1"/>
                <w:sz w:val="20"/>
                <w:szCs w:val="20"/>
              </w:rPr>
              <w:t>s</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59"/>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val="restart"/>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11</w:t>
            </w:r>
          </w:p>
        </w:tc>
        <w:tc>
          <w:tcPr>
            <w:tcW w:w="3958" w:type="dxa"/>
            <w:vMerge w:val="restart"/>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í</w:t>
            </w:r>
            <w:r w:rsidRPr="00537112">
              <w:rPr>
                <w:rFonts w:cs="Verdana"/>
                <w:sz w:val="20"/>
                <w:szCs w:val="20"/>
              </w:rPr>
              <w:t>a</w:t>
            </w:r>
            <w:r w:rsidRPr="00537112">
              <w:rPr>
                <w:rFonts w:cs="Verdana"/>
                <w:spacing w:val="-5"/>
                <w:sz w:val="20"/>
                <w:szCs w:val="20"/>
              </w:rPr>
              <w:t xml:space="preserve"> </w:t>
            </w:r>
            <w:r w:rsidRPr="00537112">
              <w:rPr>
                <w:rFonts w:cs="Verdana"/>
                <w:sz w:val="20"/>
                <w:szCs w:val="20"/>
              </w:rPr>
              <w:t>C</w:t>
            </w:r>
            <w:r w:rsidRPr="00537112">
              <w:rPr>
                <w:rFonts w:cs="Verdana"/>
                <w:spacing w:val="-1"/>
                <w:sz w:val="20"/>
                <w:szCs w:val="20"/>
              </w:rPr>
              <w:t>o</w:t>
            </w:r>
            <w:r w:rsidRPr="00537112">
              <w:rPr>
                <w:rFonts w:cs="Verdana"/>
                <w:spacing w:val="1"/>
                <w:sz w:val="20"/>
                <w:szCs w:val="20"/>
              </w:rPr>
              <w:t>n</w:t>
            </w:r>
            <w:r w:rsidRPr="00537112">
              <w:rPr>
                <w:rFonts w:cs="Verdana"/>
                <w:spacing w:val="-1"/>
                <w:sz w:val="20"/>
                <w:szCs w:val="20"/>
              </w:rPr>
              <w:t>ce</w:t>
            </w:r>
            <w:r w:rsidRPr="00537112">
              <w:rPr>
                <w:rFonts w:cs="Verdana"/>
                <w:spacing w:val="1"/>
                <w:sz w:val="20"/>
                <w:szCs w:val="20"/>
              </w:rPr>
              <w:t>p</w:t>
            </w:r>
            <w:r w:rsidRPr="00537112">
              <w:rPr>
                <w:rFonts w:cs="Verdana"/>
                <w:spacing w:val="-1"/>
                <w:sz w:val="20"/>
                <w:szCs w:val="20"/>
              </w:rPr>
              <w:t>c</w:t>
            </w:r>
            <w:r w:rsidRPr="00537112">
              <w:rPr>
                <w:rFonts w:cs="Verdana"/>
                <w:spacing w:val="3"/>
                <w:sz w:val="20"/>
                <w:szCs w:val="20"/>
              </w:rPr>
              <w:t>i</w:t>
            </w:r>
            <w:r w:rsidRPr="00537112">
              <w:rPr>
                <w:rFonts w:cs="Verdana"/>
                <w:spacing w:val="-1"/>
                <w:sz w:val="20"/>
                <w:szCs w:val="20"/>
              </w:rPr>
              <w:t>ó</w:t>
            </w:r>
            <w:r w:rsidRPr="00537112">
              <w:rPr>
                <w:rFonts w:cs="Verdana"/>
                <w:sz w:val="20"/>
                <w:szCs w:val="20"/>
              </w:rPr>
              <w:t>n</w:t>
            </w:r>
            <w:r w:rsidRPr="00537112">
              <w:rPr>
                <w:rFonts w:cs="Verdana"/>
                <w:spacing w:val="-11"/>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6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65"/>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t</w:t>
            </w:r>
            <w:r w:rsidRPr="00537112">
              <w:rPr>
                <w:rFonts w:cs="Verdana"/>
                <w:spacing w:val="-1"/>
                <w:position w:val="-1"/>
                <w:sz w:val="20"/>
                <w:szCs w:val="20"/>
              </w:rPr>
              <w:t>ro</w:t>
            </w:r>
            <w:r w:rsidRPr="00537112">
              <w:rPr>
                <w:rFonts w:cs="Verdana"/>
                <w:spacing w:val="1"/>
                <w:position w:val="-1"/>
                <w:sz w:val="20"/>
                <w:szCs w:val="20"/>
              </w:rPr>
              <w:t>n</w:t>
            </w:r>
            <w:r w:rsidRPr="00537112">
              <w:rPr>
                <w:rFonts w:cs="Verdana"/>
                <w:spacing w:val="3"/>
                <w:position w:val="-1"/>
                <w:sz w:val="20"/>
                <w:szCs w:val="20"/>
              </w:rPr>
              <w:t>il</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65"/>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65"/>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6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headerReference w:type="default" r:id="rId17"/>
          <w:pgSz w:w="12260" w:h="15840"/>
          <w:pgMar w:top="760" w:right="900" w:bottom="280" w:left="900" w:header="493" w:footer="0" w:gutter="0"/>
          <w:pgNumType w:start="1"/>
          <w:cols w:space="720"/>
          <w:noEndnote/>
        </w:sectPr>
      </w:pPr>
    </w:p>
    <w:p w:rsidR="00537112" w:rsidRPr="00537112" w:rsidRDefault="00537112" w:rsidP="00537112">
      <w:pPr>
        <w:autoSpaceDE w:val="0"/>
        <w:autoSpaceDN w:val="0"/>
        <w:spacing w:before="16" w:line="280" w:lineRule="exact"/>
        <w:jc w:val="left"/>
        <w:textAlignment w:val="auto"/>
        <w:rPr>
          <w:rFonts w:ascii="Times New Roman" w:hAnsi="Times New Roman"/>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772"/>
        <w:gridCol w:w="4496"/>
      </w:tblGrid>
      <w:tr w:rsidR="00537112" w:rsidRPr="00537112" w:rsidTr="00630EEC">
        <w:trPr>
          <w:trHeight w:hRule="exact" w:val="247"/>
        </w:trPr>
        <w:tc>
          <w:tcPr>
            <w:tcW w:w="977" w:type="dxa"/>
            <w:vMerge w:val="restart"/>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40" w:lineRule="auto"/>
              <w:jc w:val="left"/>
              <w:textAlignment w:val="auto"/>
              <w:rPr>
                <w:rFonts w:ascii="Times New Roman" w:hAnsi="Times New Roman"/>
              </w:rPr>
            </w:pPr>
          </w:p>
        </w:tc>
        <w:tc>
          <w:tcPr>
            <w:tcW w:w="3958" w:type="dxa"/>
            <w:vMerge w:val="restart"/>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auto"/>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rce</w:t>
            </w:r>
            <w:r w:rsidRPr="00537112">
              <w:rPr>
                <w:rFonts w:cs="Verdana"/>
                <w:spacing w:val="3"/>
                <w:position w:val="-1"/>
                <w:sz w:val="20"/>
                <w:szCs w:val="20"/>
              </w:rPr>
              <w:t>l</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p>
        </w:tc>
      </w:tr>
      <w:tr w:rsidR="00537112" w:rsidRPr="00537112" w:rsidTr="00630EEC">
        <w:trPr>
          <w:trHeight w:hRule="exact" w:val="247"/>
        </w:trPr>
        <w:tc>
          <w:tcPr>
            <w:tcW w:w="977" w:type="dxa"/>
            <w:vMerge/>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e</w:t>
            </w:r>
            <w:r w:rsidRPr="00537112">
              <w:rPr>
                <w:rFonts w:cs="Verdana"/>
                <w:position w:val="-1"/>
                <w:sz w:val="20"/>
                <w:szCs w:val="20"/>
              </w:rPr>
              <w:t>z</w:t>
            </w:r>
            <w:r w:rsidRPr="00537112">
              <w:rPr>
                <w:rFonts w:cs="Verdana"/>
                <w:spacing w:val="59"/>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12</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Ca</w:t>
            </w:r>
            <w:r w:rsidRPr="00537112">
              <w:rPr>
                <w:rFonts w:cs="Verdana"/>
                <w:spacing w:val="-1"/>
                <w:sz w:val="20"/>
                <w:szCs w:val="20"/>
              </w:rPr>
              <w:t>s</w:t>
            </w:r>
            <w:r w:rsidRPr="00537112">
              <w:rPr>
                <w:rFonts w:cs="Verdana"/>
                <w:spacing w:val="3"/>
                <w:sz w:val="20"/>
                <w:szCs w:val="20"/>
              </w:rPr>
              <w:t>i</w:t>
            </w:r>
            <w:r w:rsidRPr="00537112">
              <w:rPr>
                <w:rFonts w:cs="Verdana"/>
                <w:spacing w:val="1"/>
                <w:sz w:val="20"/>
                <w:szCs w:val="20"/>
              </w:rPr>
              <w:t>m</w:t>
            </w:r>
            <w:r w:rsidRPr="00537112">
              <w:rPr>
                <w:rFonts w:cs="Verdana"/>
                <w:spacing w:val="3"/>
                <w:sz w:val="20"/>
                <w:szCs w:val="20"/>
              </w:rPr>
              <w:t>i</w:t>
            </w:r>
            <w:r w:rsidRPr="00537112">
              <w:rPr>
                <w:rFonts w:cs="Verdana"/>
                <w:spacing w:val="-1"/>
                <w:sz w:val="20"/>
                <w:szCs w:val="20"/>
              </w:rPr>
              <w:t>r</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a</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ng</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65"/>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Es</w:t>
            </w:r>
            <w:r w:rsidRPr="00537112">
              <w:rPr>
                <w:rFonts w:cs="Verdana"/>
                <w:spacing w:val="1"/>
                <w:position w:val="-1"/>
                <w:sz w:val="20"/>
                <w:szCs w:val="20"/>
              </w:rPr>
              <w:t>p</w:t>
            </w:r>
            <w:r w:rsidRPr="00537112">
              <w:rPr>
                <w:rFonts w:cs="Verdana"/>
                <w:spacing w:val="-1"/>
                <w:position w:val="-1"/>
                <w:sz w:val="20"/>
                <w:szCs w:val="20"/>
              </w:rPr>
              <w:t>os</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ú</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Osc</w:t>
            </w:r>
            <w:r w:rsidRPr="00537112">
              <w:rPr>
                <w:rFonts w:cs="Verdana"/>
                <w:position w:val="-1"/>
                <w:sz w:val="20"/>
                <w:szCs w:val="20"/>
              </w:rPr>
              <w:t>ar</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3"/>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4" w:line="130" w:lineRule="exact"/>
              <w:jc w:val="left"/>
              <w:textAlignment w:val="auto"/>
              <w:rPr>
                <w:rFonts w:ascii="Times New Roman" w:hAnsi="Times New Roman"/>
                <w:sz w:val="13"/>
                <w:szCs w:val="13"/>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13</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4" w:line="130" w:lineRule="exact"/>
              <w:jc w:val="left"/>
              <w:textAlignment w:val="auto"/>
              <w:rPr>
                <w:rFonts w:ascii="Times New Roman" w:hAnsi="Times New Roman"/>
                <w:sz w:val="13"/>
                <w:szCs w:val="13"/>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C</w:t>
            </w:r>
            <w:r w:rsidRPr="00537112">
              <w:rPr>
                <w:rFonts w:cs="Verdana"/>
                <w:spacing w:val="-1"/>
                <w:sz w:val="20"/>
                <w:szCs w:val="20"/>
              </w:rPr>
              <w:t>r</w:t>
            </w:r>
            <w:r w:rsidRPr="00537112">
              <w:rPr>
                <w:rFonts w:cs="Verdana"/>
                <w:spacing w:val="1"/>
                <w:sz w:val="20"/>
                <w:szCs w:val="20"/>
              </w:rPr>
              <w:t>u</w:t>
            </w:r>
            <w:r w:rsidRPr="00537112">
              <w:rPr>
                <w:rFonts w:cs="Verdana"/>
                <w:sz w:val="20"/>
                <w:szCs w:val="20"/>
              </w:rPr>
              <w:t>z</w:t>
            </w:r>
            <w:r w:rsidRPr="00537112">
              <w:rPr>
                <w:rFonts w:cs="Verdana"/>
                <w:spacing w:val="-5"/>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r w:rsidRPr="00537112">
              <w:rPr>
                <w:rFonts w:cs="Verdana"/>
                <w:spacing w:val="-5"/>
                <w:sz w:val="20"/>
                <w:szCs w:val="20"/>
              </w:rPr>
              <w:t xml:space="preserve"> </w:t>
            </w:r>
            <w:r w:rsidRPr="00537112">
              <w:rPr>
                <w:rFonts w:cs="Verdana"/>
                <w:spacing w:val="1"/>
                <w:sz w:val="20"/>
                <w:szCs w:val="20"/>
              </w:rPr>
              <w:t>Amp</w:t>
            </w:r>
            <w:r w:rsidRPr="00537112">
              <w:rPr>
                <w:rFonts w:cs="Verdana"/>
                <w:spacing w:val="-1"/>
                <w:sz w:val="20"/>
                <w:szCs w:val="20"/>
              </w:rPr>
              <w:t>ére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w:t>
            </w:r>
            <w:r w:rsidRPr="00537112">
              <w:rPr>
                <w:rFonts w:cs="Verdana"/>
                <w:position w:val="-1"/>
                <w:sz w:val="20"/>
                <w:szCs w:val="20"/>
              </w:rPr>
              <w:t>C</w:t>
            </w:r>
            <w:r w:rsidRPr="00537112">
              <w:rPr>
                <w:rFonts w:cs="Verdana"/>
                <w:spacing w:val="-1"/>
                <w:position w:val="-1"/>
                <w:sz w:val="20"/>
                <w:szCs w:val="20"/>
              </w:rPr>
              <w:t>o</w:t>
            </w:r>
            <w:r w:rsidRPr="00537112">
              <w:rPr>
                <w:rFonts w:cs="Verdana"/>
                <w:spacing w:val="1"/>
                <w:position w:val="-1"/>
                <w:sz w:val="20"/>
                <w:szCs w:val="20"/>
              </w:rPr>
              <w:t>n</w:t>
            </w:r>
            <w:r w:rsidRPr="00537112">
              <w:rPr>
                <w:rFonts w:cs="Verdana"/>
                <w:position w:val="-1"/>
                <w:sz w:val="20"/>
                <w:szCs w:val="20"/>
              </w:rPr>
              <w:t>y</w:t>
            </w:r>
            <w:r w:rsidRPr="00537112">
              <w:rPr>
                <w:rFonts w:cs="Verdana"/>
                <w:spacing w:val="1"/>
                <w:position w:val="-1"/>
                <w:sz w:val="20"/>
                <w:szCs w:val="20"/>
              </w:rPr>
              <w:t>ug</w:t>
            </w:r>
            <w:r w:rsidRPr="00537112">
              <w:rPr>
                <w:rFonts w:cs="Verdana"/>
                <w:spacing w:val="-1"/>
                <w:position w:val="-1"/>
                <w:sz w:val="20"/>
                <w:szCs w:val="20"/>
              </w:rPr>
              <w:t>e</w:t>
            </w:r>
            <w:r w:rsidRPr="00537112">
              <w:rPr>
                <w:rFonts w:cs="Verdana"/>
                <w:position w:val="-1"/>
                <w:sz w:val="20"/>
                <w:szCs w:val="20"/>
              </w:rPr>
              <w:t>)</w:t>
            </w:r>
          </w:p>
        </w:tc>
      </w:tr>
      <w:tr w:rsidR="00537112" w:rsidRPr="00537112" w:rsidTr="00630EEC">
        <w:trPr>
          <w:trHeight w:hRule="exact" w:val="305"/>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z w:val="20"/>
                <w:szCs w:val="20"/>
              </w:rPr>
              <w:t>56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i</w:t>
            </w:r>
            <w:r w:rsidRPr="00537112">
              <w:rPr>
                <w:rFonts w:cs="Verdana"/>
                <w:sz w:val="20"/>
                <w:szCs w:val="20"/>
              </w:rPr>
              <w:t>a</w:t>
            </w:r>
            <w:r w:rsidRPr="00537112">
              <w:rPr>
                <w:rFonts w:cs="Verdana"/>
                <w:spacing w:val="-5"/>
                <w:sz w:val="20"/>
                <w:szCs w:val="20"/>
              </w:rPr>
              <w:t xml:space="preserve"> </w:t>
            </w:r>
            <w:r w:rsidRPr="00537112">
              <w:rPr>
                <w:rFonts w:cs="Verdana"/>
                <w:spacing w:val="-1"/>
                <w:sz w:val="20"/>
                <w:szCs w:val="20"/>
              </w:rPr>
              <w:t>G</w:t>
            </w:r>
            <w:r w:rsidRPr="00537112">
              <w:rPr>
                <w:rFonts w:cs="Verdana"/>
                <w:spacing w:val="1"/>
                <w:sz w:val="20"/>
                <w:szCs w:val="20"/>
              </w:rPr>
              <w:t>u</w:t>
            </w:r>
            <w:r w:rsidRPr="00537112">
              <w:rPr>
                <w:rFonts w:cs="Verdana"/>
                <w:sz w:val="20"/>
                <w:szCs w:val="20"/>
              </w:rPr>
              <w:t>a</w:t>
            </w:r>
            <w:r w:rsidRPr="00537112">
              <w:rPr>
                <w:rFonts w:cs="Verdana"/>
                <w:spacing w:val="1"/>
                <w:sz w:val="20"/>
                <w:szCs w:val="20"/>
              </w:rPr>
              <w:t>d</w:t>
            </w:r>
            <w:r w:rsidRPr="00537112">
              <w:rPr>
                <w:rFonts w:cs="Verdana"/>
                <w:sz w:val="20"/>
                <w:szCs w:val="20"/>
              </w:rPr>
              <w:t>a</w:t>
            </w:r>
            <w:r w:rsidRPr="00537112">
              <w:rPr>
                <w:rFonts w:cs="Verdana"/>
                <w:spacing w:val="3"/>
                <w:sz w:val="20"/>
                <w:szCs w:val="20"/>
              </w:rPr>
              <w:t>l</w:t>
            </w:r>
            <w:r w:rsidRPr="00537112">
              <w:rPr>
                <w:rFonts w:cs="Verdana"/>
                <w:spacing w:val="1"/>
                <w:sz w:val="20"/>
                <w:szCs w:val="20"/>
              </w:rPr>
              <w:t>up</w:t>
            </w:r>
            <w:r w:rsidRPr="00537112">
              <w:rPr>
                <w:rFonts w:cs="Verdana"/>
                <w:sz w:val="20"/>
                <w:szCs w:val="20"/>
              </w:rPr>
              <w:t>e</w:t>
            </w:r>
            <w:r w:rsidRPr="00537112">
              <w:rPr>
                <w:rFonts w:cs="Verdana"/>
                <w:spacing w:val="-13"/>
                <w:sz w:val="20"/>
                <w:szCs w:val="20"/>
              </w:rPr>
              <w:t xml:space="preserve"> </w:t>
            </w:r>
            <w:r w:rsidRPr="00537112">
              <w:rPr>
                <w:rFonts w:cs="Verdana"/>
                <w:spacing w:val="1"/>
                <w:sz w:val="20"/>
                <w:szCs w:val="20"/>
              </w:rPr>
              <w:t>Amp</w:t>
            </w:r>
            <w:r w:rsidRPr="00537112">
              <w:rPr>
                <w:rFonts w:cs="Verdana"/>
                <w:spacing w:val="-1"/>
                <w:sz w:val="20"/>
                <w:szCs w:val="20"/>
              </w:rPr>
              <w:t>ére</w:t>
            </w:r>
            <w:r w:rsidRPr="00537112">
              <w:rPr>
                <w:rFonts w:cs="Verdana"/>
                <w:sz w:val="20"/>
                <w:szCs w:val="20"/>
              </w:rPr>
              <w:t>z</w:t>
            </w:r>
            <w:r w:rsidRPr="00537112">
              <w:rPr>
                <w:rFonts w:cs="Verdana"/>
                <w:spacing w:val="-9"/>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m</w:t>
            </w:r>
            <w:r w:rsidRPr="00537112">
              <w:rPr>
                <w:rFonts w:cs="Verdana"/>
                <w:sz w:val="20"/>
                <w:szCs w:val="20"/>
              </w:rPr>
              <w:t>án</w:t>
            </w:r>
            <w:r w:rsidRPr="00537112">
              <w:rPr>
                <w:rFonts w:cs="Verdana"/>
                <w:spacing w:val="63"/>
                <w:sz w:val="20"/>
                <w:szCs w:val="20"/>
              </w:rPr>
              <w:t xml:space="preserve"> </w:t>
            </w:r>
            <w:r w:rsidRPr="00537112">
              <w:rPr>
                <w:rFonts w:cs="Verdana"/>
                <w:spacing w:val="1"/>
                <w:sz w:val="20"/>
                <w:szCs w:val="20"/>
              </w:rPr>
              <w:t>(</w:t>
            </w:r>
            <w:r w:rsidRPr="00537112">
              <w:rPr>
                <w:rFonts w:cs="Verdana"/>
                <w:spacing w:val="-1"/>
                <w:sz w:val="20"/>
                <w:szCs w:val="20"/>
              </w:rPr>
              <w:t>H</w:t>
            </w:r>
            <w:r w:rsidRPr="00537112">
              <w:rPr>
                <w:rFonts w:cs="Verdana"/>
                <w:spacing w:val="3"/>
                <w:sz w:val="20"/>
                <w:szCs w:val="20"/>
              </w:rPr>
              <w:t>i</w:t>
            </w:r>
            <w:r w:rsidRPr="00537112">
              <w:rPr>
                <w:rFonts w:cs="Verdana"/>
                <w:spacing w:val="1"/>
                <w:sz w:val="20"/>
                <w:szCs w:val="20"/>
              </w:rPr>
              <w:t>j</w:t>
            </w:r>
            <w:r w:rsidRPr="00537112">
              <w:rPr>
                <w:rFonts w:cs="Verdana"/>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14</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Gor</w:t>
            </w:r>
            <w:r w:rsidRPr="00537112">
              <w:rPr>
                <w:rFonts w:cs="Verdana"/>
                <w:spacing w:val="1"/>
                <w:sz w:val="20"/>
                <w:szCs w:val="20"/>
              </w:rPr>
              <w:t>g</w:t>
            </w:r>
            <w:r w:rsidRPr="00537112">
              <w:rPr>
                <w:rFonts w:cs="Verdana"/>
                <w:spacing w:val="-1"/>
                <w:sz w:val="20"/>
                <w:szCs w:val="20"/>
              </w:rPr>
              <w:t>o</w:t>
            </w:r>
            <w:r w:rsidRPr="00537112">
              <w:rPr>
                <w:rFonts w:cs="Verdana"/>
                <w:spacing w:val="1"/>
                <w:sz w:val="20"/>
                <w:szCs w:val="20"/>
              </w:rPr>
              <w:t>n</w:t>
            </w:r>
            <w:r w:rsidRPr="00537112">
              <w:rPr>
                <w:rFonts w:cs="Verdana"/>
                <w:spacing w:val="3"/>
                <w:sz w:val="20"/>
                <w:szCs w:val="20"/>
              </w:rPr>
              <w:t>i</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r w:rsidRPr="00537112">
              <w:rPr>
                <w:rFonts w:cs="Verdana"/>
                <w:spacing w:val="-9"/>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qu</w:t>
            </w:r>
            <w:r w:rsidRPr="00537112">
              <w:rPr>
                <w:rFonts w:cs="Verdana"/>
                <w:spacing w:val="-1"/>
                <w:position w:val="-1"/>
                <w:sz w:val="20"/>
                <w:szCs w:val="20"/>
              </w:rPr>
              <w:t>e</w:t>
            </w:r>
            <w:r w:rsidRPr="00537112">
              <w:rPr>
                <w:rFonts w:cs="Verdana"/>
                <w:spacing w:val="1"/>
                <w:position w:val="-1"/>
                <w:sz w:val="20"/>
                <w:szCs w:val="20"/>
              </w:rPr>
              <w:t>t</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r w:rsidRPr="00537112">
              <w:rPr>
                <w:rFonts w:cs="Verdana"/>
                <w:spacing w:val="65"/>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Es</w:t>
            </w:r>
            <w:r w:rsidRPr="00537112">
              <w:rPr>
                <w:rFonts w:cs="Verdana"/>
                <w:spacing w:val="1"/>
                <w:position w:val="-1"/>
                <w:sz w:val="20"/>
                <w:szCs w:val="20"/>
              </w:rPr>
              <w:t>p</w:t>
            </w:r>
            <w:r w:rsidRPr="00537112">
              <w:rPr>
                <w:rFonts w:cs="Verdana"/>
                <w:spacing w:val="-1"/>
                <w:position w:val="-1"/>
                <w:sz w:val="20"/>
                <w:szCs w:val="20"/>
              </w:rPr>
              <w:t>os</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r w:rsidRPr="00537112">
              <w:rPr>
                <w:rFonts w:cs="Verdana"/>
                <w:spacing w:val="66"/>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r w:rsidRPr="00537112">
              <w:rPr>
                <w:rFonts w:cs="Verdana"/>
                <w:spacing w:val="65"/>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r w:rsidRPr="00537112">
              <w:rPr>
                <w:rFonts w:cs="Verdana"/>
                <w:spacing w:val="65"/>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15</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or</w:t>
            </w:r>
            <w:r w:rsidRPr="00537112">
              <w:rPr>
                <w:rFonts w:cs="Verdana"/>
                <w:spacing w:val="1"/>
                <w:sz w:val="20"/>
                <w:szCs w:val="20"/>
              </w:rPr>
              <w:t>g</w:t>
            </w:r>
            <w:r w:rsidRPr="00537112">
              <w:rPr>
                <w:rFonts w:cs="Verdana"/>
                <w:sz w:val="20"/>
                <w:szCs w:val="20"/>
              </w:rPr>
              <w:t>e</w:t>
            </w:r>
            <w:r w:rsidRPr="00537112">
              <w:rPr>
                <w:rFonts w:cs="Verdana"/>
                <w:spacing w:val="-7"/>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a</w:t>
            </w:r>
            <w:r w:rsidRPr="00537112">
              <w:rPr>
                <w:rFonts w:cs="Verdana"/>
                <w:spacing w:val="1"/>
                <w:sz w:val="20"/>
                <w:szCs w:val="20"/>
              </w:rPr>
              <w:t>n</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m</w:t>
            </w:r>
            <w:r w:rsidRPr="00537112">
              <w:rPr>
                <w:rFonts w:cs="Verdana"/>
                <w:sz w:val="20"/>
                <w:szCs w:val="20"/>
              </w:rPr>
              <w:t>án</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position w:val="-1"/>
                <w:sz w:val="20"/>
                <w:szCs w:val="20"/>
              </w:rPr>
              <w:t>a</w:t>
            </w:r>
            <w:r w:rsidRPr="00537112">
              <w:rPr>
                <w:rFonts w:cs="Verdana"/>
                <w:spacing w:val="-1"/>
                <w:position w:val="-1"/>
                <w:sz w:val="20"/>
                <w:szCs w:val="20"/>
              </w:rPr>
              <w:t>s</w:t>
            </w:r>
            <w:r w:rsidRPr="00537112">
              <w:rPr>
                <w:rFonts w:cs="Verdana"/>
                <w:spacing w:val="1"/>
                <w:position w:val="-1"/>
                <w:sz w:val="20"/>
                <w:szCs w:val="20"/>
              </w:rPr>
              <w:t>t</w:t>
            </w:r>
            <w:r w:rsidRPr="00537112">
              <w:rPr>
                <w:rFonts w:cs="Verdana"/>
                <w:position w:val="-1"/>
                <w:sz w:val="20"/>
                <w:szCs w:val="20"/>
              </w:rPr>
              <w:t>a</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co</w:t>
            </w:r>
            <w:r w:rsidRPr="00537112">
              <w:rPr>
                <w:rFonts w:cs="Verdana"/>
                <w:position w:val="-1"/>
                <w:sz w:val="20"/>
                <w:szCs w:val="20"/>
              </w:rPr>
              <w:t>c</w:t>
            </w:r>
            <w:r w:rsidRPr="00537112">
              <w:rPr>
                <w:rFonts w:cs="Verdana"/>
                <w:spacing w:val="59"/>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Es</w:t>
            </w:r>
            <w:r w:rsidRPr="00537112">
              <w:rPr>
                <w:rFonts w:cs="Verdana"/>
                <w:spacing w:val="1"/>
                <w:position w:val="-1"/>
                <w:sz w:val="20"/>
                <w:szCs w:val="20"/>
              </w:rPr>
              <w:t>p</w:t>
            </w:r>
            <w:r w:rsidRPr="00537112">
              <w:rPr>
                <w:rFonts w:cs="Verdana"/>
                <w:spacing w:val="-1"/>
                <w:position w:val="-1"/>
                <w:sz w:val="20"/>
                <w:szCs w:val="20"/>
              </w:rPr>
              <w:t>os</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t</w:t>
            </w:r>
            <w:r w:rsidRPr="00537112">
              <w:rPr>
                <w:rFonts w:cs="Verdana"/>
                <w:spacing w:val="-1"/>
                <w:position w:val="-1"/>
                <w:sz w:val="20"/>
                <w:szCs w:val="20"/>
              </w:rPr>
              <w:t>roc</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spacing w:val="3"/>
                <w:position w:val="-1"/>
                <w:sz w:val="20"/>
                <w:szCs w:val="20"/>
              </w:rPr>
              <w:t>l</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nd</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16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E</w:t>
            </w:r>
            <w:r w:rsidRPr="00537112">
              <w:rPr>
                <w:rFonts w:cs="Verdana"/>
                <w:spacing w:val="1"/>
                <w:sz w:val="20"/>
                <w:szCs w:val="20"/>
              </w:rPr>
              <w:t>u</w:t>
            </w:r>
            <w:r w:rsidRPr="00537112">
              <w:rPr>
                <w:rFonts w:cs="Verdana"/>
                <w:spacing w:val="-1"/>
                <w:sz w:val="20"/>
                <w:szCs w:val="20"/>
              </w:rPr>
              <w:t>s</w:t>
            </w:r>
            <w:r w:rsidRPr="00537112">
              <w:rPr>
                <w:rFonts w:cs="Verdana"/>
                <w:spacing w:val="1"/>
                <w:sz w:val="20"/>
                <w:szCs w:val="20"/>
              </w:rPr>
              <w:t>t</w:t>
            </w:r>
            <w:r w:rsidRPr="00537112">
              <w:rPr>
                <w:rFonts w:cs="Verdana"/>
                <w:sz w:val="20"/>
                <w:szCs w:val="20"/>
              </w:rPr>
              <w:t>a</w:t>
            </w:r>
            <w:r w:rsidRPr="00537112">
              <w:rPr>
                <w:rFonts w:cs="Verdana"/>
                <w:spacing w:val="1"/>
                <w:sz w:val="20"/>
                <w:szCs w:val="20"/>
              </w:rPr>
              <w:t>qu</w:t>
            </w:r>
            <w:r w:rsidRPr="00537112">
              <w:rPr>
                <w:rFonts w:cs="Verdana"/>
                <w:spacing w:val="3"/>
                <w:sz w:val="20"/>
                <w:szCs w:val="20"/>
              </w:rPr>
              <w:t>i</w:t>
            </w:r>
            <w:r w:rsidRPr="00537112">
              <w:rPr>
                <w:rFonts w:cs="Verdana"/>
                <w:sz w:val="20"/>
                <w:szCs w:val="20"/>
              </w:rPr>
              <w:t>o</w:t>
            </w:r>
            <w:r w:rsidRPr="00537112">
              <w:rPr>
                <w:rFonts w:cs="Verdana"/>
                <w:spacing w:val="-12"/>
                <w:sz w:val="20"/>
                <w:szCs w:val="20"/>
              </w:rPr>
              <w:t xml:space="preserve"> </w:t>
            </w:r>
            <w:r w:rsidRPr="00537112">
              <w:rPr>
                <w:rFonts w:cs="Verdana"/>
                <w:spacing w:val="-2"/>
                <w:sz w:val="20"/>
                <w:szCs w:val="20"/>
              </w:rPr>
              <w:t>I</w:t>
            </w:r>
            <w:r w:rsidRPr="00537112">
              <w:rPr>
                <w:rFonts w:cs="Verdana"/>
                <w:sz w:val="20"/>
                <w:szCs w:val="20"/>
              </w:rPr>
              <w:t>x</w:t>
            </w:r>
            <w:r w:rsidRPr="00537112">
              <w:rPr>
                <w:rFonts w:cs="Verdana"/>
                <w:spacing w:val="1"/>
                <w:sz w:val="20"/>
                <w:szCs w:val="20"/>
              </w:rPr>
              <w:t>t</w:t>
            </w:r>
            <w:r w:rsidRPr="00537112">
              <w:rPr>
                <w:rFonts w:cs="Verdana"/>
                <w:spacing w:val="-1"/>
                <w:sz w:val="20"/>
                <w:szCs w:val="20"/>
              </w:rPr>
              <w:t>eco</w:t>
            </w:r>
            <w:r w:rsidRPr="00537112">
              <w:rPr>
                <w:rFonts w:cs="Verdana"/>
                <w:sz w:val="20"/>
                <w:szCs w:val="20"/>
              </w:rPr>
              <w:t>c</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6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Es</w:t>
            </w:r>
            <w:r w:rsidRPr="00537112">
              <w:rPr>
                <w:rFonts w:cs="Verdana"/>
                <w:spacing w:val="1"/>
                <w:position w:val="-1"/>
                <w:sz w:val="20"/>
                <w:szCs w:val="20"/>
              </w:rPr>
              <w:t>p</w:t>
            </w:r>
            <w:r w:rsidRPr="00537112">
              <w:rPr>
                <w:rFonts w:cs="Verdana"/>
                <w:spacing w:val="-1"/>
                <w:position w:val="-1"/>
                <w:sz w:val="20"/>
                <w:szCs w:val="20"/>
              </w:rPr>
              <w:t>os</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6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Ang</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Augu</w:t>
            </w:r>
            <w:r w:rsidRPr="00537112">
              <w:rPr>
                <w:rFonts w:cs="Verdana"/>
                <w:spacing w:val="-1"/>
                <w:position w:val="-1"/>
                <w:sz w:val="20"/>
                <w:szCs w:val="20"/>
              </w:rPr>
              <w:t>s</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6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gu</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Hec</w:t>
            </w:r>
            <w:r w:rsidRPr="00537112">
              <w:rPr>
                <w:rFonts w:cs="Verdana"/>
                <w:spacing w:val="1"/>
                <w:position w:val="-1"/>
                <w:sz w:val="20"/>
                <w:szCs w:val="20"/>
              </w:rPr>
              <w:t>t</w:t>
            </w:r>
            <w:r w:rsidRPr="00537112">
              <w:rPr>
                <w:rFonts w:cs="Verdana"/>
                <w:spacing w:val="-1"/>
                <w:position w:val="-1"/>
                <w:sz w:val="20"/>
                <w:szCs w:val="20"/>
              </w:rPr>
              <w:t>o</w:t>
            </w:r>
            <w:r w:rsidRPr="00537112">
              <w:rPr>
                <w:rFonts w:cs="Verdana"/>
                <w:position w:val="-1"/>
                <w:sz w:val="20"/>
                <w:szCs w:val="20"/>
              </w:rPr>
              <w:t>r</w:t>
            </w:r>
            <w:r w:rsidRPr="00537112">
              <w:rPr>
                <w:rFonts w:cs="Verdana"/>
                <w:spacing w:val="-9"/>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ecó</w:t>
            </w:r>
            <w:r w:rsidRPr="00537112">
              <w:rPr>
                <w:rFonts w:cs="Verdana"/>
                <w:position w:val="-1"/>
                <w:sz w:val="20"/>
                <w:szCs w:val="20"/>
              </w:rPr>
              <w:t>c</w:t>
            </w:r>
            <w:r w:rsidRPr="00537112">
              <w:rPr>
                <w:rFonts w:cs="Verdana"/>
                <w:spacing w:val="-8"/>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6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17</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R</w:t>
            </w:r>
            <w:r w:rsidRPr="00537112">
              <w:rPr>
                <w:rFonts w:cs="Verdana"/>
                <w:sz w:val="20"/>
                <w:szCs w:val="20"/>
              </w:rPr>
              <w:t>a</w:t>
            </w:r>
            <w:r w:rsidRPr="00537112">
              <w:rPr>
                <w:rFonts w:cs="Verdana"/>
                <w:spacing w:val="-1"/>
                <w:sz w:val="20"/>
                <w:szCs w:val="20"/>
              </w:rPr>
              <w:t>f</w:t>
            </w:r>
            <w:r w:rsidRPr="00537112">
              <w:rPr>
                <w:rFonts w:cs="Verdana"/>
                <w:sz w:val="20"/>
                <w:szCs w:val="20"/>
              </w:rPr>
              <w:t>a</w:t>
            </w:r>
            <w:r w:rsidRPr="00537112">
              <w:rPr>
                <w:rFonts w:cs="Verdana"/>
                <w:spacing w:val="-1"/>
                <w:sz w:val="20"/>
                <w:szCs w:val="20"/>
              </w:rPr>
              <w:t>e</w:t>
            </w:r>
            <w:r w:rsidRPr="00537112">
              <w:rPr>
                <w:rFonts w:cs="Verdana"/>
                <w:sz w:val="20"/>
                <w:szCs w:val="20"/>
              </w:rPr>
              <w:t>l</w:t>
            </w:r>
            <w:r w:rsidRPr="00537112">
              <w:rPr>
                <w:rFonts w:cs="Verdana"/>
                <w:spacing w:val="-4"/>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r w:rsidRPr="00537112">
              <w:rPr>
                <w:rFonts w:cs="Verdana"/>
                <w:spacing w:val="-6"/>
                <w:sz w:val="20"/>
                <w:szCs w:val="20"/>
              </w:rPr>
              <w:t xml:space="preserve"> </w:t>
            </w:r>
            <w:r w:rsidRPr="00537112">
              <w:rPr>
                <w:rFonts w:cs="Verdana"/>
                <w:sz w:val="20"/>
                <w:szCs w:val="20"/>
              </w:rPr>
              <w:t>T</w:t>
            </w:r>
            <w:r w:rsidRPr="00537112">
              <w:rPr>
                <w:rFonts w:cs="Verdana"/>
                <w:spacing w:val="-1"/>
                <w:sz w:val="20"/>
                <w:szCs w:val="20"/>
              </w:rPr>
              <w:t>ec</w:t>
            </w:r>
            <w:r w:rsidRPr="00537112">
              <w:rPr>
                <w:rFonts w:cs="Verdana"/>
                <w:sz w:val="20"/>
                <w:szCs w:val="20"/>
              </w:rPr>
              <w:t>ú</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3"/>
                <w:position w:val="-1"/>
                <w:sz w:val="20"/>
                <w:szCs w:val="20"/>
              </w:rPr>
              <w:t xml:space="preserve"> </w:t>
            </w:r>
            <w:r w:rsidRPr="00537112">
              <w:rPr>
                <w:rFonts w:cs="Verdana"/>
                <w:spacing w:val="1"/>
                <w:position w:val="-1"/>
                <w:sz w:val="20"/>
                <w:szCs w:val="20"/>
              </w:rPr>
              <w:t>(</w:t>
            </w:r>
            <w:r w:rsidRPr="00537112">
              <w:rPr>
                <w:rFonts w:cs="Verdana"/>
                <w:position w:val="-1"/>
                <w:sz w:val="20"/>
                <w:szCs w:val="20"/>
              </w:rPr>
              <w:t>Pa</w:t>
            </w:r>
            <w:r w:rsidRPr="00537112">
              <w:rPr>
                <w:rFonts w:cs="Verdana"/>
                <w:spacing w:val="1"/>
                <w:position w:val="-1"/>
                <w:sz w:val="20"/>
                <w:szCs w:val="20"/>
              </w:rPr>
              <w:t>d</w:t>
            </w:r>
            <w:r w:rsidRPr="00537112">
              <w:rPr>
                <w:rFonts w:cs="Verdana"/>
                <w:spacing w:val="-1"/>
                <w:position w:val="-1"/>
                <w:sz w:val="20"/>
                <w:szCs w:val="20"/>
              </w:rPr>
              <w:t>re</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il</w:t>
            </w:r>
            <w:r w:rsidRPr="00537112">
              <w:rPr>
                <w:rFonts w:cs="Verdana"/>
                <w:spacing w:val="1"/>
                <w:position w:val="-1"/>
                <w:sz w:val="20"/>
                <w:szCs w:val="20"/>
              </w:rPr>
              <w:t>d</w:t>
            </w:r>
            <w:r w:rsidRPr="00537112">
              <w:rPr>
                <w:rFonts w:cs="Verdana"/>
                <w:position w:val="-1"/>
                <w:sz w:val="20"/>
                <w:szCs w:val="20"/>
              </w:rPr>
              <w:t>e</w:t>
            </w:r>
            <w:r w:rsidRPr="00537112">
              <w:rPr>
                <w:rFonts w:cs="Verdana"/>
                <w:spacing w:val="-9"/>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r w:rsidRPr="00537112">
              <w:rPr>
                <w:rFonts w:cs="Verdana"/>
                <w:spacing w:val="65"/>
                <w:position w:val="-1"/>
                <w:sz w:val="20"/>
                <w:szCs w:val="20"/>
              </w:rPr>
              <w:t xml:space="preserve"> </w:t>
            </w:r>
            <w:r w:rsidRPr="00537112">
              <w:rPr>
                <w:rFonts w:cs="Verdana"/>
                <w:spacing w:val="1"/>
                <w:position w:val="-1"/>
                <w:sz w:val="20"/>
                <w:szCs w:val="20"/>
              </w:rPr>
              <w:t>(</w:t>
            </w:r>
            <w:r w:rsidRPr="00537112">
              <w:rPr>
                <w:rFonts w:cs="Verdana"/>
                <w:position w:val="-1"/>
                <w:sz w:val="20"/>
                <w:szCs w:val="20"/>
              </w:rPr>
              <w:t>Ma</w:t>
            </w:r>
            <w:r w:rsidRPr="00537112">
              <w:rPr>
                <w:rFonts w:cs="Verdana"/>
                <w:spacing w:val="1"/>
                <w:position w:val="-1"/>
                <w:sz w:val="20"/>
                <w:szCs w:val="20"/>
              </w:rPr>
              <w:t>d</w:t>
            </w:r>
            <w:r w:rsidRPr="00537112">
              <w:rPr>
                <w:rFonts w:cs="Verdana"/>
                <w:spacing w:val="-1"/>
                <w:position w:val="-1"/>
                <w:sz w:val="20"/>
                <w:szCs w:val="20"/>
              </w:rPr>
              <w:t>re</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Ba</w:t>
            </w:r>
            <w:r w:rsidRPr="00537112">
              <w:rPr>
                <w:rFonts w:cs="Verdana"/>
                <w:spacing w:val="3"/>
                <w:position w:val="-1"/>
                <w:sz w:val="20"/>
                <w:szCs w:val="20"/>
              </w:rPr>
              <w:t>l</w:t>
            </w:r>
            <w:r w:rsidRPr="00537112">
              <w:rPr>
                <w:rFonts w:cs="Verdana"/>
                <w:position w:val="-1"/>
                <w:sz w:val="20"/>
                <w:szCs w:val="20"/>
              </w:rPr>
              <w:t>v</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r w:rsidRPr="00537112">
              <w:rPr>
                <w:rFonts w:cs="Verdana"/>
                <w:spacing w:val="66"/>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Her</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fo</w:t>
            </w:r>
            <w:r w:rsidRPr="00537112">
              <w:rPr>
                <w:rFonts w:cs="Verdana"/>
                <w:spacing w:val="1"/>
                <w:position w:val="-1"/>
                <w:sz w:val="20"/>
                <w:szCs w:val="20"/>
              </w:rPr>
              <w:t>nz</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r w:rsidRPr="00537112">
              <w:rPr>
                <w:rFonts w:cs="Verdana"/>
                <w:spacing w:val="-5"/>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Her</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18</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E</w:t>
            </w:r>
            <w:r w:rsidRPr="00537112">
              <w:rPr>
                <w:rFonts w:cs="Verdana"/>
                <w:spacing w:val="1"/>
                <w:sz w:val="20"/>
                <w:szCs w:val="20"/>
              </w:rPr>
              <w:t>n</w:t>
            </w:r>
            <w:r w:rsidRPr="00537112">
              <w:rPr>
                <w:rFonts w:cs="Verdana"/>
                <w:spacing w:val="-1"/>
                <w:sz w:val="20"/>
                <w:szCs w:val="20"/>
              </w:rPr>
              <w:t>r</w:t>
            </w:r>
            <w:r w:rsidRPr="00537112">
              <w:rPr>
                <w:rFonts w:cs="Verdana"/>
                <w:spacing w:val="3"/>
                <w:sz w:val="20"/>
                <w:szCs w:val="20"/>
              </w:rPr>
              <w:t>i</w:t>
            </w:r>
            <w:r w:rsidRPr="00537112">
              <w:rPr>
                <w:rFonts w:cs="Verdana"/>
                <w:spacing w:val="1"/>
                <w:sz w:val="20"/>
                <w:szCs w:val="20"/>
              </w:rPr>
              <w:t>qu</w:t>
            </w:r>
            <w:r w:rsidRPr="00537112">
              <w:rPr>
                <w:rFonts w:cs="Verdana"/>
                <w:sz w:val="20"/>
                <w:szCs w:val="20"/>
              </w:rPr>
              <w:t>e</w:t>
            </w:r>
            <w:r w:rsidRPr="00537112">
              <w:rPr>
                <w:rFonts w:cs="Verdana"/>
                <w:spacing w:val="-10"/>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r w:rsidRPr="00537112">
              <w:rPr>
                <w:rFonts w:cs="Verdana"/>
                <w:spacing w:val="-9"/>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s</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Le</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3"/>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Es</w:t>
            </w:r>
            <w:r w:rsidRPr="00537112">
              <w:rPr>
                <w:rFonts w:cs="Verdana"/>
                <w:spacing w:val="1"/>
                <w:position w:val="-1"/>
                <w:sz w:val="20"/>
                <w:szCs w:val="20"/>
              </w:rPr>
              <w:t>p</w:t>
            </w:r>
            <w:r w:rsidRPr="00537112">
              <w:rPr>
                <w:rFonts w:cs="Verdana"/>
                <w:spacing w:val="-1"/>
                <w:position w:val="-1"/>
                <w:sz w:val="20"/>
                <w:szCs w:val="20"/>
              </w:rPr>
              <w:t>os</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3"/>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0"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19</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0"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G</w:t>
            </w:r>
            <w:r w:rsidRPr="00537112">
              <w:rPr>
                <w:rFonts w:cs="Verdana"/>
                <w:sz w:val="20"/>
                <w:szCs w:val="20"/>
              </w:rPr>
              <w:t>a</w:t>
            </w:r>
            <w:r w:rsidRPr="00537112">
              <w:rPr>
                <w:rFonts w:cs="Verdana"/>
                <w:spacing w:val="1"/>
                <w:sz w:val="20"/>
                <w:szCs w:val="20"/>
              </w:rPr>
              <w:t>b</w:t>
            </w:r>
            <w:r w:rsidRPr="00537112">
              <w:rPr>
                <w:rFonts w:cs="Verdana"/>
                <w:spacing w:val="3"/>
                <w:sz w:val="20"/>
                <w:szCs w:val="20"/>
              </w:rPr>
              <w:t>i</w:t>
            </w:r>
            <w:r w:rsidRPr="00537112">
              <w:rPr>
                <w:rFonts w:cs="Verdana"/>
                <w:spacing w:val="1"/>
                <w:sz w:val="20"/>
                <w:szCs w:val="20"/>
              </w:rPr>
              <w:t>n</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m</w:t>
            </w:r>
            <w:r w:rsidRPr="00537112">
              <w:rPr>
                <w:rFonts w:cs="Verdana"/>
                <w:sz w:val="20"/>
                <w:szCs w:val="20"/>
              </w:rPr>
              <w:t>án</w:t>
            </w:r>
            <w:r w:rsidRPr="00537112">
              <w:rPr>
                <w:rFonts w:cs="Verdana"/>
                <w:spacing w:val="-7"/>
                <w:sz w:val="20"/>
                <w:szCs w:val="20"/>
              </w:rPr>
              <w:t xml:space="preserve"> </w:t>
            </w:r>
            <w:r w:rsidRPr="00537112">
              <w:rPr>
                <w:rFonts w:cs="Verdana"/>
                <w:sz w:val="20"/>
                <w:szCs w:val="20"/>
              </w:rPr>
              <w:t>Yv</w:t>
            </w:r>
            <w:r w:rsidRPr="00537112">
              <w:rPr>
                <w:rFonts w:cs="Verdana"/>
                <w:spacing w:val="-1"/>
                <w:sz w:val="20"/>
                <w:szCs w:val="20"/>
              </w:rPr>
              <w:t>o</w:t>
            </w:r>
            <w:r w:rsidRPr="00537112">
              <w:rPr>
                <w:rFonts w:cs="Verdana"/>
                <w:sz w:val="20"/>
                <w:szCs w:val="20"/>
              </w:rPr>
              <w:t>y</w:t>
            </w:r>
            <w:r w:rsidRPr="00537112">
              <w:rPr>
                <w:rFonts w:cs="Verdana"/>
                <w:spacing w:val="-6"/>
                <w:sz w:val="20"/>
                <w:szCs w:val="20"/>
              </w:rPr>
              <w:t xml:space="preserve"> </w:t>
            </w:r>
            <w:r w:rsidRPr="00537112">
              <w:rPr>
                <w:rFonts w:cs="Verdana"/>
                <w:spacing w:val="1"/>
                <w:sz w:val="20"/>
                <w:szCs w:val="20"/>
              </w:rPr>
              <w:t>(</w:t>
            </w:r>
            <w:r w:rsidRPr="00537112">
              <w:rPr>
                <w:rFonts w:cs="Verdana"/>
                <w:sz w:val="20"/>
                <w:szCs w:val="20"/>
              </w:rPr>
              <w:t>o</w:t>
            </w:r>
            <w:r w:rsidRPr="00537112">
              <w:rPr>
                <w:rFonts w:cs="Verdana"/>
                <w:spacing w:val="-4"/>
                <w:sz w:val="20"/>
                <w:szCs w:val="20"/>
              </w:rPr>
              <w:t xml:space="preserve"> </w:t>
            </w:r>
            <w:r w:rsidRPr="00537112">
              <w:rPr>
                <w:rFonts w:cs="Verdana"/>
                <w:spacing w:val="-2"/>
                <w:sz w:val="20"/>
                <w:szCs w:val="20"/>
              </w:rPr>
              <w:t>I</w:t>
            </w:r>
            <w:r w:rsidRPr="00537112">
              <w:rPr>
                <w:rFonts w:cs="Verdana"/>
                <w:spacing w:val="1"/>
                <w:sz w:val="20"/>
                <w:szCs w:val="20"/>
              </w:rPr>
              <w:t>b</w:t>
            </w:r>
            <w:r w:rsidRPr="00537112">
              <w:rPr>
                <w:rFonts w:cs="Verdana"/>
                <w:spacing w:val="-1"/>
                <w:sz w:val="20"/>
                <w:szCs w:val="20"/>
              </w:rPr>
              <w:t>o</w:t>
            </w:r>
            <w:r w:rsidRPr="00537112">
              <w:rPr>
                <w:rFonts w:cs="Verdana"/>
                <w:sz w:val="20"/>
                <w:szCs w:val="20"/>
              </w:rPr>
              <w:t>y</w:t>
            </w:r>
            <w:r w:rsidRPr="00537112">
              <w:rPr>
                <w:rFonts w:cs="Verdana"/>
                <w:spacing w:val="-5"/>
                <w:sz w:val="20"/>
                <w:szCs w:val="20"/>
              </w:rPr>
              <w:t xml:space="preserve"> </w:t>
            </w:r>
            <w:r w:rsidRPr="00537112">
              <w:rPr>
                <w:rFonts w:cs="Verdana"/>
                <w:sz w:val="20"/>
                <w:szCs w:val="20"/>
              </w:rPr>
              <w:t>o</w:t>
            </w:r>
            <w:r w:rsidRPr="00537112">
              <w:rPr>
                <w:rFonts w:cs="Verdana"/>
                <w:spacing w:val="-3"/>
                <w:sz w:val="20"/>
                <w:szCs w:val="20"/>
              </w:rPr>
              <w:t xml:space="preserve"> </w:t>
            </w:r>
            <w:r w:rsidRPr="00537112">
              <w:rPr>
                <w:rFonts w:cs="Verdana"/>
                <w:spacing w:val="-2"/>
                <w:sz w:val="20"/>
                <w:szCs w:val="20"/>
              </w:rPr>
              <w:t>I</w:t>
            </w:r>
            <w:r w:rsidRPr="00537112">
              <w:rPr>
                <w:rFonts w:cs="Verdana"/>
                <w:sz w:val="20"/>
                <w:szCs w:val="20"/>
              </w:rPr>
              <w:t>v</w:t>
            </w:r>
            <w:r w:rsidRPr="00537112">
              <w:rPr>
                <w:rFonts w:cs="Verdana"/>
                <w:spacing w:val="-1"/>
                <w:sz w:val="20"/>
                <w:szCs w:val="20"/>
              </w:rPr>
              <w:t>o</w:t>
            </w:r>
            <w:r w:rsidRPr="00537112">
              <w:rPr>
                <w:rFonts w:cs="Verdana"/>
                <w:sz w:val="20"/>
                <w:szCs w:val="20"/>
              </w:rPr>
              <w:t>y)</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Ló</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r w:rsidRPr="00537112">
              <w:rPr>
                <w:rFonts w:cs="Verdana"/>
                <w:spacing w:val="6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Es</w:t>
            </w:r>
            <w:r w:rsidRPr="00537112">
              <w:rPr>
                <w:rFonts w:cs="Verdana"/>
                <w:spacing w:val="1"/>
                <w:position w:val="-1"/>
                <w:sz w:val="20"/>
                <w:szCs w:val="20"/>
              </w:rPr>
              <w:t>p</w:t>
            </w:r>
            <w:r w:rsidRPr="00537112">
              <w:rPr>
                <w:rFonts w:cs="Verdana"/>
                <w:spacing w:val="-1"/>
                <w:position w:val="-1"/>
                <w:sz w:val="20"/>
                <w:szCs w:val="20"/>
              </w:rPr>
              <w:t>os</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an</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Cá</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position w:val="-1"/>
                <w:sz w:val="20"/>
                <w:szCs w:val="20"/>
              </w:rPr>
              <w:t>n</w:t>
            </w:r>
            <w:r w:rsidRPr="00537112">
              <w:rPr>
                <w:rFonts w:cs="Verdana"/>
                <w:spacing w:val="-8"/>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tumú</w:t>
            </w:r>
            <w:r w:rsidRPr="00537112">
              <w:rPr>
                <w:rFonts w:cs="Verdana"/>
                <w:position w:val="-1"/>
                <w:sz w:val="20"/>
                <w:szCs w:val="20"/>
              </w:rPr>
              <w:t>l</w:t>
            </w:r>
            <w:r w:rsidRPr="00537112">
              <w:rPr>
                <w:rFonts w:cs="Verdana"/>
                <w:spacing w:val="6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qu</w:t>
            </w:r>
            <w:r w:rsidRPr="00537112">
              <w:rPr>
                <w:rFonts w:cs="Verdana"/>
                <w:position w:val="-1"/>
                <w:sz w:val="20"/>
                <w:szCs w:val="20"/>
              </w:rPr>
              <w:t>e</w:t>
            </w:r>
            <w:r w:rsidRPr="00537112">
              <w:rPr>
                <w:rFonts w:cs="Verdana"/>
                <w:spacing w:val="-10"/>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20</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D</w:t>
            </w:r>
            <w:r w:rsidRPr="00537112">
              <w:rPr>
                <w:rFonts w:cs="Verdana"/>
                <w:spacing w:val="3"/>
                <w:sz w:val="20"/>
                <w:szCs w:val="20"/>
              </w:rPr>
              <w:t>i</w:t>
            </w:r>
            <w:r w:rsidRPr="00537112">
              <w:rPr>
                <w:rFonts w:cs="Verdana"/>
                <w:spacing w:val="-1"/>
                <w:sz w:val="20"/>
                <w:szCs w:val="20"/>
              </w:rPr>
              <w:t>o</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c</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z w:val="20"/>
                <w:szCs w:val="20"/>
              </w:rPr>
              <w:t>o</w:t>
            </w:r>
            <w:r w:rsidRPr="00537112">
              <w:rPr>
                <w:rFonts w:cs="Verdana"/>
                <w:spacing w:val="-3"/>
                <w:sz w:val="20"/>
                <w:szCs w:val="20"/>
              </w:rPr>
              <w:t xml:space="preserve"> </w:t>
            </w:r>
            <w:r w:rsidRPr="00537112">
              <w:rPr>
                <w:rFonts w:cs="Verdana"/>
                <w:sz w:val="20"/>
                <w:szCs w:val="20"/>
              </w:rPr>
              <w:t>D</w:t>
            </w:r>
            <w:r w:rsidRPr="00537112">
              <w:rPr>
                <w:rFonts w:cs="Verdana"/>
                <w:spacing w:val="3"/>
                <w:sz w:val="20"/>
                <w:szCs w:val="20"/>
              </w:rPr>
              <w:t>i</w:t>
            </w:r>
            <w:r w:rsidRPr="00537112">
              <w:rPr>
                <w:rFonts w:cs="Verdana"/>
                <w:spacing w:val="-1"/>
                <w:sz w:val="20"/>
                <w:szCs w:val="20"/>
              </w:rPr>
              <w:t>o</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s</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1"/>
                <w:sz w:val="20"/>
                <w:szCs w:val="20"/>
              </w:rPr>
              <w:t>c</w:t>
            </w:r>
            <w:r w:rsidRPr="00537112">
              <w:rPr>
                <w:rFonts w:cs="Verdana"/>
                <w:spacing w:val="1"/>
                <w:sz w:val="20"/>
                <w:szCs w:val="20"/>
              </w:rPr>
              <w:t>h</w:t>
            </w:r>
            <w:r w:rsidRPr="00537112">
              <w:rPr>
                <w:rFonts w:cs="Verdana"/>
                <w:sz w:val="20"/>
                <w:szCs w:val="20"/>
              </w:rPr>
              <w:t>an</w:t>
            </w:r>
            <w:r w:rsidRPr="00537112">
              <w:rPr>
                <w:rFonts w:cs="Verdana"/>
                <w:spacing w:val="-7"/>
                <w:sz w:val="20"/>
                <w:szCs w:val="20"/>
              </w:rPr>
              <w:t xml:space="preserve"> </w:t>
            </w:r>
            <w:r w:rsidRPr="00537112">
              <w:rPr>
                <w:rFonts w:cs="Verdana"/>
                <w:sz w:val="20"/>
                <w:szCs w:val="20"/>
              </w:rPr>
              <w:t>o</w:t>
            </w:r>
            <w:r w:rsidRPr="00537112">
              <w:rPr>
                <w:rFonts w:cs="Verdana"/>
                <w:spacing w:val="-3"/>
                <w:sz w:val="20"/>
                <w:szCs w:val="20"/>
              </w:rPr>
              <w:t xml:space="preserve"> </w:t>
            </w:r>
            <w:r w:rsidRPr="00537112">
              <w:rPr>
                <w:rFonts w:cs="Verdana"/>
                <w:sz w:val="20"/>
                <w:szCs w:val="20"/>
              </w:rPr>
              <w:t>Ba</w:t>
            </w:r>
            <w:r w:rsidRPr="00537112">
              <w:rPr>
                <w:rFonts w:cs="Verdana"/>
                <w:spacing w:val="-1"/>
                <w:sz w:val="20"/>
                <w:szCs w:val="20"/>
              </w:rPr>
              <w:t>c</w:t>
            </w:r>
            <w:r w:rsidRPr="00537112">
              <w:rPr>
                <w:rFonts w:cs="Verdana"/>
                <w:spacing w:val="1"/>
                <w:sz w:val="20"/>
                <w:szCs w:val="20"/>
              </w:rPr>
              <w:t>h</w:t>
            </w:r>
            <w:r w:rsidRPr="00537112">
              <w:rPr>
                <w:rFonts w:cs="Verdana"/>
                <w:sz w:val="20"/>
                <w:szCs w:val="20"/>
              </w:rPr>
              <w:t>án</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spacing w:val="3"/>
                <w:position w:val="-1"/>
                <w:sz w:val="20"/>
                <w:szCs w:val="20"/>
              </w:rPr>
              <w:t>i</w:t>
            </w:r>
            <w:r w:rsidRPr="00537112">
              <w:rPr>
                <w:rFonts w:cs="Verdana"/>
                <w:spacing w:val="1"/>
                <w:position w:val="-1"/>
                <w:sz w:val="20"/>
                <w:szCs w:val="20"/>
              </w:rPr>
              <w:t>m</w:t>
            </w:r>
            <w:r w:rsidRPr="00537112">
              <w:rPr>
                <w:rFonts w:cs="Verdana"/>
                <w:spacing w:val="-1"/>
                <w:position w:val="-1"/>
                <w:sz w:val="20"/>
                <w:szCs w:val="20"/>
              </w:rPr>
              <w:t>o</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61"/>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Es</w:t>
            </w:r>
            <w:r w:rsidRPr="00537112">
              <w:rPr>
                <w:rFonts w:cs="Verdana"/>
                <w:spacing w:val="1"/>
                <w:position w:val="-1"/>
                <w:sz w:val="20"/>
                <w:szCs w:val="20"/>
              </w:rPr>
              <w:t>p</w:t>
            </w:r>
            <w:r w:rsidRPr="00537112">
              <w:rPr>
                <w:rFonts w:cs="Verdana"/>
                <w:spacing w:val="-1"/>
                <w:position w:val="-1"/>
                <w:sz w:val="20"/>
                <w:szCs w:val="20"/>
              </w:rPr>
              <w:t>os</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1"/>
                <w:position w:val="-1"/>
                <w:sz w:val="20"/>
                <w:szCs w:val="20"/>
              </w:rPr>
              <w:t>nt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61"/>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nqu</w:t>
            </w:r>
            <w:r w:rsidRPr="00537112">
              <w:rPr>
                <w:rFonts w:cs="Verdana"/>
                <w:spacing w:val="3"/>
                <w:position w:val="-1"/>
                <w:sz w:val="20"/>
                <w:szCs w:val="20"/>
              </w:rPr>
              <w:t>ili</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an</w:t>
            </w:r>
            <w:r w:rsidRPr="00537112">
              <w:rPr>
                <w:rFonts w:cs="Verdana"/>
                <w:spacing w:val="-7"/>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61"/>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t</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áz</w:t>
            </w:r>
            <w:r w:rsidRPr="00537112">
              <w:rPr>
                <w:rFonts w:cs="Verdana"/>
                <w:spacing w:val="6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3"/>
                <w:position w:val="-1"/>
                <w:sz w:val="20"/>
                <w:szCs w:val="20"/>
              </w:rPr>
              <w:t>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8"/>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an</w:t>
            </w:r>
            <w:r w:rsidRPr="00537112">
              <w:rPr>
                <w:rFonts w:cs="Verdana"/>
                <w:spacing w:val="-7"/>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61"/>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21</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rce</w:t>
            </w:r>
            <w:r w:rsidRPr="00537112">
              <w:rPr>
                <w:rFonts w:cs="Verdana"/>
                <w:spacing w:val="3"/>
                <w:sz w:val="20"/>
                <w:szCs w:val="20"/>
              </w:rPr>
              <w:t>l</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er</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n</w:t>
            </w:r>
            <w:r w:rsidRPr="00537112">
              <w:rPr>
                <w:rFonts w:cs="Verdana"/>
                <w:position w:val="-1"/>
                <w:sz w:val="20"/>
                <w:szCs w:val="20"/>
              </w:rPr>
              <w:t>á</w:t>
            </w:r>
            <w:r w:rsidRPr="00537112">
              <w:rPr>
                <w:rFonts w:cs="Verdana"/>
                <w:spacing w:val="1"/>
                <w:position w:val="-1"/>
                <w:sz w:val="20"/>
                <w:szCs w:val="20"/>
              </w:rPr>
              <w:t>nd</w:t>
            </w:r>
            <w:r w:rsidRPr="00537112">
              <w:rPr>
                <w:rFonts w:cs="Verdana"/>
                <w:spacing w:val="-1"/>
                <w:position w:val="-1"/>
                <w:sz w:val="20"/>
                <w:szCs w:val="20"/>
              </w:rPr>
              <w:t>e</w:t>
            </w:r>
            <w:r w:rsidRPr="00537112">
              <w:rPr>
                <w:rFonts w:cs="Verdana"/>
                <w:position w:val="-1"/>
                <w:sz w:val="20"/>
                <w:szCs w:val="20"/>
              </w:rPr>
              <w:t>z</w:t>
            </w:r>
            <w:r w:rsidRPr="00537112">
              <w:rPr>
                <w:rFonts w:cs="Verdana"/>
                <w:spacing w:val="-11"/>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Es</w:t>
            </w:r>
            <w:r w:rsidRPr="00537112">
              <w:rPr>
                <w:rFonts w:cs="Verdana"/>
                <w:spacing w:val="1"/>
                <w:position w:val="-1"/>
                <w:sz w:val="20"/>
                <w:szCs w:val="20"/>
              </w:rPr>
              <w:t>p</w:t>
            </w:r>
            <w:r w:rsidRPr="00537112">
              <w:rPr>
                <w:rFonts w:cs="Verdana"/>
                <w:spacing w:val="-1"/>
                <w:position w:val="-1"/>
                <w:sz w:val="20"/>
                <w:szCs w:val="20"/>
              </w:rPr>
              <w:t>os</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n</w:t>
            </w:r>
            <w:r w:rsidRPr="00537112">
              <w:rPr>
                <w:rFonts w:cs="Verdana"/>
                <w:position w:val="-1"/>
                <w:sz w:val="20"/>
                <w:szCs w:val="20"/>
              </w:rPr>
              <w:t>á</w:t>
            </w:r>
            <w:r w:rsidRPr="00537112">
              <w:rPr>
                <w:rFonts w:cs="Verdana"/>
                <w:spacing w:val="1"/>
                <w:position w:val="-1"/>
                <w:sz w:val="20"/>
                <w:szCs w:val="20"/>
              </w:rPr>
              <w:t>nd</w:t>
            </w:r>
            <w:r w:rsidRPr="00537112">
              <w:rPr>
                <w:rFonts w:cs="Verdana"/>
                <w:spacing w:val="-1"/>
                <w:position w:val="-1"/>
                <w:sz w:val="20"/>
                <w:szCs w:val="20"/>
              </w:rPr>
              <w:t>e</w:t>
            </w:r>
            <w:r w:rsidRPr="00537112">
              <w:rPr>
                <w:rFonts w:cs="Verdana"/>
                <w:position w:val="-1"/>
                <w:sz w:val="20"/>
                <w:szCs w:val="20"/>
              </w:rPr>
              <w:t>z</w:t>
            </w:r>
            <w:r w:rsidRPr="00537112">
              <w:rPr>
                <w:rFonts w:cs="Verdana"/>
                <w:spacing w:val="59"/>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Her</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nd</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n</w:t>
            </w:r>
            <w:r w:rsidRPr="00537112">
              <w:rPr>
                <w:rFonts w:cs="Verdana"/>
                <w:position w:val="-1"/>
                <w:sz w:val="20"/>
                <w:szCs w:val="20"/>
              </w:rPr>
              <w:t>á</w:t>
            </w:r>
            <w:r w:rsidRPr="00537112">
              <w:rPr>
                <w:rFonts w:cs="Verdana"/>
                <w:spacing w:val="1"/>
                <w:position w:val="-1"/>
                <w:sz w:val="20"/>
                <w:szCs w:val="20"/>
              </w:rPr>
              <w:t>nd</w:t>
            </w:r>
            <w:r w:rsidRPr="00537112">
              <w:rPr>
                <w:rFonts w:cs="Verdana"/>
                <w:spacing w:val="-1"/>
                <w:position w:val="-1"/>
                <w:sz w:val="20"/>
                <w:szCs w:val="20"/>
              </w:rPr>
              <w:t>e</w:t>
            </w:r>
            <w:r w:rsidRPr="00537112">
              <w:rPr>
                <w:rFonts w:cs="Verdana"/>
                <w:position w:val="-1"/>
                <w:sz w:val="20"/>
                <w:szCs w:val="20"/>
              </w:rPr>
              <w:t>z</w:t>
            </w:r>
            <w:r w:rsidRPr="00537112">
              <w:rPr>
                <w:rFonts w:cs="Verdana"/>
                <w:spacing w:val="59"/>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22</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Ad</w:t>
            </w:r>
            <w:r w:rsidRPr="00537112">
              <w:rPr>
                <w:rFonts w:cs="Verdana"/>
                <w:spacing w:val="-1"/>
                <w:sz w:val="20"/>
                <w:szCs w:val="20"/>
              </w:rPr>
              <w:t>r</w:t>
            </w:r>
            <w:r w:rsidRPr="00537112">
              <w:rPr>
                <w:rFonts w:cs="Verdana"/>
                <w:spacing w:val="3"/>
                <w:sz w:val="20"/>
                <w:szCs w:val="20"/>
              </w:rPr>
              <w:t>i</w:t>
            </w:r>
            <w:r w:rsidRPr="00537112">
              <w:rPr>
                <w:rFonts w:cs="Verdana"/>
                <w:sz w:val="20"/>
                <w:szCs w:val="20"/>
              </w:rPr>
              <w:t>án</w:t>
            </w:r>
            <w:r w:rsidRPr="00537112">
              <w:rPr>
                <w:rFonts w:cs="Verdana"/>
                <w:spacing w:val="-6"/>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i</w:t>
            </w:r>
            <w:r w:rsidRPr="00537112">
              <w:rPr>
                <w:rFonts w:cs="Verdana"/>
                <w:sz w:val="20"/>
                <w:szCs w:val="20"/>
              </w:rPr>
              <w:t>a</w:t>
            </w:r>
            <w:r w:rsidRPr="00537112">
              <w:rPr>
                <w:rFonts w:cs="Verdana"/>
                <w:spacing w:val="-6"/>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90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r w:rsidRPr="00537112">
              <w:rPr>
                <w:rFonts w:cs="Verdana"/>
                <w:spacing w:val="-3"/>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64"/>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Es</w:t>
            </w:r>
            <w:r w:rsidRPr="00537112">
              <w:rPr>
                <w:rFonts w:cs="Verdana"/>
                <w:spacing w:val="1"/>
                <w:position w:val="-1"/>
                <w:sz w:val="20"/>
                <w:szCs w:val="20"/>
              </w:rPr>
              <w:t>p</w:t>
            </w:r>
            <w:r w:rsidRPr="00537112">
              <w:rPr>
                <w:rFonts w:cs="Verdana"/>
                <w:spacing w:val="-1"/>
                <w:position w:val="-1"/>
                <w:sz w:val="20"/>
                <w:szCs w:val="20"/>
              </w:rPr>
              <w:t>os</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91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Efr</w:t>
            </w:r>
            <w:r w:rsidRPr="00537112">
              <w:rPr>
                <w:rFonts w:cs="Verdana"/>
                <w:position w:val="-1"/>
                <w:sz w:val="20"/>
                <w:szCs w:val="20"/>
              </w:rPr>
              <w:t>a</w:t>
            </w:r>
            <w:r w:rsidRPr="00537112">
              <w:rPr>
                <w:rFonts w:cs="Verdana"/>
                <w:spacing w:val="3"/>
                <w:position w:val="-1"/>
                <w:sz w:val="20"/>
                <w:szCs w:val="20"/>
              </w:rPr>
              <w:t>í</w:t>
            </w:r>
            <w:r w:rsidRPr="00537112">
              <w:rPr>
                <w:rFonts w:cs="Verdana"/>
                <w:position w:val="-1"/>
                <w:sz w:val="20"/>
                <w:szCs w:val="20"/>
              </w:rPr>
              <w:t>n</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r w:rsidRPr="00537112">
              <w:rPr>
                <w:rFonts w:cs="Verdana"/>
                <w:spacing w:val="66"/>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92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w:t>
            </w:r>
            <w:r w:rsidRPr="00537112">
              <w:rPr>
                <w:rFonts w:cs="Verdana"/>
                <w:spacing w:val="1"/>
                <w:position w:val="-1"/>
                <w:sz w:val="20"/>
                <w:szCs w:val="20"/>
              </w:rPr>
              <w:t>ug</w:t>
            </w:r>
            <w:r w:rsidRPr="00537112">
              <w:rPr>
                <w:rFonts w:cs="Verdana"/>
                <w:position w:val="-1"/>
                <w:sz w:val="20"/>
                <w:szCs w:val="20"/>
              </w:rPr>
              <w:t>o</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r w:rsidRPr="00537112">
              <w:rPr>
                <w:rFonts w:cs="Verdana"/>
                <w:spacing w:val="66"/>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348"/>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40" w:line="240" w:lineRule="auto"/>
              <w:ind w:right="-20"/>
              <w:jc w:val="left"/>
              <w:textAlignment w:val="auto"/>
              <w:rPr>
                <w:rFonts w:ascii="Times New Roman" w:hAnsi="Times New Roman"/>
              </w:rPr>
            </w:pPr>
            <w:r w:rsidRPr="00537112">
              <w:rPr>
                <w:rFonts w:cs="Verdana"/>
                <w:sz w:val="20"/>
                <w:szCs w:val="20"/>
              </w:rPr>
              <w:t>93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40"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i</w:t>
            </w:r>
            <w:r w:rsidRPr="00537112">
              <w:rPr>
                <w:rFonts w:cs="Verdana"/>
                <w:sz w:val="20"/>
                <w:szCs w:val="20"/>
              </w:rPr>
              <w:t>a</w:t>
            </w:r>
            <w:r w:rsidRPr="00537112">
              <w:rPr>
                <w:rFonts w:cs="Verdana"/>
                <w:spacing w:val="-5"/>
                <w:sz w:val="20"/>
                <w:szCs w:val="20"/>
              </w:rPr>
              <w:t xml:space="preserve"> </w:t>
            </w:r>
            <w:r w:rsidRPr="00537112">
              <w:rPr>
                <w:rFonts w:cs="Verdana"/>
                <w:sz w:val="20"/>
                <w:szCs w:val="20"/>
              </w:rPr>
              <w:t>C</w:t>
            </w:r>
            <w:r w:rsidRPr="00537112">
              <w:rPr>
                <w:rFonts w:cs="Verdana"/>
                <w:spacing w:val="-1"/>
                <w:sz w:val="20"/>
                <w:szCs w:val="20"/>
              </w:rPr>
              <w:t>o</w:t>
            </w:r>
            <w:r w:rsidRPr="00537112">
              <w:rPr>
                <w:rFonts w:cs="Verdana"/>
                <w:spacing w:val="1"/>
                <w:sz w:val="20"/>
                <w:szCs w:val="20"/>
              </w:rPr>
              <w:t>n</w:t>
            </w:r>
            <w:r w:rsidRPr="00537112">
              <w:rPr>
                <w:rFonts w:cs="Verdana"/>
                <w:spacing w:val="-1"/>
                <w:sz w:val="20"/>
                <w:szCs w:val="20"/>
              </w:rPr>
              <w:t>ce</w:t>
            </w:r>
            <w:r w:rsidRPr="00537112">
              <w:rPr>
                <w:rFonts w:cs="Verdana"/>
                <w:spacing w:val="1"/>
                <w:sz w:val="20"/>
                <w:szCs w:val="20"/>
              </w:rPr>
              <w:t>p</w:t>
            </w:r>
            <w:r w:rsidRPr="00537112">
              <w:rPr>
                <w:rFonts w:cs="Verdana"/>
                <w:spacing w:val="-1"/>
                <w:sz w:val="20"/>
                <w:szCs w:val="20"/>
              </w:rPr>
              <w:t>c</w:t>
            </w:r>
            <w:r w:rsidRPr="00537112">
              <w:rPr>
                <w:rFonts w:cs="Verdana"/>
                <w:spacing w:val="3"/>
                <w:sz w:val="20"/>
                <w:szCs w:val="20"/>
              </w:rPr>
              <w:t>i</w:t>
            </w:r>
            <w:r w:rsidRPr="00537112">
              <w:rPr>
                <w:rFonts w:cs="Verdana"/>
                <w:spacing w:val="-1"/>
                <w:sz w:val="20"/>
                <w:szCs w:val="20"/>
              </w:rPr>
              <w:t>ó</w:t>
            </w:r>
            <w:r w:rsidRPr="00537112">
              <w:rPr>
                <w:rFonts w:cs="Verdana"/>
                <w:sz w:val="20"/>
                <w:szCs w:val="20"/>
              </w:rPr>
              <w:t>n</w:t>
            </w:r>
            <w:r w:rsidRPr="00537112">
              <w:rPr>
                <w:rFonts w:cs="Verdana"/>
                <w:spacing w:val="-11"/>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r w:rsidRPr="00537112">
              <w:rPr>
                <w:rFonts w:cs="Verdana"/>
                <w:spacing w:val="-6"/>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r w:rsidRPr="00537112">
              <w:rPr>
                <w:rFonts w:cs="Verdana"/>
                <w:spacing w:val="63"/>
                <w:sz w:val="20"/>
                <w:szCs w:val="20"/>
              </w:rPr>
              <w:t xml:space="preserve"> </w:t>
            </w:r>
            <w:r w:rsidRPr="00537112">
              <w:rPr>
                <w:rFonts w:cs="Verdana"/>
                <w:spacing w:val="1"/>
                <w:sz w:val="20"/>
                <w:szCs w:val="20"/>
              </w:rPr>
              <w:t>(</w:t>
            </w:r>
            <w:r w:rsidRPr="00537112">
              <w:rPr>
                <w:rFonts w:cs="Verdana"/>
                <w:spacing w:val="-1"/>
                <w:sz w:val="20"/>
                <w:szCs w:val="20"/>
              </w:rPr>
              <w:t>H</w:t>
            </w:r>
            <w:r w:rsidRPr="00537112">
              <w:rPr>
                <w:rFonts w:cs="Verdana"/>
                <w:spacing w:val="3"/>
                <w:sz w:val="20"/>
                <w:szCs w:val="20"/>
              </w:rPr>
              <w:t>i</w:t>
            </w:r>
            <w:r w:rsidRPr="00537112">
              <w:rPr>
                <w:rFonts w:cs="Verdana"/>
                <w:spacing w:val="1"/>
                <w:sz w:val="20"/>
                <w:szCs w:val="20"/>
              </w:rPr>
              <w:t>j</w:t>
            </w:r>
            <w:r w:rsidRPr="00537112">
              <w:rPr>
                <w:rFonts w:cs="Verdana"/>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40"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40"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94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3"/>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position w:val="-1"/>
                <w:sz w:val="20"/>
                <w:szCs w:val="20"/>
              </w:rPr>
              <w:t>a)</w:t>
            </w:r>
          </w:p>
        </w:tc>
      </w:tr>
      <w:tr w:rsidR="00537112" w:rsidRPr="00537112" w:rsidTr="00630EEC">
        <w:trPr>
          <w:trHeight w:hRule="exact" w:val="2165"/>
        </w:trPr>
        <w:tc>
          <w:tcPr>
            <w:tcW w:w="10203" w:type="dxa"/>
            <w:gridSpan w:val="4"/>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auto"/>
              <w:jc w:val="left"/>
              <w:textAlignment w:val="auto"/>
              <w:rPr>
                <w:rFonts w:ascii="Times New Roman" w:hAnsi="Times New Roman"/>
              </w:rPr>
            </w:pP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pgSz w:w="12260" w:h="15840"/>
          <w:pgMar w:top="760" w:right="900" w:bottom="280" w:left="900" w:header="493" w:footer="0" w:gutter="0"/>
          <w:cols w:space="720"/>
          <w:noEndnote/>
        </w:sectPr>
      </w:pPr>
    </w:p>
    <w:p w:rsidR="00537112" w:rsidRPr="00537112" w:rsidRDefault="00537112" w:rsidP="00537112">
      <w:pPr>
        <w:autoSpaceDE w:val="0"/>
        <w:autoSpaceDN w:val="0"/>
        <w:spacing w:before="7"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772"/>
        <w:gridCol w:w="4496"/>
      </w:tblGrid>
      <w:tr w:rsidR="00537112" w:rsidRPr="00537112" w:rsidTr="00630EEC">
        <w:trPr>
          <w:trHeight w:hRule="exact" w:val="1250"/>
        </w:trPr>
        <w:tc>
          <w:tcPr>
            <w:tcW w:w="10203" w:type="dxa"/>
            <w:gridSpan w:val="4"/>
            <w:tcBorders>
              <w:top w:val="single" w:sz="4" w:space="0" w:color="auto"/>
              <w:left w:val="single" w:sz="8" w:space="0" w:color="000000"/>
              <w:bottom w:val="single" w:sz="8" w:space="0" w:color="000000"/>
              <w:right w:val="single" w:sz="8" w:space="0" w:color="000000"/>
            </w:tcBorders>
            <w:shd w:val="clear" w:color="auto" w:fill="EEECE1"/>
          </w:tcPr>
          <w:p w:rsidR="00537112" w:rsidRPr="00537112" w:rsidRDefault="00537112" w:rsidP="00537112">
            <w:pPr>
              <w:autoSpaceDE w:val="0"/>
              <w:autoSpaceDN w:val="0"/>
              <w:spacing w:before="4"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55" w:lineRule="auto"/>
              <w:ind w:right="145"/>
              <w:jc w:val="center"/>
              <w:textAlignment w:val="auto"/>
              <w:rPr>
                <w:rFonts w:ascii="Times New Roman" w:hAnsi="Times New Roman"/>
              </w:rPr>
            </w:pPr>
            <w:r w:rsidRPr="00537112">
              <w:rPr>
                <w:rFonts w:cs="Verdana"/>
                <w:b/>
                <w:bCs/>
                <w:spacing w:val="1"/>
                <w:sz w:val="20"/>
                <w:szCs w:val="20"/>
              </w:rPr>
              <w:t>OT</w:t>
            </w:r>
            <w:r w:rsidRPr="00537112">
              <w:rPr>
                <w:rFonts w:cs="Verdana"/>
                <w:b/>
                <w:bCs/>
                <w:sz w:val="20"/>
                <w:szCs w:val="20"/>
              </w:rPr>
              <w:t>R</w:t>
            </w:r>
            <w:r w:rsidRPr="00537112">
              <w:rPr>
                <w:rFonts w:cs="Verdana"/>
                <w:b/>
                <w:bCs/>
                <w:spacing w:val="-1"/>
                <w:sz w:val="20"/>
                <w:szCs w:val="20"/>
              </w:rPr>
              <w:t>A</w:t>
            </w:r>
            <w:r w:rsidRPr="00537112">
              <w:rPr>
                <w:rFonts w:cs="Verdana"/>
                <w:b/>
                <w:bCs/>
                <w:sz w:val="20"/>
                <w:szCs w:val="20"/>
              </w:rPr>
              <w:t>S</w:t>
            </w:r>
            <w:r w:rsidRPr="00537112">
              <w:rPr>
                <w:rFonts w:cs="Verdana"/>
                <w:b/>
                <w:bCs/>
                <w:spacing w:val="-9"/>
                <w:sz w:val="20"/>
                <w:szCs w:val="20"/>
              </w:rPr>
              <w:t xml:space="preserve"> </w:t>
            </w:r>
            <w:r w:rsidRPr="00537112">
              <w:rPr>
                <w:rFonts w:cs="Verdana"/>
                <w:b/>
                <w:bCs/>
                <w:spacing w:val="-1"/>
                <w:sz w:val="20"/>
                <w:szCs w:val="20"/>
              </w:rPr>
              <w:t>VÍ</w:t>
            </w:r>
            <w:r w:rsidRPr="00537112">
              <w:rPr>
                <w:rFonts w:cs="Verdana"/>
                <w:b/>
                <w:bCs/>
                <w:sz w:val="20"/>
                <w:szCs w:val="20"/>
              </w:rPr>
              <w:t>C</w:t>
            </w:r>
            <w:r w:rsidRPr="00537112">
              <w:rPr>
                <w:rFonts w:cs="Verdana"/>
                <w:b/>
                <w:bCs/>
                <w:spacing w:val="1"/>
                <w:sz w:val="20"/>
                <w:szCs w:val="20"/>
              </w:rPr>
              <w:t>T</w:t>
            </w:r>
            <w:r w:rsidRPr="00537112">
              <w:rPr>
                <w:rFonts w:cs="Verdana"/>
                <w:b/>
                <w:bCs/>
                <w:spacing w:val="-1"/>
                <w:sz w:val="20"/>
                <w:szCs w:val="20"/>
              </w:rPr>
              <w:t>I</w:t>
            </w:r>
            <w:r w:rsidRPr="00537112">
              <w:rPr>
                <w:rFonts w:cs="Verdana"/>
                <w:b/>
                <w:bCs/>
                <w:spacing w:val="1"/>
                <w:sz w:val="20"/>
                <w:szCs w:val="20"/>
              </w:rPr>
              <w:t>M</w:t>
            </w:r>
            <w:r w:rsidRPr="00537112">
              <w:rPr>
                <w:rFonts w:cs="Verdana"/>
                <w:b/>
                <w:bCs/>
                <w:spacing w:val="-1"/>
                <w:sz w:val="20"/>
                <w:szCs w:val="20"/>
              </w:rPr>
              <w:t>A</w:t>
            </w:r>
            <w:r w:rsidRPr="00537112">
              <w:rPr>
                <w:rFonts w:cs="Verdana"/>
                <w:b/>
                <w:bCs/>
                <w:sz w:val="20"/>
                <w:szCs w:val="20"/>
              </w:rPr>
              <w:t>S</w:t>
            </w:r>
            <w:r w:rsidRPr="00537112">
              <w:rPr>
                <w:rFonts w:cs="Verdana"/>
                <w:b/>
                <w:bCs/>
                <w:spacing w:val="-12"/>
                <w:sz w:val="20"/>
                <w:szCs w:val="20"/>
              </w:rPr>
              <w:t xml:space="preserve"> </w:t>
            </w:r>
            <w:r w:rsidRPr="00537112">
              <w:rPr>
                <w:rFonts w:cs="Verdana"/>
                <w:b/>
                <w:bCs/>
                <w:sz w:val="20"/>
                <w:szCs w:val="20"/>
              </w:rPr>
              <w:t>DE</w:t>
            </w:r>
            <w:r w:rsidRPr="00537112">
              <w:rPr>
                <w:rFonts w:cs="Verdana"/>
                <w:b/>
                <w:bCs/>
                <w:spacing w:val="-3"/>
                <w:sz w:val="20"/>
                <w:szCs w:val="20"/>
              </w:rPr>
              <w:t xml:space="preserve"> </w:t>
            </w:r>
            <w:r w:rsidRPr="00537112">
              <w:rPr>
                <w:rFonts w:cs="Verdana"/>
                <w:b/>
                <w:bCs/>
                <w:spacing w:val="-1"/>
                <w:sz w:val="20"/>
                <w:szCs w:val="20"/>
              </w:rPr>
              <w:t>VI</w:t>
            </w:r>
            <w:r w:rsidRPr="00537112">
              <w:rPr>
                <w:rFonts w:cs="Verdana"/>
                <w:b/>
                <w:bCs/>
                <w:spacing w:val="1"/>
                <w:sz w:val="20"/>
                <w:szCs w:val="20"/>
              </w:rPr>
              <w:t>O</w:t>
            </w:r>
            <w:r w:rsidRPr="00537112">
              <w:rPr>
                <w:rFonts w:cs="Verdana"/>
                <w:b/>
                <w:bCs/>
                <w:sz w:val="20"/>
                <w:szCs w:val="20"/>
              </w:rPr>
              <w:t>L</w:t>
            </w:r>
            <w:r w:rsidRPr="00537112">
              <w:rPr>
                <w:rFonts w:cs="Verdana"/>
                <w:b/>
                <w:bCs/>
                <w:spacing w:val="-1"/>
                <w:sz w:val="20"/>
                <w:szCs w:val="20"/>
              </w:rPr>
              <w:t>A</w:t>
            </w:r>
            <w:r w:rsidRPr="00537112">
              <w:rPr>
                <w:rFonts w:cs="Verdana"/>
                <w:b/>
                <w:bCs/>
                <w:sz w:val="20"/>
                <w:szCs w:val="20"/>
              </w:rPr>
              <w:t>C</w:t>
            </w:r>
            <w:r w:rsidRPr="00537112">
              <w:rPr>
                <w:rFonts w:cs="Verdana"/>
                <w:b/>
                <w:bCs/>
                <w:spacing w:val="-1"/>
                <w:sz w:val="20"/>
                <w:szCs w:val="20"/>
              </w:rPr>
              <w:t>I</w:t>
            </w:r>
            <w:r w:rsidRPr="00537112">
              <w:rPr>
                <w:rFonts w:cs="Verdana"/>
                <w:b/>
                <w:bCs/>
                <w:spacing w:val="1"/>
                <w:sz w:val="20"/>
                <w:szCs w:val="20"/>
              </w:rPr>
              <w:t>Ó</w:t>
            </w:r>
            <w:r w:rsidRPr="00537112">
              <w:rPr>
                <w:rFonts w:cs="Verdana"/>
                <w:b/>
                <w:bCs/>
                <w:sz w:val="20"/>
                <w:szCs w:val="20"/>
              </w:rPr>
              <w:t>N</w:t>
            </w:r>
            <w:r w:rsidRPr="00537112">
              <w:rPr>
                <w:rFonts w:cs="Verdana"/>
                <w:b/>
                <w:bCs/>
                <w:spacing w:val="-15"/>
                <w:sz w:val="20"/>
                <w:szCs w:val="20"/>
              </w:rPr>
              <w:t xml:space="preserve"> </w:t>
            </w:r>
            <w:r w:rsidRPr="00537112">
              <w:rPr>
                <w:rFonts w:cs="Verdana"/>
                <w:b/>
                <w:bCs/>
                <w:sz w:val="20"/>
                <w:szCs w:val="20"/>
              </w:rPr>
              <w:t>DE</w:t>
            </w:r>
            <w:r w:rsidRPr="00537112">
              <w:rPr>
                <w:rFonts w:cs="Verdana"/>
                <w:b/>
                <w:bCs/>
                <w:spacing w:val="-3"/>
                <w:sz w:val="20"/>
                <w:szCs w:val="20"/>
              </w:rPr>
              <w:t xml:space="preserve"> </w:t>
            </w:r>
            <w:r w:rsidRPr="00537112">
              <w:rPr>
                <w:rFonts w:cs="Verdana"/>
                <w:b/>
                <w:bCs/>
                <w:sz w:val="20"/>
                <w:szCs w:val="20"/>
              </w:rPr>
              <w:t>L</w:t>
            </w:r>
            <w:r w:rsidRPr="00537112">
              <w:rPr>
                <w:rFonts w:cs="Verdana"/>
                <w:b/>
                <w:bCs/>
                <w:spacing w:val="1"/>
                <w:sz w:val="20"/>
                <w:szCs w:val="20"/>
              </w:rPr>
              <w:t>O</w:t>
            </w:r>
            <w:r w:rsidRPr="00537112">
              <w:rPr>
                <w:rFonts w:cs="Verdana"/>
                <w:b/>
                <w:bCs/>
                <w:sz w:val="20"/>
                <w:szCs w:val="20"/>
              </w:rPr>
              <w:t>S</w:t>
            </w:r>
            <w:r w:rsidRPr="00537112">
              <w:rPr>
                <w:rFonts w:cs="Verdana"/>
                <w:b/>
                <w:bCs/>
                <w:spacing w:val="-5"/>
                <w:sz w:val="20"/>
                <w:szCs w:val="20"/>
              </w:rPr>
              <w:t xml:space="preserve"> </w:t>
            </w:r>
            <w:r w:rsidRPr="00537112">
              <w:rPr>
                <w:rFonts w:cs="Verdana"/>
                <w:b/>
                <w:bCs/>
                <w:sz w:val="20"/>
                <w:szCs w:val="20"/>
              </w:rPr>
              <w:t>D</w:t>
            </w:r>
            <w:r w:rsidRPr="00537112">
              <w:rPr>
                <w:rFonts w:cs="Verdana"/>
                <w:b/>
                <w:bCs/>
                <w:spacing w:val="1"/>
                <w:sz w:val="20"/>
                <w:szCs w:val="20"/>
              </w:rPr>
              <w:t>E</w:t>
            </w:r>
            <w:r w:rsidRPr="00537112">
              <w:rPr>
                <w:rFonts w:cs="Verdana"/>
                <w:b/>
                <w:bCs/>
                <w:sz w:val="20"/>
                <w:szCs w:val="20"/>
              </w:rPr>
              <w:t>R</w:t>
            </w:r>
            <w:r w:rsidRPr="00537112">
              <w:rPr>
                <w:rFonts w:cs="Verdana"/>
                <w:b/>
                <w:bCs/>
                <w:spacing w:val="1"/>
                <w:sz w:val="20"/>
                <w:szCs w:val="20"/>
              </w:rPr>
              <w:t>E</w:t>
            </w:r>
            <w:r w:rsidRPr="00537112">
              <w:rPr>
                <w:rFonts w:cs="Verdana"/>
                <w:b/>
                <w:bCs/>
                <w:sz w:val="20"/>
                <w:szCs w:val="20"/>
              </w:rPr>
              <w:t>C</w:t>
            </w:r>
            <w:r w:rsidRPr="00537112">
              <w:rPr>
                <w:rFonts w:cs="Verdana"/>
                <w:b/>
                <w:bCs/>
                <w:spacing w:val="1"/>
                <w:sz w:val="20"/>
                <w:szCs w:val="20"/>
              </w:rPr>
              <w:t>HO</w:t>
            </w:r>
            <w:r w:rsidRPr="00537112">
              <w:rPr>
                <w:rFonts w:cs="Verdana"/>
                <w:b/>
                <w:bCs/>
                <w:sz w:val="20"/>
                <w:szCs w:val="20"/>
              </w:rPr>
              <w:t>S</w:t>
            </w:r>
            <w:r w:rsidRPr="00537112">
              <w:rPr>
                <w:rFonts w:cs="Verdana"/>
                <w:b/>
                <w:bCs/>
                <w:spacing w:val="-13"/>
                <w:sz w:val="20"/>
                <w:szCs w:val="20"/>
              </w:rPr>
              <w:t xml:space="preserve"> </w:t>
            </w:r>
            <w:r w:rsidRPr="00537112">
              <w:rPr>
                <w:rFonts w:cs="Verdana"/>
                <w:b/>
                <w:bCs/>
                <w:sz w:val="20"/>
                <w:szCs w:val="20"/>
              </w:rPr>
              <w:t>A</w:t>
            </w:r>
            <w:r w:rsidRPr="00537112">
              <w:rPr>
                <w:rFonts w:cs="Verdana"/>
                <w:b/>
                <w:bCs/>
                <w:spacing w:val="-4"/>
                <w:sz w:val="20"/>
                <w:szCs w:val="20"/>
              </w:rPr>
              <w:t xml:space="preserve"> </w:t>
            </w:r>
            <w:r w:rsidRPr="00537112">
              <w:rPr>
                <w:rFonts w:cs="Verdana"/>
                <w:b/>
                <w:bCs/>
                <w:sz w:val="20"/>
                <w:szCs w:val="20"/>
              </w:rPr>
              <w:t>L</w:t>
            </w:r>
            <w:r w:rsidRPr="00537112">
              <w:rPr>
                <w:rFonts w:cs="Verdana"/>
                <w:b/>
                <w:bCs/>
                <w:spacing w:val="-1"/>
                <w:sz w:val="20"/>
                <w:szCs w:val="20"/>
              </w:rPr>
              <w:t>A</w:t>
            </w:r>
            <w:r w:rsidRPr="00537112">
              <w:rPr>
                <w:rFonts w:cs="Verdana"/>
                <w:b/>
                <w:bCs/>
                <w:sz w:val="20"/>
                <w:szCs w:val="20"/>
              </w:rPr>
              <w:t>S</w:t>
            </w:r>
            <w:r w:rsidRPr="00537112">
              <w:rPr>
                <w:rFonts w:cs="Verdana"/>
                <w:b/>
                <w:bCs/>
                <w:spacing w:val="-5"/>
                <w:sz w:val="20"/>
                <w:szCs w:val="20"/>
              </w:rPr>
              <w:t xml:space="preserve"> </w:t>
            </w:r>
            <w:r w:rsidRPr="00537112">
              <w:rPr>
                <w:rFonts w:cs="Verdana"/>
                <w:b/>
                <w:bCs/>
                <w:spacing w:val="-1"/>
                <w:sz w:val="20"/>
                <w:szCs w:val="20"/>
              </w:rPr>
              <w:t>GA</w:t>
            </w:r>
            <w:r w:rsidRPr="00537112">
              <w:rPr>
                <w:rFonts w:cs="Verdana"/>
                <w:b/>
                <w:bCs/>
                <w:sz w:val="20"/>
                <w:szCs w:val="20"/>
              </w:rPr>
              <w:t>R</w:t>
            </w:r>
            <w:r w:rsidRPr="00537112">
              <w:rPr>
                <w:rFonts w:cs="Verdana"/>
                <w:b/>
                <w:bCs/>
                <w:spacing w:val="-1"/>
                <w:sz w:val="20"/>
                <w:szCs w:val="20"/>
              </w:rPr>
              <w:t>AN</w:t>
            </w:r>
            <w:r w:rsidRPr="00537112">
              <w:rPr>
                <w:rFonts w:cs="Verdana"/>
                <w:b/>
                <w:bCs/>
                <w:spacing w:val="1"/>
                <w:sz w:val="20"/>
                <w:szCs w:val="20"/>
              </w:rPr>
              <w:t>T</w:t>
            </w:r>
            <w:r w:rsidRPr="00537112">
              <w:rPr>
                <w:rFonts w:cs="Verdana"/>
                <w:b/>
                <w:bCs/>
                <w:spacing w:val="-1"/>
                <w:sz w:val="20"/>
                <w:szCs w:val="20"/>
              </w:rPr>
              <w:t>ÍA</w:t>
            </w:r>
            <w:r w:rsidRPr="00537112">
              <w:rPr>
                <w:rFonts w:cs="Verdana"/>
                <w:b/>
                <w:bCs/>
                <w:sz w:val="20"/>
                <w:szCs w:val="20"/>
              </w:rPr>
              <w:t>S</w:t>
            </w:r>
            <w:r w:rsidRPr="00537112">
              <w:rPr>
                <w:rFonts w:cs="Verdana"/>
                <w:b/>
                <w:bCs/>
                <w:spacing w:val="-14"/>
                <w:sz w:val="20"/>
                <w:szCs w:val="20"/>
              </w:rPr>
              <w:t xml:space="preserve"> </w:t>
            </w:r>
            <w:r w:rsidRPr="00537112">
              <w:rPr>
                <w:rFonts w:cs="Verdana"/>
                <w:b/>
                <w:bCs/>
                <w:sz w:val="20"/>
                <w:szCs w:val="20"/>
              </w:rPr>
              <w:t>Y</w:t>
            </w:r>
            <w:r w:rsidRPr="00537112">
              <w:rPr>
                <w:rFonts w:cs="Verdana"/>
                <w:b/>
                <w:bCs/>
                <w:spacing w:val="-3"/>
                <w:sz w:val="20"/>
                <w:szCs w:val="20"/>
              </w:rPr>
              <w:t xml:space="preserve"> </w:t>
            </w:r>
            <w:r w:rsidRPr="00537112">
              <w:rPr>
                <w:rFonts w:cs="Verdana"/>
                <w:b/>
                <w:bCs/>
                <w:w w:val="99"/>
                <w:sz w:val="20"/>
                <w:szCs w:val="20"/>
              </w:rPr>
              <w:t>PR</w:t>
            </w:r>
            <w:r w:rsidRPr="00537112">
              <w:rPr>
                <w:rFonts w:cs="Verdana"/>
                <w:b/>
                <w:bCs/>
                <w:spacing w:val="1"/>
                <w:w w:val="99"/>
                <w:sz w:val="20"/>
                <w:szCs w:val="20"/>
              </w:rPr>
              <w:t>OTE</w:t>
            </w:r>
            <w:r w:rsidRPr="00537112">
              <w:rPr>
                <w:rFonts w:cs="Verdana"/>
                <w:b/>
                <w:bCs/>
                <w:w w:val="99"/>
                <w:sz w:val="20"/>
                <w:szCs w:val="20"/>
              </w:rPr>
              <w:t>CC</w:t>
            </w:r>
            <w:r w:rsidRPr="00537112">
              <w:rPr>
                <w:rFonts w:cs="Verdana"/>
                <w:b/>
                <w:bCs/>
                <w:spacing w:val="-1"/>
                <w:w w:val="99"/>
                <w:sz w:val="20"/>
                <w:szCs w:val="20"/>
              </w:rPr>
              <w:t>I</w:t>
            </w:r>
            <w:r w:rsidRPr="00537112">
              <w:rPr>
                <w:rFonts w:cs="Verdana"/>
                <w:b/>
                <w:bCs/>
                <w:spacing w:val="1"/>
                <w:w w:val="99"/>
                <w:sz w:val="20"/>
                <w:szCs w:val="20"/>
              </w:rPr>
              <w:t xml:space="preserve">ÓN </w:t>
            </w:r>
            <w:r w:rsidRPr="00537112">
              <w:rPr>
                <w:rFonts w:cs="Verdana"/>
                <w:b/>
                <w:bCs/>
                <w:sz w:val="20"/>
                <w:szCs w:val="20"/>
              </w:rPr>
              <w:t>J</w:t>
            </w:r>
            <w:r w:rsidRPr="00537112">
              <w:rPr>
                <w:rFonts w:cs="Verdana"/>
                <w:b/>
                <w:bCs/>
                <w:spacing w:val="-1"/>
                <w:sz w:val="20"/>
                <w:szCs w:val="20"/>
              </w:rPr>
              <w:t>U</w:t>
            </w:r>
            <w:r w:rsidRPr="00537112">
              <w:rPr>
                <w:rFonts w:cs="Verdana"/>
                <w:b/>
                <w:bCs/>
                <w:sz w:val="20"/>
                <w:szCs w:val="20"/>
              </w:rPr>
              <w:t>D</w:t>
            </w:r>
            <w:r w:rsidRPr="00537112">
              <w:rPr>
                <w:rFonts w:cs="Verdana"/>
                <w:b/>
                <w:bCs/>
                <w:spacing w:val="-1"/>
                <w:sz w:val="20"/>
                <w:szCs w:val="20"/>
              </w:rPr>
              <w:t>I</w:t>
            </w:r>
            <w:r w:rsidRPr="00537112">
              <w:rPr>
                <w:rFonts w:cs="Verdana"/>
                <w:b/>
                <w:bCs/>
                <w:sz w:val="20"/>
                <w:szCs w:val="20"/>
              </w:rPr>
              <w:t>C</w:t>
            </w:r>
            <w:r w:rsidRPr="00537112">
              <w:rPr>
                <w:rFonts w:cs="Verdana"/>
                <w:b/>
                <w:bCs/>
                <w:spacing w:val="-1"/>
                <w:sz w:val="20"/>
                <w:szCs w:val="20"/>
              </w:rPr>
              <w:t>IA</w:t>
            </w:r>
            <w:r w:rsidRPr="00537112">
              <w:rPr>
                <w:rFonts w:cs="Verdana"/>
                <w:b/>
                <w:bCs/>
                <w:sz w:val="20"/>
                <w:szCs w:val="20"/>
              </w:rPr>
              <w:t>L</w:t>
            </w:r>
            <w:r w:rsidRPr="00537112">
              <w:rPr>
                <w:rFonts w:cs="Verdana"/>
                <w:b/>
                <w:bCs/>
                <w:spacing w:val="1"/>
                <w:sz w:val="20"/>
                <w:szCs w:val="20"/>
              </w:rPr>
              <w:t>E</w:t>
            </w:r>
            <w:r w:rsidRPr="00537112">
              <w:rPr>
                <w:rFonts w:cs="Verdana"/>
                <w:b/>
                <w:bCs/>
                <w:sz w:val="20"/>
                <w:szCs w:val="20"/>
              </w:rPr>
              <w:t>S</w:t>
            </w:r>
            <w:r w:rsidRPr="00537112">
              <w:rPr>
                <w:rFonts w:cs="Verdana"/>
                <w:b/>
                <w:bCs/>
                <w:spacing w:val="53"/>
                <w:sz w:val="20"/>
                <w:szCs w:val="20"/>
              </w:rPr>
              <w:t xml:space="preserve"> </w:t>
            </w:r>
            <w:r w:rsidRPr="00537112">
              <w:rPr>
                <w:rFonts w:cs="Verdana"/>
                <w:b/>
                <w:bCs/>
                <w:sz w:val="20"/>
                <w:szCs w:val="20"/>
              </w:rPr>
              <w:t>DE</w:t>
            </w:r>
            <w:r w:rsidRPr="00537112">
              <w:rPr>
                <w:rFonts w:cs="Verdana"/>
                <w:b/>
                <w:bCs/>
                <w:spacing w:val="-3"/>
                <w:sz w:val="20"/>
                <w:szCs w:val="20"/>
              </w:rPr>
              <w:t xml:space="preserve"> </w:t>
            </w:r>
            <w:r w:rsidRPr="00537112">
              <w:rPr>
                <w:rFonts w:cs="Verdana"/>
                <w:b/>
                <w:bCs/>
                <w:sz w:val="20"/>
                <w:szCs w:val="20"/>
              </w:rPr>
              <w:t>LA</w:t>
            </w:r>
            <w:r w:rsidRPr="00537112">
              <w:rPr>
                <w:rFonts w:cs="Verdana"/>
                <w:b/>
                <w:bCs/>
                <w:spacing w:val="-5"/>
                <w:sz w:val="20"/>
                <w:szCs w:val="20"/>
              </w:rPr>
              <w:t xml:space="preserve"> </w:t>
            </w:r>
            <w:r w:rsidRPr="00537112">
              <w:rPr>
                <w:rFonts w:cs="Verdana"/>
                <w:b/>
                <w:bCs/>
                <w:sz w:val="20"/>
                <w:szCs w:val="20"/>
              </w:rPr>
              <w:t>C</w:t>
            </w:r>
            <w:r w:rsidRPr="00537112">
              <w:rPr>
                <w:rFonts w:cs="Verdana"/>
                <w:b/>
                <w:bCs/>
                <w:spacing w:val="1"/>
                <w:sz w:val="20"/>
                <w:szCs w:val="20"/>
              </w:rPr>
              <w:t>O</w:t>
            </w:r>
            <w:r w:rsidRPr="00537112">
              <w:rPr>
                <w:rFonts w:cs="Verdana"/>
                <w:b/>
                <w:bCs/>
                <w:spacing w:val="-1"/>
                <w:sz w:val="20"/>
                <w:szCs w:val="20"/>
              </w:rPr>
              <w:t>NV</w:t>
            </w:r>
            <w:r w:rsidRPr="00537112">
              <w:rPr>
                <w:rFonts w:cs="Verdana"/>
                <w:b/>
                <w:bCs/>
                <w:spacing w:val="1"/>
                <w:sz w:val="20"/>
                <w:szCs w:val="20"/>
              </w:rPr>
              <w:t>E</w:t>
            </w:r>
            <w:r w:rsidRPr="00537112">
              <w:rPr>
                <w:rFonts w:cs="Verdana"/>
                <w:b/>
                <w:bCs/>
                <w:spacing w:val="-1"/>
                <w:sz w:val="20"/>
                <w:szCs w:val="20"/>
              </w:rPr>
              <w:t>N</w:t>
            </w:r>
            <w:r w:rsidRPr="00537112">
              <w:rPr>
                <w:rFonts w:cs="Verdana"/>
                <w:b/>
                <w:bCs/>
                <w:sz w:val="20"/>
                <w:szCs w:val="20"/>
              </w:rPr>
              <w:t>C</w:t>
            </w:r>
            <w:r w:rsidRPr="00537112">
              <w:rPr>
                <w:rFonts w:cs="Verdana"/>
                <w:b/>
                <w:bCs/>
                <w:spacing w:val="-1"/>
                <w:sz w:val="20"/>
                <w:szCs w:val="20"/>
              </w:rPr>
              <w:t>I</w:t>
            </w:r>
            <w:r w:rsidRPr="00537112">
              <w:rPr>
                <w:rFonts w:cs="Verdana"/>
                <w:b/>
                <w:bCs/>
                <w:spacing w:val="1"/>
                <w:sz w:val="20"/>
                <w:szCs w:val="20"/>
              </w:rPr>
              <w:t>Ó</w:t>
            </w:r>
            <w:r w:rsidRPr="00537112">
              <w:rPr>
                <w:rFonts w:cs="Verdana"/>
                <w:b/>
                <w:bCs/>
                <w:sz w:val="20"/>
                <w:szCs w:val="20"/>
              </w:rPr>
              <w:t>N</w:t>
            </w:r>
            <w:r w:rsidRPr="00537112">
              <w:rPr>
                <w:rFonts w:cs="Verdana"/>
                <w:b/>
                <w:bCs/>
                <w:spacing w:val="-17"/>
                <w:sz w:val="20"/>
                <w:szCs w:val="20"/>
              </w:rPr>
              <w:t xml:space="preserve"> </w:t>
            </w:r>
            <w:r w:rsidRPr="00537112">
              <w:rPr>
                <w:rFonts w:cs="Verdana"/>
                <w:b/>
                <w:bCs/>
                <w:spacing w:val="-1"/>
                <w:sz w:val="20"/>
                <w:szCs w:val="20"/>
              </w:rPr>
              <w:t>A</w:t>
            </w:r>
            <w:r w:rsidRPr="00537112">
              <w:rPr>
                <w:rFonts w:cs="Verdana"/>
                <w:b/>
                <w:bCs/>
                <w:spacing w:val="1"/>
                <w:sz w:val="20"/>
                <w:szCs w:val="20"/>
              </w:rPr>
              <w:t>ME</w:t>
            </w:r>
            <w:r w:rsidRPr="00537112">
              <w:rPr>
                <w:rFonts w:cs="Verdana"/>
                <w:b/>
                <w:bCs/>
                <w:sz w:val="20"/>
                <w:szCs w:val="20"/>
              </w:rPr>
              <w:t>R</w:t>
            </w:r>
            <w:r w:rsidRPr="00537112">
              <w:rPr>
                <w:rFonts w:cs="Verdana"/>
                <w:b/>
                <w:bCs/>
                <w:spacing w:val="-1"/>
                <w:sz w:val="20"/>
                <w:szCs w:val="20"/>
              </w:rPr>
              <w:t>I</w:t>
            </w:r>
            <w:r w:rsidRPr="00537112">
              <w:rPr>
                <w:rFonts w:cs="Verdana"/>
                <w:b/>
                <w:bCs/>
                <w:sz w:val="20"/>
                <w:szCs w:val="20"/>
              </w:rPr>
              <w:t>C</w:t>
            </w:r>
            <w:r w:rsidRPr="00537112">
              <w:rPr>
                <w:rFonts w:cs="Verdana"/>
                <w:b/>
                <w:bCs/>
                <w:spacing w:val="-1"/>
                <w:sz w:val="20"/>
                <w:szCs w:val="20"/>
              </w:rPr>
              <w:t>ANA</w:t>
            </w:r>
            <w:r w:rsidRPr="00537112">
              <w:rPr>
                <w:rFonts w:cs="Verdana"/>
                <w:b/>
                <w:bCs/>
                <w:sz w:val="20"/>
                <w:szCs w:val="20"/>
              </w:rPr>
              <w:t>,</w:t>
            </w:r>
            <w:r w:rsidRPr="00537112">
              <w:rPr>
                <w:rFonts w:cs="Verdana"/>
                <w:b/>
                <w:bCs/>
                <w:spacing w:val="-15"/>
                <w:sz w:val="20"/>
                <w:szCs w:val="20"/>
              </w:rPr>
              <w:t xml:space="preserve"> </w:t>
            </w:r>
            <w:r w:rsidRPr="00537112">
              <w:rPr>
                <w:rFonts w:cs="Verdana"/>
                <w:b/>
                <w:bCs/>
                <w:sz w:val="20"/>
                <w:szCs w:val="20"/>
              </w:rPr>
              <w:t>E</w:t>
            </w:r>
            <w:r w:rsidRPr="00537112">
              <w:rPr>
                <w:rFonts w:cs="Verdana"/>
                <w:b/>
                <w:bCs/>
                <w:spacing w:val="-1"/>
                <w:sz w:val="20"/>
                <w:szCs w:val="20"/>
              </w:rPr>
              <w:t xml:space="preserve"> IN</w:t>
            </w:r>
            <w:r w:rsidRPr="00537112">
              <w:rPr>
                <w:rFonts w:cs="Verdana"/>
                <w:b/>
                <w:bCs/>
                <w:sz w:val="20"/>
                <w:szCs w:val="20"/>
              </w:rPr>
              <w:t>C</w:t>
            </w:r>
            <w:r w:rsidRPr="00537112">
              <w:rPr>
                <w:rFonts w:cs="Verdana"/>
                <w:b/>
                <w:bCs/>
                <w:spacing w:val="-1"/>
                <w:sz w:val="20"/>
                <w:szCs w:val="20"/>
              </w:rPr>
              <w:t>U</w:t>
            </w:r>
            <w:r w:rsidRPr="00537112">
              <w:rPr>
                <w:rFonts w:cs="Verdana"/>
                <w:b/>
                <w:bCs/>
                <w:spacing w:val="1"/>
                <w:sz w:val="20"/>
                <w:szCs w:val="20"/>
              </w:rPr>
              <w:t>M</w:t>
            </w:r>
            <w:r w:rsidRPr="00537112">
              <w:rPr>
                <w:rFonts w:cs="Verdana"/>
                <w:b/>
                <w:bCs/>
                <w:sz w:val="20"/>
                <w:szCs w:val="20"/>
              </w:rPr>
              <w:t>PL</w:t>
            </w:r>
            <w:r w:rsidRPr="00537112">
              <w:rPr>
                <w:rFonts w:cs="Verdana"/>
                <w:b/>
                <w:bCs/>
                <w:spacing w:val="-1"/>
                <w:sz w:val="20"/>
                <w:szCs w:val="20"/>
              </w:rPr>
              <w:t>I</w:t>
            </w:r>
            <w:r w:rsidRPr="00537112">
              <w:rPr>
                <w:rFonts w:cs="Verdana"/>
                <w:b/>
                <w:bCs/>
                <w:spacing w:val="1"/>
                <w:sz w:val="20"/>
                <w:szCs w:val="20"/>
              </w:rPr>
              <w:t>M</w:t>
            </w:r>
            <w:r w:rsidRPr="00537112">
              <w:rPr>
                <w:rFonts w:cs="Verdana"/>
                <w:b/>
                <w:bCs/>
                <w:spacing w:val="-1"/>
                <w:sz w:val="20"/>
                <w:szCs w:val="20"/>
              </w:rPr>
              <w:t>I</w:t>
            </w:r>
            <w:r w:rsidRPr="00537112">
              <w:rPr>
                <w:rFonts w:cs="Verdana"/>
                <w:b/>
                <w:bCs/>
                <w:spacing w:val="1"/>
                <w:sz w:val="20"/>
                <w:szCs w:val="20"/>
              </w:rPr>
              <w:t>E</w:t>
            </w:r>
            <w:r w:rsidRPr="00537112">
              <w:rPr>
                <w:rFonts w:cs="Verdana"/>
                <w:b/>
                <w:bCs/>
                <w:spacing w:val="-1"/>
                <w:sz w:val="20"/>
                <w:szCs w:val="20"/>
              </w:rPr>
              <w:t>N</w:t>
            </w:r>
            <w:r w:rsidRPr="00537112">
              <w:rPr>
                <w:rFonts w:cs="Verdana"/>
                <w:b/>
                <w:bCs/>
                <w:spacing w:val="1"/>
                <w:sz w:val="20"/>
                <w:szCs w:val="20"/>
              </w:rPr>
              <w:t>T</w:t>
            </w:r>
            <w:r w:rsidRPr="00537112">
              <w:rPr>
                <w:rFonts w:cs="Verdana"/>
                <w:b/>
                <w:bCs/>
                <w:sz w:val="20"/>
                <w:szCs w:val="20"/>
              </w:rPr>
              <w:t>O</w:t>
            </w:r>
            <w:r w:rsidRPr="00537112">
              <w:rPr>
                <w:rFonts w:cs="Verdana"/>
                <w:b/>
                <w:bCs/>
                <w:spacing w:val="-21"/>
                <w:sz w:val="20"/>
                <w:szCs w:val="20"/>
              </w:rPr>
              <w:t xml:space="preserve"> </w:t>
            </w:r>
            <w:r w:rsidRPr="00537112">
              <w:rPr>
                <w:rFonts w:cs="Verdana"/>
                <w:b/>
                <w:bCs/>
                <w:sz w:val="20"/>
                <w:szCs w:val="20"/>
              </w:rPr>
              <w:t>DE</w:t>
            </w:r>
            <w:r w:rsidRPr="00537112">
              <w:rPr>
                <w:rFonts w:cs="Verdana"/>
                <w:b/>
                <w:bCs/>
                <w:spacing w:val="-3"/>
                <w:sz w:val="20"/>
                <w:szCs w:val="20"/>
              </w:rPr>
              <w:t xml:space="preserve"> </w:t>
            </w:r>
            <w:r w:rsidRPr="00537112">
              <w:rPr>
                <w:rFonts w:cs="Verdana"/>
                <w:b/>
                <w:bCs/>
                <w:sz w:val="20"/>
                <w:szCs w:val="20"/>
              </w:rPr>
              <w:t>L</w:t>
            </w:r>
            <w:r w:rsidRPr="00537112">
              <w:rPr>
                <w:rFonts w:cs="Verdana"/>
                <w:b/>
                <w:bCs/>
                <w:spacing w:val="1"/>
                <w:sz w:val="20"/>
                <w:szCs w:val="20"/>
              </w:rPr>
              <w:t>O</w:t>
            </w:r>
            <w:r w:rsidRPr="00537112">
              <w:rPr>
                <w:rFonts w:cs="Verdana"/>
                <w:b/>
                <w:bCs/>
                <w:sz w:val="20"/>
                <w:szCs w:val="20"/>
              </w:rPr>
              <w:t>S</w:t>
            </w:r>
            <w:r w:rsidRPr="00537112">
              <w:rPr>
                <w:rFonts w:cs="Verdana"/>
                <w:b/>
                <w:bCs/>
                <w:spacing w:val="-5"/>
                <w:sz w:val="20"/>
                <w:szCs w:val="20"/>
              </w:rPr>
              <w:t xml:space="preserve"> </w:t>
            </w:r>
            <w:r w:rsidRPr="00537112">
              <w:rPr>
                <w:rFonts w:cs="Verdana"/>
                <w:b/>
                <w:bCs/>
                <w:spacing w:val="-1"/>
                <w:w w:val="99"/>
                <w:sz w:val="20"/>
                <w:szCs w:val="20"/>
              </w:rPr>
              <w:t>A</w:t>
            </w:r>
            <w:r w:rsidRPr="00537112">
              <w:rPr>
                <w:rFonts w:cs="Verdana"/>
                <w:b/>
                <w:bCs/>
                <w:w w:val="99"/>
                <w:sz w:val="20"/>
                <w:szCs w:val="20"/>
              </w:rPr>
              <w:t>R</w:t>
            </w:r>
            <w:r w:rsidRPr="00537112">
              <w:rPr>
                <w:rFonts w:cs="Verdana"/>
                <w:b/>
                <w:bCs/>
                <w:spacing w:val="1"/>
                <w:w w:val="99"/>
                <w:sz w:val="20"/>
                <w:szCs w:val="20"/>
              </w:rPr>
              <w:t>T</w:t>
            </w:r>
            <w:r w:rsidRPr="00537112">
              <w:rPr>
                <w:rFonts w:cs="Verdana"/>
                <w:b/>
                <w:bCs/>
                <w:spacing w:val="-1"/>
                <w:w w:val="99"/>
                <w:sz w:val="20"/>
                <w:szCs w:val="20"/>
              </w:rPr>
              <w:t>Í</w:t>
            </w:r>
            <w:r w:rsidRPr="00537112">
              <w:rPr>
                <w:rFonts w:cs="Verdana"/>
                <w:b/>
                <w:bCs/>
                <w:w w:val="99"/>
                <w:sz w:val="20"/>
                <w:szCs w:val="20"/>
              </w:rPr>
              <w:t>C</w:t>
            </w:r>
            <w:r w:rsidRPr="00537112">
              <w:rPr>
                <w:rFonts w:cs="Verdana"/>
                <w:b/>
                <w:bCs/>
                <w:spacing w:val="-1"/>
                <w:w w:val="99"/>
                <w:sz w:val="20"/>
                <w:szCs w:val="20"/>
              </w:rPr>
              <w:t>U</w:t>
            </w:r>
            <w:r w:rsidRPr="00537112">
              <w:rPr>
                <w:rFonts w:cs="Verdana"/>
                <w:b/>
                <w:bCs/>
                <w:w w:val="99"/>
                <w:sz w:val="20"/>
                <w:szCs w:val="20"/>
              </w:rPr>
              <w:t>L</w:t>
            </w:r>
            <w:r w:rsidRPr="00537112">
              <w:rPr>
                <w:rFonts w:cs="Verdana"/>
                <w:b/>
                <w:bCs/>
                <w:spacing w:val="1"/>
                <w:w w:val="99"/>
                <w:sz w:val="20"/>
                <w:szCs w:val="20"/>
              </w:rPr>
              <w:t>O</w:t>
            </w:r>
            <w:r w:rsidRPr="00537112">
              <w:rPr>
                <w:rFonts w:cs="Verdana"/>
                <w:b/>
                <w:bCs/>
                <w:w w:val="99"/>
                <w:sz w:val="20"/>
                <w:szCs w:val="20"/>
              </w:rPr>
              <w:t xml:space="preserve">S </w:t>
            </w:r>
            <w:r w:rsidRPr="00537112">
              <w:rPr>
                <w:rFonts w:cs="Verdana"/>
                <w:b/>
                <w:bCs/>
                <w:spacing w:val="-1"/>
                <w:sz w:val="20"/>
                <w:szCs w:val="20"/>
              </w:rPr>
              <w:t>I</w:t>
            </w:r>
            <w:r w:rsidRPr="00537112">
              <w:rPr>
                <w:rFonts w:cs="Verdana"/>
                <w:b/>
                <w:bCs/>
                <w:sz w:val="20"/>
                <w:szCs w:val="20"/>
              </w:rPr>
              <w:t>.B</w:t>
            </w:r>
            <w:r w:rsidRPr="00537112">
              <w:rPr>
                <w:rFonts w:cs="Verdana"/>
                <w:b/>
                <w:bCs/>
                <w:spacing w:val="-5"/>
                <w:sz w:val="20"/>
                <w:szCs w:val="20"/>
              </w:rPr>
              <w:t xml:space="preserve"> </w:t>
            </w:r>
            <w:r w:rsidRPr="00537112">
              <w:rPr>
                <w:rFonts w:cs="Verdana"/>
                <w:b/>
                <w:bCs/>
                <w:sz w:val="20"/>
                <w:szCs w:val="20"/>
              </w:rPr>
              <w:t>DE</w:t>
            </w:r>
            <w:r w:rsidRPr="00537112">
              <w:rPr>
                <w:rFonts w:cs="Verdana"/>
                <w:b/>
                <w:bCs/>
                <w:spacing w:val="-3"/>
                <w:sz w:val="20"/>
                <w:szCs w:val="20"/>
              </w:rPr>
              <w:t xml:space="preserve"> </w:t>
            </w:r>
            <w:r w:rsidRPr="00537112">
              <w:rPr>
                <w:rFonts w:cs="Verdana"/>
                <w:b/>
                <w:bCs/>
                <w:sz w:val="20"/>
                <w:szCs w:val="20"/>
              </w:rPr>
              <w:t>LA</w:t>
            </w:r>
            <w:r w:rsidRPr="00537112">
              <w:rPr>
                <w:rFonts w:cs="Verdana"/>
                <w:b/>
                <w:bCs/>
                <w:spacing w:val="-5"/>
                <w:sz w:val="20"/>
                <w:szCs w:val="20"/>
              </w:rPr>
              <w:t xml:space="preserve"> </w:t>
            </w:r>
            <w:r w:rsidRPr="00537112">
              <w:rPr>
                <w:rFonts w:cs="Verdana"/>
                <w:b/>
                <w:bCs/>
                <w:sz w:val="20"/>
                <w:szCs w:val="20"/>
              </w:rPr>
              <w:t>C</w:t>
            </w:r>
            <w:r w:rsidRPr="00537112">
              <w:rPr>
                <w:rFonts w:cs="Verdana"/>
                <w:b/>
                <w:bCs/>
                <w:spacing w:val="-1"/>
                <w:sz w:val="20"/>
                <w:szCs w:val="20"/>
              </w:rPr>
              <w:t>I</w:t>
            </w:r>
            <w:r w:rsidRPr="00537112">
              <w:rPr>
                <w:rFonts w:cs="Verdana"/>
                <w:b/>
                <w:bCs/>
                <w:sz w:val="20"/>
                <w:szCs w:val="20"/>
              </w:rPr>
              <w:t>DFP</w:t>
            </w:r>
            <w:r w:rsidRPr="00537112">
              <w:rPr>
                <w:rFonts w:cs="Verdana"/>
                <w:b/>
                <w:bCs/>
                <w:spacing w:val="-8"/>
                <w:sz w:val="20"/>
                <w:szCs w:val="20"/>
              </w:rPr>
              <w:t xml:space="preserve"> </w:t>
            </w:r>
            <w:r w:rsidRPr="00537112">
              <w:rPr>
                <w:rFonts w:cs="Verdana"/>
                <w:b/>
                <w:bCs/>
                <w:sz w:val="20"/>
                <w:szCs w:val="20"/>
              </w:rPr>
              <w:t>,</w:t>
            </w:r>
            <w:r w:rsidRPr="00537112">
              <w:rPr>
                <w:rFonts w:cs="Verdana"/>
                <w:b/>
                <w:bCs/>
                <w:spacing w:val="-2"/>
                <w:sz w:val="20"/>
                <w:szCs w:val="20"/>
              </w:rPr>
              <w:t xml:space="preserve"> </w:t>
            </w:r>
            <w:r w:rsidRPr="00537112">
              <w:rPr>
                <w:rFonts w:cs="Verdana"/>
                <w:b/>
                <w:bCs/>
                <w:sz w:val="20"/>
                <w:szCs w:val="20"/>
              </w:rPr>
              <w:t>1,</w:t>
            </w:r>
            <w:r w:rsidRPr="00537112">
              <w:rPr>
                <w:rFonts w:cs="Verdana"/>
                <w:b/>
                <w:bCs/>
                <w:spacing w:val="-3"/>
                <w:sz w:val="20"/>
                <w:szCs w:val="20"/>
              </w:rPr>
              <w:t xml:space="preserve"> </w:t>
            </w:r>
            <w:r w:rsidRPr="00537112">
              <w:rPr>
                <w:rFonts w:cs="Verdana"/>
                <w:b/>
                <w:bCs/>
                <w:sz w:val="20"/>
                <w:szCs w:val="20"/>
              </w:rPr>
              <w:t>6</w:t>
            </w:r>
            <w:r w:rsidRPr="00537112">
              <w:rPr>
                <w:rFonts w:cs="Verdana"/>
                <w:b/>
                <w:bCs/>
                <w:spacing w:val="-2"/>
                <w:sz w:val="20"/>
                <w:szCs w:val="20"/>
              </w:rPr>
              <w:t xml:space="preserve"> </w:t>
            </w:r>
            <w:r w:rsidRPr="00537112">
              <w:rPr>
                <w:rFonts w:cs="Verdana"/>
                <w:b/>
                <w:bCs/>
                <w:sz w:val="20"/>
                <w:szCs w:val="20"/>
              </w:rPr>
              <w:t>Y</w:t>
            </w:r>
            <w:r w:rsidRPr="00537112">
              <w:rPr>
                <w:rFonts w:cs="Verdana"/>
                <w:b/>
                <w:bCs/>
                <w:spacing w:val="-3"/>
                <w:sz w:val="20"/>
                <w:szCs w:val="20"/>
              </w:rPr>
              <w:t xml:space="preserve"> </w:t>
            </w:r>
            <w:r w:rsidRPr="00537112">
              <w:rPr>
                <w:rFonts w:cs="Verdana"/>
                <w:b/>
                <w:bCs/>
                <w:sz w:val="20"/>
                <w:szCs w:val="20"/>
              </w:rPr>
              <w:t>8</w:t>
            </w:r>
            <w:r w:rsidRPr="00537112">
              <w:rPr>
                <w:rFonts w:cs="Verdana"/>
                <w:b/>
                <w:bCs/>
                <w:spacing w:val="-2"/>
                <w:sz w:val="20"/>
                <w:szCs w:val="20"/>
              </w:rPr>
              <w:t xml:space="preserve"> </w:t>
            </w:r>
            <w:r w:rsidRPr="00537112">
              <w:rPr>
                <w:rFonts w:cs="Verdana"/>
                <w:b/>
                <w:bCs/>
                <w:sz w:val="20"/>
                <w:szCs w:val="20"/>
              </w:rPr>
              <w:t>DE</w:t>
            </w:r>
            <w:r w:rsidRPr="00537112">
              <w:rPr>
                <w:rFonts w:cs="Verdana"/>
                <w:b/>
                <w:bCs/>
                <w:spacing w:val="-3"/>
                <w:sz w:val="20"/>
                <w:szCs w:val="20"/>
              </w:rPr>
              <w:t xml:space="preserve"> </w:t>
            </w:r>
            <w:r w:rsidRPr="00537112">
              <w:rPr>
                <w:rFonts w:cs="Verdana"/>
                <w:b/>
                <w:bCs/>
                <w:sz w:val="20"/>
                <w:szCs w:val="20"/>
              </w:rPr>
              <w:t>LA</w:t>
            </w:r>
            <w:r w:rsidRPr="00537112">
              <w:rPr>
                <w:rFonts w:cs="Verdana"/>
                <w:b/>
                <w:bCs/>
                <w:spacing w:val="-5"/>
                <w:sz w:val="20"/>
                <w:szCs w:val="20"/>
              </w:rPr>
              <w:t xml:space="preserve"> </w:t>
            </w:r>
            <w:r w:rsidRPr="00537112">
              <w:rPr>
                <w:rFonts w:cs="Verdana"/>
                <w:b/>
                <w:bCs/>
                <w:sz w:val="20"/>
                <w:szCs w:val="20"/>
              </w:rPr>
              <w:t>C</w:t>
            </w:r>
            <w:r w:rsidRPr="00537112">
              <w:rPr>
                <w:rFonts w:cs="Verdana"/>
                <w:b/>
                <w:bCs/>
                <w:spacing w:val="-1"/>
                <w:sz w:val="20"/>
                <w:szCs w:val="20"/>
              </w:rPr>
              <w:t>I</w:t>
            </w:r>
            <w:r w:rsidRPr="00537112">
              <w:rPr>
                <w:rFonts w:cs="Verdana"/>
                <w:b/>
                <w:bCs/>
                <w:sz w:val="20"/>
                <w:szCs w:val="20"/>
              </w:rPr>
              <w:t>PST</w:t>
            </w:r>
            <w:r w:rsidRPr="00537112">
              <w:rPr>
                <w:rFonts w:cs="Verdana"/>
                <w:b/>
                <w:bCs/>
                <w:spacing w:val="-7"/>
                <w:sz w:val="20"/>
                <w:szCs w:val="20"/>
              </w:rPr>
              <w:t xml:space="preserve"> </w:t>
            </w:r>
            <w:r w:rsidRPr="00537112">
              <w:rPr>
                <w:rFonts w:cs="Verdana"/>
                <w:b/>
                <w:bCs/>
                <w:sz w:val="20"/>
                <w:szCs w:val="20"/>
              </w:rPr>
              <w:t>,</w:t>
            </w:r>
            <w:r w:rsidRPr="00537112">
              <w:rPr>
                <w:rFonts w:cs="Verdana"/>
                <w:b/>
                <w:bCs/>
                <w:spacing w:val="-2"/>
                <w:sz w:val="20"/>
                <w:szCs w:val="20"/>
              </w:rPr>
              <w:t xml:space="preserve"> </w:t>
            </w:r>
            <w:r w:rsidRPr="00537112">
              <w:rPr>
                <w:rFonts w:cs="Verdana"/>
                <w:b/>
                <w:bCs/>
                <w:sz w:val="20"/>
                <w:szCs w:val="20"/>
              </w:rPr>
              <w:t>Y</w:t>
            </w:r>
            <w:r w:rsidRPr="00537112">
              <w:rPr>
                <w:rFonts w:cs="Verdana"/>
                <w:b/>
                <w:bCs/>
                <w:spacing w:val="-3"/>
                <w:sz w:val="20"/>
                <w:szCs w:val="20"/>
              </w:rPr>
              <w:t xml:space="preserve"> </w:t>
            </w:r>
            <w:r w:rsidRPr="00537112">
              <w:rPr>
                <w:rFonts w:cs="Verdana"/>
                <w:b/>
                <w:bCs/>
                <w:sz w:val="20"/>
                <w:szCs w:val="20"/>
              </w:rPr>
              <w:t>7.B</w:t>
            </w:r>
            <w:r w:rsidRPr="00537112">
              <w:rPr>
                <w:rFonts w:cs="Verdana"/>
                <w:b/>
                <w:bCs/>
                <w:spacing w:val="-6"/>
                <w:sz w:val="20"/>
                <w:szCs w:val="20"/>
              </w:rPr>
              <w:t xml:space="preserve"> </w:t>
            </w:r>
            <w:r w:rsidRPr="00537112">
              <w:rPr>
                <w:rFonts w:cs="Verdana"/>
                <w:b/>
                <w:bCs/>
                <w:sz w:val="20"/>
                <w:szCs w:val="20"/>
              </w:rPr>
              <w:t>DE</w:t>
            </w:r>
            <w:r w:rsidRPr="00537112">
              <w:rPr>
                <w:rFonts w:cs="Verdana"/>
                <w:b/>
                <w:bCs/>
                <w:spacing w:val="-3"/>
                <w:sz w:val="20"/>
                <w:szCs w:val="20"/>
              </w:rPr>
              <w:t xml:space="preserve"> </w:t>
            </w:r>
            <w:r w:rsidRPr="00537112">
              <w:rPr>
                <w:rFonts w:cs="Verdana"/>
                <w:b/>
                <w:bCs/>
                <w:sz w:val="20"/>
                <w:szCs w:val="20"/>
              </w:rPr>
              <w:t>LA</w:t>
            </w:r>
            <w:r w:rsidRPr="00537112">
              <w:rPr>
                <w:rFonts w:cs="Verdana"/>
                <w:b/>
                <w:bCs/>
                <w:spacing w:val="-5"/>
                <w:sz w:val="20"/>
                <w:szCs w:val="20"/>
              </w:rPr>
              <w:t xml:space="preserve"> </w:t>
            </w:r>
            <w:r w:rsidRPr="00537112">
              <w:rPr>
                <w:rFonts w:cs="Verdana"/>
                <w:b/>
                <w:bCs/>
                <w:sz w:val="20"/>
                <w:szCs w:val="20"/>
              </w:rPr>
              <w:t>C</w:t>
            </w:r>
            <w:r w:rsidRPr="00537112">
              <w:rPr>
                <w:rFonts w:cs="Verdana"/>
                <w:b/>
                <w:bCs/>
                <w:spacing w:val="1"/>
                <w:sz w:val="20"/>
                <w:szCs w:val="20"/>
              </w:rPr>
              <w:t>O</w:t>
            </w:r>
            <w:r w:rsidRPr="00537112">
              <w:rPr>
                <w:rFonts w:cs="Verdana"/>
                <w:b/>
                <w:bCs/>
                <w:spacing w:val="-1"/>
                <w:sz w:val="20"/>
                <w:szCs w:val="20"/>
              </w:rPr>
              <w:t>NV</w:t>
            </w:r>
            <w:r w:rsidRPr="00537112">
              <w:rPr>
                <w:rFonts w:cs="Verdana"/>
                <w:b/>
                <w:bCs/>
                <w:spacing w:val="1"/>
                <w:sz w:val="20"/>
                <w:szCs w:val="20"/>
              </w:rPr>
              <w:t>E</w:t>
            </w:r>
            <w:r w:rsidRPr="00537112">
              <w:rPr>
                <w:rFonts w:cs="Verdana"/>
                <w:b/>
                <w:bCs/>
                <w:spacing w:val="-1"/>
                <w:sz w:val="20"/>
                <w:szCs w:val="20"/>
              </w:rPr>
              <w:t>N</w:t>
            </w:r>
            <w:r w:rsidRPr="00537112">
              <w:rPr>
                <w:rFonts w:cs="Verdana"/>
                <w:b/>
                <w:bCs/>
                <w:sz w:val="20"/>
                <w:szCs w:val="20"/>
              </w:rPr>
              <w:t>C</w:t>
            </w:r>
            <w:r w:rsidRPr="00537112">
              <w:rPr>
                <w:rFonts w:cs="Verdana"/>
                <w:b/>
                <w:bCs/>
                <w:spacing w:val="-1"/>
                <w:sz w:val="20"/>
                <w:szCs w:val="20"/>
              </w:rPr>
              <w:t>I</w:t>
            </w:r>
            <w:r w:rsidRPr="00537112">
              <w:rPr>
                <w:rFonts w:cs="Verdana"/>
                <w:b/>
                <w:bCs/>
                <w:spacing w:val="1"/>
                <w:sz w:val="20"/>
                <w:szCs w:val="20"/>
              </w:rPr>
              <w:t>Ó</w:t>
            </w:r>
            <w:r w:rsidRPr="00537112">
              <w:rPr>
                <w:rFonts w:cs="Verdana"/>
                <w:b/>
                <w:bCs/>
                <w:sz w:val="20"/>
                <w:szCs w:val="20"/>
              </w:rPr>
              <w:t>N</w:t>
            </w:r>
            <w:r w:rsidRPr="00537112">
              <w:rPr>
                <w:rFonts w:cs="Verdana"/>
                <w:b/>
                <w:bCs/>
                <w:spacing w:val="-17"/>
                <w:sz w:val="20"/>
                <w:szCs w:val="20"/>
              </w:rPr>
              <w:t xml:space="preserve"> </w:t>
            </w:r>
            <w:r w:rsidRPr="00537112">
              <w:rPr>
                <w:rFonts w:cs="Verdana"/>
                <w:b/>
                <w:bCs/>
                <w:sz w:val="20"/>
                <w:szCs w:val="20"/>
              </w:rPr>
              <w:t>DE</w:t>
            </w:r>
            <w:r w:rsidRPr="00537112">
              <w:rPr>
                <w:rFonts w:cs="Verdana"/>
                <w:b/>
                <w:bCs/>
                <w:spacing w:val="-3"/>
                <w:sz w:val="20"/>
                <w:szCs w:val="20"/>
              </w:rPr>
              <w:t xml:space="preserve"> </w:t>
            </w:r>
            <w:r w:rsidRPr="00537112">
              <w:rPr>
                <w:rFonts w:cs="Verdana"/>
                <w:b/>
                <w:bCs/>
                <w:spacing w:val="-1"/>
                <w:sz w:val="20"/>
                <w:szCs w:val="20"/>
              </w:rPr>
              <w:t>B</w:t>
            </w:r>
            <w:r w:rsidRPr="00537112">
              <w:rPr>
                <w:rFonts w:cs="Verdana"/>
                <w:b/>
                <w:bCs/>
                <w:spacing w:val="1"/>
                <w:sz w:val="20"/>
                <w:szCs w:val="20"/>
              </w:rPr>
              <w:t>E</w:t>
            </w:r>
            <w:r w:rsidRPr="00537112">
              <w:rPr>
                <w:rFonts w:cs="Verdana"/>
                <w:b/>
                <w:bCs/>
                <w:sz w:val="20"/>
                <w:szCs w:val="20"/>
              </w:rPr>
              <w:t>L</w:t>
            </w:r>
            <w:r w:rsidRPr="00537112">
              <w:rPr>
                <w:rFonts w:cs="Verdana"/>
                <w:b/>
                <w:bCs/>
                <w:spacing w:val="1"/>
                <w:sz w:val="20"/>
                <w:szCs w:val="20"/>
              </w:rPr>
              <w:t>É</w:t>
            </w:r>
            <w:r w:rsidRPr="00537112">
              <w:rPr>
                <w:rFonts w:cs="Verdana"/>
                <w:b/>
                <w:bCs/>
                <w:sz w:val="20"/>
                <w:szCs w:val="20"/>
              </w:rPr>
              <w:t>M</w:t>
            </w:r>
            <w:r w:rsidRPr="00537112">
              <w:rPr>
                <w:rFonts w:cs="Verdana"/>
                <w:b/>
                <w:bCs/>
                <w:spacing w:val="-7"/>
                <w:sz w:val="20"/>
                <w:szCs w:val="20"/>
              </w:rPr>
              <w:t xml:space="preserve"> </w:t>
            </w:r>
            <w:r w:rsidRPr="00537112">
              <w:rPr>
                <w:rFonts w:cs="Verdana"/>
                <w:b/>
                <w:bCs/>
                <w:sz w:val="20"/>
                <w:szCs w:val="20"/>
              </w:rPr>
              <w:t>DO</w:t>
            </w:r>
            <w:r w:rsidRPr="00537112">
              <w:rPr>
                <w:rFonts w:cs="Verdana"/>
                <w:b/>
                <w:bCs/>
                <w:spacing w:val="-3"/>
                <w:sz w:val="20"/>
                <w:szCs w:val="20"/>
              </w:rPr>
              <w:t xml:space="preserve"> </w:t>
            </w:r>
            <w:r w:rsidRPr="00537112">
              <w:rPr>
                <w:rFonts w:cs="Verdana"/>
                <w:b/>
                <w:bCs/>
                <w:w w:val="99"/>
                <w:sz w:val="20"/>
                <w:szCs w:val="20"/>
              </w:rPr>
              <w:t>P</w:t>
            </w:r>
            <w:r w:rsidRPr="00537112">
              <w:rPr>
                <w:rFonts w:cs="Verdana"/>
                <w:b/>
                <w:bCs/>
                <w:spacing w:val="-1"/>
                <w:w w:val="99"/>
                <w:sz w:val="20"/>
                <w:szCs w:val="20"/>
              </w:rPr>
              <w:t>A</w:t>
            </w:r>
            <w:r w:rsidRPr="00537112">
              <w:rPr>
                <w:rFonts w:cs="Verdana"/>
                <w:b/>
                <w:bCs/>
                <w:w w:val="99"/>
                <w:sz w:val="20"/>
                <w:szCs w:val="20"/>
              </w:rPr>
              <w:t>R</w:t>
            </w:r>
            <w:r w:rsidRPr="00537112">
              <w:rPr>
                <w:rFonts w:cs="Verdana"/>
                <w:b/>
                <w:bCs/>
                <w:spacing w:val="-1"/>
                <w:w w:val="99"/>
                <w:sz w:val="20"/>
                <w:szCs w:val="20"/>
              </w:rPr>
              <w:t>Á</w:t>
            </w:r>
            <w:r w:rsidRPr="00537112">
              <w:rPr>
                <w:rFonts w:cs="Verdana"/>
                <w:b/>
                <w:bCs/>
                <w:w w:val="99"/>
                <w:sz w:val="20"/>
                <w:szCs w:val="20"/>
              </w:rPr>
              <w:t xml:space="preserve">, </w:t>
            </w:r>
            <w:r w:rsidRPr="00537112">
              <w:rPr>
                <w:rFonts w:cs="Verdana"/>
                <w:b/>
                <w:bCs/>
                <w:sz w:val="20"/>
                <w:szCs w:val="20"/>
              </w:rPr>
              <w:t>L</w:t>
            </w:r>
            <w:r w:rsidRPr="00537112">
              <w:rPr>
                <w:rFonts w:cs="Verdana"/>
                <w:b/>
                <w:bCs/>
                <w:spacing w:val="-1"/>
                <w:sz w:val="20"/>
                <w:szCs w:val="20"/>
              </w:rPr>
              <w:t>I</w:t>
            </w:r>
            <w:r w:rsidRPr="00537112">
              <w:rPr>
                <w:rFonts w:cs="Verdana"/>
                <w:b/>
                <w:bCs/>
                <w:sz w:val="20"/>
                <w:szCs w:val="20"/>
              </w:rPr>
              <w:t>S</w:t>
            </w:r>
            <w:r w:rsidRPr="00537112">
              <w:rPr>
                <w:rFonts w:cs="Verdana"/>
                <w:b/>
                <w:bCs/>
                <w:spacing w:val="1"/>
                <w:sz w:val="20"/>
                <w:szCs w:val="20"/>
              </w:rPr>
              <w:t>T</w:t>
            </w:r>
            <w:r w:rsidRPr="00537112">
              <w:rPr>
                <w:rFonts w:cs="Verdana"/>
                <w:b/>
                <w:bCs/>
                <w:spacing w:val="-1"/>
                <w:sz w:val="20"/>
                <w:szCs w:val="20"/>
              </w:rPr>
              <w:t>A</w:t>
            </w:r>
            <w:r w:rsidRPr="00537112">
              <w:rPr>
                <w:rFonts w:cs="Verdana"/>
                <w:b/>
                <w:bCs/>
                <w:sz w:val="20"/>
                <w:szCs w:val="20"/>
              </w:rPr>
              <w:t>D</w:t>
            </w:r>
            <w:r w:rsidRPr="00537112">
              <w:rPr>
                <w:rFonts w:cs="Verdana"/>
                <w:b/>
                <w:bCs/>
                <w:spacing w:val="1"/>
                <w:sz w:val="20"/>
                <w:szCs w:val="20"/>
              </w:rPr>
              <w:t>O</w:t>
            </w:r>
            <w:r w:rsidRPr="00537112">
              <w:rPr>
                <w:rFonts w:cs="Verdana"/>
                <w:b/>
                <w:bCs/>
                <w:sz w:val="20"/>
                <w:szCs w:val="20"/>
              </w:rPr>
              <w:t>S</w:t>
            </w:r>
            <w:r w:rsidRPr="00537112">
              <w:rPr>
                <w:rFonts w:cs="Verdana"/>
                <w:b/>
                <w:bCs/>
                <w:spacing w:val="-12"/>
                <w:sz w:val="20"/>
                <w:szCs w:val="20"/>
              </w:rPr>
              <w:t xml:space="preserve"> </w:t>
            </w:r>
            <w:r w:rsidRPr="00537112">
              <w:rPr>
                <w:rFonts w:cs="Verdana"/>
                <w:b/>
                <w:bCs/>
                <w:sz w:val="20"/>
                <w:szCs w:val="20"/>
              </w:rPr>
              <w:t>P</w:t>
            </w:r>
            <w:r w:rsidRPr="00537112">
              <w:rPr>
                <w:rFonts w:cs="Verdana"/>
                <w:b/>
                <w:bCs/>
                <w:spacing w:val="1"/>
                <w:sz w:val="20"/>
                <w:szCs w:val="20"/>
              </w:rPr>
              <w:t>O</w:t>
            </w:r>
            <w:r w:rsidRPr="00537112">
              <w:rPr>
                <w:rFonts w:cs="Verdana"/>
                <w:b/>
                <w:bCs/>
                <w:sz w:val="20"/>
                <w:szCs w:val="20"/>
              </w:rPr>
              <w:t>R</w:t>
            </w:r>
            <w:r w:rsidRPr="00537112">
              <w:rPr>
                <w:rFonts w:cs="Verdana"/>
                <w:b/>
                <w:bCs/>
                <w:spacing w:val="-6"/>
                <w:sz w:val="20"/>
                <w:szCs w:val="20"/>
              </w:rPr>
              <w:t xml:space="preserve"> </w:t>
            </w:r>
            <w:r w:rsidRPr="00537112">
              <w:rPr>
                <w:rFonts w:cs="Verdana"/>
                <w:b/>
                <w:bCs/>
                <w:spacing w:val="-1"/>
                <w:sz w:val="20"/>
                <w:szCs w:val="20"/>
              </w:rPr>
              <w:t>NÚ</w:t>
            </w:r>
            <w:r w:rsidRPr="00537112">
              <w:rPr>
                <w:rFonts w:cs="Verdana"/>
                <w:b/>
                <w:bCs/>
                <w:sz w:val="20"/>
                <w:szCs w:val="20"/>
              </w:rPr>
              <w:t>CL</w:t>
            </w:r>
            <w:r w:rsidRPr="00537112">
              <w:rPr>
                <w:rFonts w:cs="Verdana"/>
                <w:b/>
                <w:bCs/>
                <w:spacing w:val="1"/>
                <w:sz w:val="20"/>
                <w:szCs w:val="20"/>
              </w:rPr>
              <w:t>E</w:t>
            </w:r>
            <w:r w:rsidRPr="00537112">
              <w:rPr>
                <w:rFonts w:cs="Verdana"/>
                <w:b/>
                <w:bCs/>
                <w:sz w:val="20"/>
                <w:szCs w:val="20"/>
              </w:rPr>
              <w:t>O</w:t>
            </w:r>
            <w:r w:rsidRPr="00537112">
              <w:rPr>
                <w:rFonts w:cs="Verdana"/>
                <w:b/>
                <w:bCs/>
                <w:spacing w:val="-9"/>
                <w:sz w:val="20"/>
                <w:szCs w:val="20"/>
              </w:rPr>
              <w:t xml:space="preserve"> </w:t>
            </w:r>
            <w:r w:rsidRPr="00537112">
              <w:rPr>
                <w:rFonts w:cs="Verdana"/>
                <w:b/>
                <w:bCs/>
                <w:w w:val="99"/>
                <w:sz w:val="20"/>
                <w:szCs w:val="20"/>
              </w:rPr>
              <w:t>F</w:t>
            </w:r>
            <w:r w:rsidRPr="00537112">
              <w:rPr>
                <w:rFonts w:cs="Verdana"/>
                <w:b/>
                <w:bCs/>
                <w:spacing w:val="-1"/>
                <w:w w:val="99"/>
                <w:sz w:val="20"/>
                <w:szCs w:val="20"/>
              </w:rPr>
              <w:t>A</w:t>
            </w:r>
            <w:r w:rsidRPr="00537112">
              <w:rPr>
                <w:rFonts w:cs="Verdana"/>
                <w:b/>
                <w:bCs/>
                <w:spacing w:val="1"/>
                <w:w w:val="99"/>
                <w:sz w:val="20"/>
                <w:szCs w:val="20"/>
              </w:rPr>
              <w:t>M</w:t>
            </w:r>
            <w:r w:rsidRPr="00537112">
              <w:rPr>
                <w:rFonts w:cs="Verdana"/>
                <w:b/>
                <w:bCs/>
                <w:spacing w:val="-1"/>
                <w:w w:val="99"/>
                <w:sz w:val="20"/>
                <w:szCs w:val="20"/>
              </w:rPr>
              <w:t>I</w:t>
            </w:r>
            <w:r w:rsidRPr="00537112">
              <w:rPr>
                <w:rFonts w:cs="Verdana"/>
                <w:b/>
                <w:bCs/>
                <w:w w:val="99"/>
                <w:sz w:val="20"/>
                <w:szCs w:val="20"/>
              </w:rPr>
              <w:t>L</w:t>
            </w:r>
            <w:r w:rsidRPr="00537112">
              <w:rPr>
                <w:rFonts w:cs="Verdana"/>
                <w:b/>
                <w:bCs/>
                <w:spacing w:val="-1"/>
                <w:w w:val="99"/>
                <w:sz w:val="20"/>
                <w:szCs w:val="20"/>
              </w:rPr>
              <w:t>IA</w:t>
            </w:r>
            <w:r w:rsidRPr="00537112">
              <w:rPr>
                <w:rFonts w:cs="Verdana"/>
                <w:b/>
                <w:bCs/>
                <w:w w:val="99"/>
                <w:sz w:val="20"/>
                <w:szCs w:val="20"/>
              </w:rPr>
              <w:t>R</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23</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0"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cs="Verdana"/>
                <w:sz w:val="20"/>
                <w:szCs w:val="20"/>
              </w:rPr>
            </w:pPr>
            <w:r w:rsidRPr="00537112">
              <w:rPr>
                <w:rFonts w:cs="Verdana"/>
                <w:spacing w:val="1"/>
                <w:sz w:val="20"/>
                <w:szCs w:val="20"/>
              </w:rPr>
              <w:t>V</w:t>
            </w:r>
            <w:r w:rsidRPr="00537112">
              <w:rPr>
                <w:rFonts w:cs="Verdana"/>
                <w:spacing w:val="3"/>
                <w:sz w:val="20"/>
                <w:szCs w:val="20"/>
              </w:rPr>
              <w:t>í</w:t>
            </w:r>
            <w:r w:rsidRPr="00537112">
              <w:rPr>
                <w:rFonts w:cs="Verdana"/>
                <w:spacing w:val="-1"/>
                <w:sz w:val="20"/>
                <w:szCs w:val="20"/>
              </w:rPr>
              <w:t>c</w:t>
            </w:r>
            <w:r w:rsidRPr="00537112">
              <w:rPr>
                <w:rFonts w:cs="Verdana"/>
                <w:spacing w:val="1"/>
                <w:sz w:val="20"/>
                <w:szCs w:val="20"/>
              </w:rPr>
              <w:t>t</w:t>
            </w:r>
            <w:r w:rsidRPr="00537112">
              <w:rPr>
                <w:rFonts w:cs="Verdana"/>
                <w:spacing w:val="-1"/>
                <w:sz w:val="20"/>
                <w:szCs w:val="20"/>
              </w:rPr>
              <w:t>o</w:t>
            </w:r>
            <w:r w:rsidRPr="00537112">
              <w:rPr>
                <w:rFonts w:cs="Verdana"/>
                <w:sz w:val="20"/>
                <w:szCs w:val="20"/>
              </w:rPr>
              <w:t>r</w:t>
            </w:r>
            <w:r w:rsidRPr="00537112">
              <w:rPr>
                <w:rFonts w:cs="Verdana"/>
                <w:spacing w:val="-8"/>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z w:val="20"/>
                <w:szCs w:val="20"/>
              </w:rPr>
              <w:t>Pa</w:t>
            </w:r>
            <w:r w:rsidRPr="00537112">
              <w:rPr>
                <w:rFonts w:cs="Verdana"/>
                <w:spacing w:val="1"/>
                <w:sz w:val="20"/>
                <w:szCs w:val="20"/>
              </w:rPr>
              <w:t>ng</w:t>
            </w:r>
            <w:r w:rsidRPr="00537112">
              <w:rPr>
                <w:rFonts w:cs="Verdana"/>
                <w:sz w:val="20"/>
                <w:szCs w:val="20"/>
              </w:rPr>
              <w:t>an</w:t>
            </w:r>
            <w:r w:rsidRPr="00537112">
              <w:rPr>
                <w:rFonts w:cs="Verdana"/>
                <w:spacing w:val="-7"/>
                <w:sz w:val="20"/>
                <w:szCs w:val="20"/>
              </w:rPr>
              <w:t xml:space="preserve"> </w:t>
            </w:r>
            <w:r w:rsidRPr="00537112">
              <w:rPr>
                <w:rFonts w:cs="Verdana"/>
                <w:spacing w:val="1"/>
                <w:sz w:val="20"/>
                <w:szCs w:val="20"/>
              </w:rPr>
              <w:t>(</w:t>
            </w:r>
            <w:r w:rsidRPr="00537112">
              <w:rPr>
                <w:rFonts w:cs="Verdana"/>
                <w:sz w:val="20"/>
                <w:szCs w:val="20"/>
              </w:rPr>
              <w:t>o</w:t>
            </w:r>
            <w:r w:rsidRPr="00537112">
              <w:rPr>
                <w:rFonts w:cs="Verdana"/>
                <w:spacing w:val="-4"/>
                <w:sz w:val="20"/>
                <w:szCs w:val="20"/>
              </w:rPr>
              <w:t xml:space="preserve"> </w:t>
            </w:r>
            <w:r w:rsidRPr="00537112">
              <w:rPr>
                <w:rFonts w:cs="Verdana"/>
                <w:spacing w:val="1"/>
                <w:sz w:val="20"/>
                <w:szCs w:val="20"/>
              </w:rPr>
              <w:t>V</w:t>
            </w:r>
            <w:r w:rsidRPr="00537112">
              <w:rPr>
                <w:rFonts w:cs="Verdana"/>
                <w:spacing w:val="3"/>
                <w:sz w:val="20"/>
                <w:szCs w:val="20"/>
              </w:rPr>
              <w:t>í</w:t>
            </w:r>
            <w:r w:rsidRPr="00537112">
              <w:rPr>
                <w:rFonts w:cs="Verdana"/>
                <w:spacing w:val="-1"/>
                <w:sz w:val="20"/>
                <w:szCs w:val="20"/>
              </w:rPr>
              <w:t>c</w:t>
            </w:r>
            <w:r w:rsidRPr="00537112">
              <w:rPr>
                <w:rFonts w:cs="Verdana"/>
                <w:spacing w:val="1"/>
                <w:sz w:val="20"/>
                <w:szCs w:val="20"/>
              </w:rPr>
              <w:t>t</w:t>
            </w:r>
            <w:r w:rsidRPr="00537112">
              <w:rPr>
                <w:rFonts w:cs="Verdana"/>
                <w:spacing w:val="-1"/>
                <w:sz w:val="20"/>
                <w:szCs w:val="20"/>
              </w:rPr>
              <w:t>o</w:t>
            </w:r>
            <w:r w:rsidRPr="00537112">
              <w:rPr>
                <w:rFonts w:cs="Verdana"/>
                <w:sz w:val="20"/>
                <w:szCs w:val="20"/>
              </w:rPr>
              <w:t>r</w:t>
            </w:r>
            <w:r w:rsidRPr="00537112">
              <w:rPr>
                <w:rFonts w:cs="Verdana"/>
                <w:spacing w:val="-8"/>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p>
          <w:p w:rsidR="00537112" w:rsidRPr="00537112" w:rsidRDefault="00537112" w:rsidP="00537112">
            <w:pPr>
              <w:autoSpaceDE w:val="0"/>
              <w:autoSpaceDN w:val="0"/>
              <w:spacing w:before="16" w:line="240" w:lineRule="auto"/>
              <w:ind w:right="-20"/>
              <w:jc w:val="left"/>
              <w:textAlignment w:val="auto"/>
              <w:rPr>
                <w:rFonts w:ascii="Times New Roman" w:hAnsi="Times New Roman"/>
              </w:rPr>
            </w:pPr>
            <w:r w:rsidRPr="00537112">
              <w:rPr>
                <w:rFonts w:cs="Verdana"/>
                <w:sz w:val="20"/>
                <w:szCs w:val="20"/>
              </w:rPr>
              <w:t>Pa</w:t>
            </w:r>
            <w:r w:rsidRPr="00537112">
              <w:rPr>
                <w:rFonts w:cs="Verdana"/>
                <w:spacing w:val="1"/>
                <w:sz w:val="20"/>
                <w:szCs w:val="20"/>
              </w:rPr>
              <w:t>n</w:t>
            </w:r>
            <w:r w:rsidRPr="00537112">
              <w:rPr>
                <w:rFonts w:cs="Verdana"/>
                <w:spacing w:val="-1"/>
                <w:sz w:val="20"/>
                <w:szCs w:val="20"/>
              </w:rPr>
              <w:t>c</w:t>
            </w:r>
            <w:r w:rsidRPr="00537112">
              <w:rPr>
                <w:rFonts w:cs="Verdana"/>
                <w:sz w:val="20"/>
                <w:szCs w:val="20"/>
              </w:rPr>
              <w:t>a</w:t>
            </w:r>
            <w:r w:rsidRPr="00537112">
              <w:rPr>
                <w:rFonts w:cs="Verdana"/>
                <w:spacing w:val="1"/>
                <w:sz w:val="20"/>
                <w:szCs w:val="20"/>
              </w:rPr>
              <w:t>n</w:t>
            </w:r>
            <w:r w:rsidRPr="00537112">
              <w:rPr>
                <w:rFonts w:cs="Verdana"/>
                <w:sz w:val="20"/>
                <w:szCs w:val="20"/>
              </w:rPr>
              <w:t>)</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95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g</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96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Na</w:t>
            </w:r>
            <w:r w:rsidRPr="00537112">
              <w:rPr>
                <w:rFonts w:cs="Verdana"/>
                <w:spacing w:val="1"/>
                <w:position w:val="-1"/>
                <w:sz w:val="20"/>
                <w:szCs w:val="20"/>
              </w:rPr>
              <w:t>p</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eó</w:t>
            </w:r>
            <w:r w:rsidRPr="00537112">
              <w:rPr>
                <w:rFonts w:cs="Verdana"/>
                <w:position w:val="-1"/>
                <w:sz w:val="20"/>
                <w:szCs w:val="20"/>
              </w:rPr>
              <w:t>n</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97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Leo</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98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99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il</w:t>
            </w:r>
            <w:r w:rsidRPr="00537112">
              <w:rPr>
                <w:rFonts w:cs="Verdana"/>
                <w:spacing w:val="1"/>
                <w:position w:val="-1"/>
                <w:sz w:val="20"/>
                <w:szCs w:val="20"/>
              </w:rPr>
              <w:t>d</w:t>
            </w:r>
            <w:r w:rsidRPr="00537112">
              <w:rPr>
                <w:rFonts w:cs="Verdana"/>
                <w:position w:val="-1"/>
                <w:sz w:val="20"/>
                <w:szCs w:val="20"/>
              </w:rPr>
              <w:t>e</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00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nd</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 w:line="180" w:lineRule="exact"/>
              <w:jc w:val="left"/>
              <w:textAlignment w:val="auto"/>
              <w:rPr>
                <w:rFonts w:ascii="Times New Roman" w:hAnsi="Times New Roman"/>
                <w:sz w:val="18"/>
                <w:szCs w:val="18"/>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24</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 w:line="180" w:lineRule="exact"/>
              <w:jc w:val="left"/>
              <w:textAlignment w:val="auto"/>
              <w:rPr>
                <w:rFonts w:ascii="Times New Roman" w:hAnsi="Times New Roman"/>
                <w:sz w:val="18"/>
                <w:szCs w:val="18"/>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C</w:t>
            </w:r>
            <w:r w:rsidRPr="00537112">
              <w:rPr>
                <w:rFonts w:cs="Verdana"/>
                <w:spacing w:val="3"/>
                <w:sz w:val="20"/>
                <w:szCs w:val="20"/>
              </w:rPr>
              <w:t>l</w:t>
            </w:r>
            <w:r w:rsidRPr="00537112">
              <w:rPr>
                <w:rFonts w:cs="Verdana"/>
                <w:spacing w:val="-1"/>
                <w:sz w:val="20"/>
                <w:szCs w:val="20"/>
              </w:rPr>
              <w:t>e</w:t>
            </w:r>
            <w:r w:rsidRPr="00537112">
              <w:rPr>
                <w:rFonts w:cs="Verdana"/>
                <w:spacing w:val="1"/>
                <w:sz w:val="20"/>
                <w:szCs w:val="20"/>
              </w:rPr>
              <w:t>m</w:t>
            </w:r>
            <w:r w:rsidRPr="00537112">
              <w:rPr>
                <w:rFonts w:cs="Verdana"/>
                <w:spacing w:val="-1"/>
                <w:sz w:val="20"/>
                <w:szCs w:val="20"/>
              </w:rPr>
              <w:t>e</w:t>
            </w:r>
            <w:r w:rsidRPr="00537112">
              <w:rPr>
                <w:rFonts w:cs="Verdana"/>
                <w:spacing w:val="1"/>
                <w:sz w:val="20"/>
                <w:szCs w:val="20"/>
              </w:rPr>
              <w:t>nt</w:t>
            </w:r>
            <w:r w:rsidRPr="00537112">
              <w:rPr>
                <w:rFonts w:cs="Verdana"/>
                <w:sz w:val="20"/>
                <w:szCs w:val="20"/>
              </w:rPr>
              <w:t>e</w:t>
            </w:r>
            <w:r w:rsidRPr="00537112">
              <w:rPr>
                <w:rFonts w:cs="Verdana"/>
                <w:spacing w:val="-12"/>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2"/>
                <w:sz w:val="20"/>
                <w:szCs w:val="20"/>
              </w:rPr>
              <w:t>I</w:t>
            </w:r>
            <w:r w:rsidRPr="00537112">
              <w:rPr>
                <w:rFonts w:cs="Verdana"/>
                <w:sz w:val="20"/>
                <w:szCs w:val="20"/>
              </w:rPr>
              <w:t>x</w:t>
            </w:r>
            <w:r w:rsidRPr="00537112">
              <w:rPr>
                <w:rFonts w:cs="Verdana"/>
                <w:spacing w:val="1"/>
                <w:sz w:val="20"/>
                <w:szCs w:val="20"/>
              </w:rPr>
              <w:t>p</w:t>
            </w:r>
            <w:r w:rsidRPr="00537112">
              <w:rPr>
                <w:rFonts w:cs="Verdana"/>
                <w:sz w:val="20"/>
                <w:szCs w:val="20"/>
              </w:rPr>
              <w:t>a</w:t>
            </w:r>
            <w:r w:rsidRPr="00537112">
              <w:rPr>
                <w:rFonts w:cs="Verdana"/>
                <w:spacing w:val="1"/>
                <w:sz w:val="20"/>
                <w:szCs w:val="20"/>
              </w:rPr>
              <w:t>n</w:t>
            </w:r>
            <w:r w:rsidRPr="00537112">
              <w:rPr>
                <w:rFonts w:cs="Verdana"/>
                <w:spacing w:val="-1"/>
                <w:sz w:val="20"/>
                <w:szCs w:val="20"/>
              </w:rPr>
              <w:t>coc</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01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305"/>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z w:val="20"/>
                <w:szCs w:val="20"/>
              </w:rPr>
              <w:t>1</w:t>
            </w:r>
            <w:r w:rsidRPr="00537112">
              <w:rPr>
                <w:rFonts w:cs="Verdana"/>
                <w:spacing w:val="1"/>
                <w:sz w:val="20"/>
                <w:szCs w:val="20"/>
              </w:rPr>
              <w:t>02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pacing w:val="1"/>
                <w:sz w:val="20"/>
                <w:szCs w:val="20"/>
              </w:rPr>
              <w:t>V</w:t>
            </w:r>
            <w:r w:rsidRPr="00537112">
              <w:rPr>
                <w:rFonts w:cs="Verdana"/>
                <w:spacing w:val="-1"/>
                <w:sz w:val="20"/>
                <w:szCs w:val="20"/>
              </w:rPr>
              <w:t>e</w:t>
            </w:r>
            <w:r w:rsidRPr="00537112">
              <w:rPr>
                <w:rFonts w:cs="Verdana"/>
                <w:spacing w:val="1"/>
                <w:sz w:val="20"/>
                <w:szCs w:val="20"/>
              </w:rPr>
              <w:t>n</w:t>
            </w:r>
            <w:r w:rsidRPr="00537112">
              <w:rPr>
                <w:rFonts w:cs="Verdana"/>
                <w:sz w:val="20"/>
                <w:szCs w:val="20"/>
              </w:rPr>
              <w:t>a</w:t>
            </w:r>
            <w:r w:rsidRPr="00537112">
              <w:rPr>
                <w:rFonts w:cs="Verdana"/>
                <w:spacing w:val="1"/>
                <w:sz w:val="20"/>
                <w:szCs w:val="20"/>
              </w:rPr>
              <w:t>n</w:t>
            </w:r>
            <w:r w:rsidRPr="00537112">
              <w:rPr>
                <w:rFonts w:cs="Verdana"/>
                <w:spacing w:val="-1"/>
                <w:sz w:val="20"/>
                <w:szCs w:val="20"/>
              </w:rPr>
              <w:t>c</w:t>
            </w:r>
            <w:r w:rsidRPr="00537112">
              <w:rPr>
                <w:rFonts w:cs="Verdana"/>
                <w:spacing w:val="3"/>
                <w:sz w:val="20"/>
                <w:szCs w:val="20"/>
              </w:rPr>
              <w:t>i</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Ju</w:t>
            </w:r>
            <w:r w:rsidRPr="00537112">
              <w:rPr>
                <w:rFonts w:cs="Verdana"/>
                <w:sz w:val="20"/>
                <w:szCs w:val="20"/>
              </w:rPr>
              <w:t>a</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03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U</w:t>
            </w:r>
            <w:r w:rsidRPr="00537112">
              <w:rPr>
                <w:rFonts w:cs="Verdana"/>
                <w:spacing w:val="-1"/>
                <w:position w:val="-1"/>
                <w:sz w:val="20"/>
                <w:szCs w:val="20"/>
              </w:rPr>
              <w:t>r</w:t>
            </w:r>
            <w:r w:rsidRPr="00537112">
              <w:rPr>
                <w:rFonts w:cs="Verdana"/>
                <w:spacing w:val="1"/>
                <w:position w:val="-1"/>
                <w:sz w:val="20"/>
                <w:szCs w:val="20"/>
              </w:rPr>
              <w:t>b</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04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25</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lang w:val="pt-BR"/>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lang w:val="pt-BR"/>
              </w:rPr>
            </w:pPr>
          </w:p>
          <w:p w:rsidR="00537112" w:rsidRPr="00537112" w:rsidRDefault="00537112" w:rsidP="00537112">
            <w:pPr>
              <w:autoSpaceDE w:val="0"/>
              <w:autoSpaceDN w:val="0"/>
              <w:spacing w:before="8" w:line="220" w:lineRule="exact"/>
              <w:jc w:val="left"/>
              <w:textAlignment w:val="auto"/>
              <w:rPr>
                <w:rFonts w:ascii="Times New Roman" w:hAnsi="Times New Roman"/>
                <w:sz w:val="22"/>
                <w:szCs w:val="22"/>
                <w:lang w:val="pt-BR"/>
              </w:rPr>
            </w:pPr>
          </w:p>
          <w:p w:rsidR="00537112" w:rsidRPr="00537112" w:rsidRDefault="00537112" w:rsidP="00537112">
            <w:pPr>
              <w:autoSpaceDE w:val="0"/>
              <w:autoSpaceDN w:val="0"/>
              <w:spacing w:line="240" w:lineRule="auto"/>
              <w:ind w:right="-20"/>
              <w:jc w:val="left"/>
              <w:textAlignment w:val="auto"/>
              <w:rPr>
                <w:rFonts w:ascii="Times New Roman" w:hAnsi="Times New Roman"/>
                <w:lang w:val="pt-BR"/>
              </w:rPr>
            </w:pPr>
            <w:r w:rsidRPr="00537112">
              <w:rPr>
                <w:rFonts w:cs="Verdana"/>
                <w:sz w:val="20"/>
                <w:szCs w:val="20"/>
                <w:lang w:val="pt-BR"/>
              </w:rPr>
              <w:t>C</w:t>
            </w:r>
            <w:r w:rsidRPr="00537112">
              <w:rPr>
                <w:rFonts w:cs="Verdana"/>
                <w:spacing w:val="-1"/>
                <w:sz w:val="20"/>
                <w:szCs w:val="20"/>
                <w:lang w:val="pt-BR"/>
              </w:rPr>
              <w:t>r</w:t>
            </w:r>
            <w:r w:rsidRPr="00537112">
              <w:rPr>
                <w:rFonts w:cs="Verdana"/>
                <w:spacing w:val="1"/>
                <w:sz w:val="20"/>
                <w:szCs w:val="20"/>
                <w:lang w:val="pt-BR"/>
              </w:rPr>
              <w:t>u</w:t>
            </w:r>
            <w:r w:rsidRPr="00537112">
              <w:rPr>
                <w:rFonts w:cs="Verdana"/>
                <w:sz w:val="20"/>
                <w:szCs w:val="20"/>
                <w:lang w:val="pt-BR"/>
              </w:rPr>
              <w:t>z</w:t>
            </w:r>
            <w:r w:rsidRPr="00537112">
              <w:rPr>
                <w:rFonts w:cs="Verdana"/>
                <w:spacing w:val="-5"/>
                <w:sz w:val="20"/>
                <w:szCs w:val="20"/>
                <w:lang w:val="pt-BR"/>
              </w:rPr>
              <w:t xml:space="preserve"> </w:t>
            </w:r>
            <w:r w:rsidRPr="00537112">
              <w:rPr>
                <w:rFonts w:cs="Verdana"/>
                <w:spacing w:val="1"/>
                <w:sz w:val="20"/>
                <w:szCs w:val="20"/>
                <w:lang w:val="pt-BR"/>
              </w:rPr>
              <w:t>S</w:t>
            </w:r>
            <w:r w:rsidRPr="00537112">
              <w:rPr>
                <w:rFonts w:cs="Verdana"/>
                <w:spacing w:val="3"/>
                <w:sz w:val="20"/>
                <w:szCs w:val="20"/>
                <w:lang w:val="pt-BR"/>
              </w:rPr>
              <w:t>i</w:t>
            </w:r>
            <w:r w:rsidRPr="00537112">
              <w:rPr>
                <w:rFonts w:cs="Verdana"/>
                <w:sz w:val="20"/>
                <w:szCs w:val="20"/>
                <w:lang w:val="pt-BR"/>
              </w:rPr>
              <w:t>c</w:t>
            </w:r>
            <w:r w:rsidRPr="00537112">
              <w:rPr>
                <w:rFonts w:cs="Verdana"/>
                <w:spacing w:val="-4"/>
                <w:sz w:val="20"/>
                <w:szCs w:val="20"/>
                <w:lang w:val="pt-BR"/>
              </w:rPr>
              <w:t xml:space="preserve"> </w:t>
            </w:r>
            <w:r w:rsidRPr="00537112">
              <w:rPr>
                <w:rFonts w:cs="Verdana"/>
                <w:sz w:val="20"/>
                <w:szCs w:val="20"/>
                <w:lang w:val="pt-BR"/>
              </w:rPr>
              <w:t>C</w:t>
            </w:r>
            <w:r w:rsidRPr="00537112">
              <w:rPr>
                <w:rFonts w:cs="Verdana"/>
                <w:spacing w:val="1"/>
                <w:sz w:val="20"/>
                <w:szCs w:val="20"/>
                <w:lang w:val="pt-BR"/>
              </w:rPr>
              <w:t>u</w:t>
            </w:r>
            <w:r w:rsidRPr="00537112">
              <w:rPr>
                <w:rFonts w:cs="Verdana"/>
                <w:sz w:val="20"/>
                <w:szCs w:val="20"/>
                <w:lang w:val="pt-BR"/>
              </w:rPr>
              <w:t>x</w:t>
            </w:r>
            <w:r w:rsidRPr="00537112">
              <w:rPr>
                <w:rFonts w:cs="Verdana"/>
                <w:spacing w:val="1"/>
                <w:sz w:val="20"/>
                <w:szCs w:val="20"/>
                <w:lang w:val="pt-BR"/>
              </w:rPr>
              <w:t>u</w:t>
            </w:r>
            <w:r w:rsidRPr="00537112">
              <w:rPr>
                <w:rFonts w:cs="Verdana"/>
                <w:sz w:val="20"/>
                <w:szCs w:val="20"/>
                <w:lang w:val="pt-BR"/>
              </w:rPr>
              <w:t>m</w:t>
            </w:r>
            <w:r w:rsidRPr="00537112">
              <w:rPr>
                <w:rFonts w:cs="Verdana"/>
                <w:spacing w:val="-7"/>
                <w:sz w:val="20"/>
                <w:szCs w:val="20"/>
                <w:lang w:val="pt-BR"/>
              </w:rPr>
              <w:t xml:space="preserve"> </w:t>
            </w:r>
            <w:r w:rsidRPr="00537112">
              <w:rPr>
                <w:rFonts w:cs="Verdana"/>
                <w:spacing w:val="1"/>
                <w:sz w:val="20"/>
                <w:szCs w:val="20"/>
                <w:lang w:val="pt-BR"/>
              </w:rPr>
              <w:t>(</w:t>
            </w:r>
            <w:r w:rsidRPr="00537112">
              <w:rPr>
                <w:rFonts w:cs="Verdana"/>
                <w:sz w:val="20"/>
                <w:szCs w:val="20"/>
                <w:lang w:val="pt-BR"/>
              </w:rPr>
              <w:t>o</w:t>
            </w:r>
            <w:r w:rsidRPr="00537112">
              <w:rPr>
                <w:rFonts w:cs="Verdana"/>
                <w:spacing w:val="-4"/>
                <w:sz w:val="20"/>
                <w:szCs w:val="20"/>
                <w:lang w:val="pt-BR"/>
              </w:rPr>
              <w:t xml:space="preserve"> </w:t>
            </w:r>
            <w:r w:rsidRPr="00537112">
              <w:rPr>
                <w:rFonts w:cs="Verdana"/>
                <w:sz w:val="20"/>
                <w:szCs w:val="20"/>
                <w:lang w:val="pt-BR"/>
              </w:rPr>
              <w:t>C</w:t>
            </w:r>
            <w:r w:rsidRPr="00537112">
              <w:rPr>
                <w:rFonts w:cs="Verdana"/>
                <w:spacing w:val="-1"/>
                <w:sz w:val="20"/>
                <w:szCs w:val="20"/>
                <w:lang w:val="pt-BR"/>
              </w:rPr>
              <w:t>r</w:t>
            </w:r>
            <w:r w:rsidRPr="00537112">
              <w:rPr>
                <w:rFonts w:cs="Verdana"/>
                <w:spacing w:val="1"/>
                <w:sz w:val="20"/>
                <w:szCs w:val="20"/>
                <w:lang w:val="pt-BR"/>
              </w:rPr>
              <w:t>u</w:t>
            </w:r>
            <w:r w:rsidRPr="00537112">
              <w:rPr>
                <w:rFonts w:cs="Verdana"/>
                <w:sz w:val="20"/>
                <w:szCs w:val="20"/>
                <w:lang w:val="pt-BR"/>
              </w:rPr>
              <w:t>z</w:t>
            </w:r>
            <w:r w:rsidRPr="00537112">
              <w:rPr>
                <w:rFonts w:cs="Verdana"/>
                <w:spacing w:val="-5"/>
                <w:sz w:val="20"/>
                <w:szCs w:val="20"/>
                <w:lang w:val="pt-BR"/>
              </w:rPr>
              <w:t xml:space="preserve"> </w:t>
            </w:r>
            <w:r w:rsidRPr="00537112">
              <w:rPr>
                <w:rFonts w:cs="Verdana"/>
                <w:spacing w:val="1"/>
                <w:sz w:val="20"/>
                <w:szCs w:val="20"/>
                <w:lang w:val="pt-BR"/>
              </w:rPr>
              <w:t>S</w:t>
            </w:r>
            <w:r w:rsidRPr="00537112">
              <w:rPr>
                <w:rFonts w:cs="Verdana"/>
                <w:spacing w:val="3"/>
                <w:sz w:val="20"/>
                <w:szCs w:val="20"/>
                <w:lang w:val="pt-BR"/>
              </w:rPr>
              <w:t>i</w:t>
            </w:r>
            <w:r w:rsidRPr="00537112">
              <w:rPr>
                <w:rFonts w:cs="Verdana"/>
                <w:sz w:val="20"/>
                <w:szCs w:val="20"/>
                <w:lang w:val="pt-BR"/>
              </w:rPr>
              <w:t>c</w:t>
            </w:r>
            <w:r w:rsidRPr="00537112">
              <w:rPr>
                <w:rFonts w:cs="Verdana"/>
                <w:spacing w:val="-4"/>
                <w:sz w:val="20"/>
                <w:szCs w:val="20"/>
                <w:lang w:val="pt-BR"/>
              </w:rPr>
              <w:t xml:space="preserve"> </w:t>
            </w:r>
            <w:r w:rsidRPr="00537112">
              <w:rPr>
                <w:rFonts w:cs="Verdana"/>
                <w:sz w:val="20"/>
                <w:szCs w:val="20"/>
                <w:lang w:val="pt-BR"/>
              </w:rPr>
              <w:t>C</w:t>
            </w:r>
            <w:r w:rsidRPr="00537112">
              <w:rPr>
                <w:rFonts w:cs="Verdana"/>
                <w:spacing w:val="1"/>
                <w:sz w:val="20"/>
                <w:szCs w:val="20"/>
                <w:lang w:val="pt-BR"/>
              </w:rPr>
              <w:t>u</w:t>
            </w:r>
            <w:r w:rsidRPr="00537112">
              <w:rPr>
                <w:rFonts w:cs="Verdana"/>
                <w:sz w:val="20"/>
                <w:szCs w:val="20"/>
                <w:lang w:val="pt-BR"/>
              </w:rPr>
              <w:t>x</w:t>
            </w:r>
            <w:r w:rsidRPr="00537112">
              <w:rPr>
                <w:rFonts w:cs="Verdana"/>
                <w:spacing w:val="1"/>
                <w:sz w:val="20"/>
                <w:szCs w:val="20"/>
                <w:lang w:val="pt-BR"/>
              </w:rPr>
              <w:t>ún)</w:t>
            </w:r>
            <w:r w:rsidRPr="00537112">
              <w:rPr>
                <w:rFonts w:cs="Verdana"/>
                <w:sz w:val="20"/>
                <w:szCs w:val="20"/>
                <w:lang w:val="pt-BR"/>
              </w:rPr>
              <w:t>,</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05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position w:val="-1"/>
                <w:sz w:val="20"/>
                <w:szCs w:val="20"/>
              </w:rPr>
              <w:t>n</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p>
        </w:tc>
      </w:tr>
      <w:tr w:rsidR="00537112" w:rsidRPr="00537112" w:rsidTr="00630EEC">
        <w:trPr>
          <w:trHeight w:hRule="exact" w:val="305"/>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z w:val="20"/>
                <w:szCs w:val="20"/>
              </w:rPr>
              <w:t>1</w:t>
            </w:r>
            <w:r w:rsidRPr="00537112">
              <w:rPr>
                <w:rFonts w:cs="Verdana"/>
                <w:spacing w:val="1"/>
                <w:sz w:val="20"/>
                <w:szCs w:val="20"/>
              </w:rPr>
              <w:t>06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pacing w:val="1"/>
                <w:sz w:val="20"/>
                <w:szCs w:val="20"/>
              </w:rPr>
              <w:t>V</w:t>
            </w:r>
            <w:r w:rsidRPr="00537112">
              <w:rPr>
                <w:rFonts w:cs="Verdana"/>
                <w:spacing w:val="3"/>
                <w:sz w:val="20"/>
                <w:szCs w:val="20"/>
              </w:rPr>
              <w:t>i</w:t>
            </w:r>
            <w:r w:rsidRPr="00537112">
              <w:rPr>
                <w:rFonts w:cs="Verdana"/>
                <w:spacing w:val="-1"/>
                <w:sz w:val="20"/>
                <w:szCs w:val="20"/>
              </w:rPr>
              <w:t>c</w:t>
            </w:r>
            <w:r w:rsidRPr="00537112">
              <w:rPr>
                <w:rFonts w:cs="Verdana"/>
                <w:spacing w:val="1"/>
                <w:sz w:val="20"/>
                <w:szCs w:val="20"/>
              </w:rPr>
              <w:t>t</w:t>
            </w:r>
            <w:r w:rsidRPr="00537112">
              <w:rPr>
                <w:rFonts w:cs="Verdana"/>
                <w:spacing w:val="-1"/>
                <w:sz w:val="20"/>
                <w:szCs w:val="20"/>
              </w:rPr>
              <w:t>or</w:t>
            </w:r>
            <w:r w:rsidRPr="00537112">
              <w:rPr>
                <w:rFonts w:cs="Verdana"/>
                <w:spacing w:val="3"/>
                <w:sz w:val="20"/>
                <w:szCs w:val="20"/>
              </w:rPr>
              <w:t>i</w:t>
            </w:r>
            <w:r w:rsidRPr="00537112">
              <w:rPr>
                <w:rFonts w:cs="Verdana"/>
                <w:sz w:val="20"/>
                <w:szCs w:val="20"/>
              </w:rPr>
              <w:t>a</w:t>
            </w:r>
            <w:r w:rsidRPr="00537112">
              <w:rPr>
                <w:rFonts w:cs="Verdana"/>
                <w:spacing w:val="-8"/>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S</w:t>
            </w:r>
            <w:r w:rsidRPr="00537112">
              <w:rPr>
                <w:rFonts w:cs="Verdana"/>
                <w:spacing w:val="3"/>
                <w:sz w:val="20"/>
                <w:szCs w:val="20"/>
              </w:rPr>
              <w:t>ic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07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Dav</w:t>
            </w:r>
            <w:r w:rsidRPr="00537112">
              <w:rPr>
                <w:rFonts w:cs="Verdana"/>
                <w:spacing w:val="3"/>
                <w:position w:val="-1"/>
                <w:sz w:val="20"/>
                <w:szCs w:val="20"/>
              </w:rPr>
              <w:t>i</w:t>
            </w:r>
            <w:r w:rsidRPr="00537112">
              <w:rPr>
                <w:rFonts w:cs="Verdana"/>
                <w:position w:val="-1"/>
                <w:sz w:val="20"/>
                <w:szCs w:val="20"/>
              </w:rPr>
              <w:t>d</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08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09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il</w:t>
            </w:r>
            <w:r w:rsidRPr="00537112">
              <w:rPr>
                <w:rFonts w:cs="Verdana"/>
                <w:spacing w:val="1"/>
                <w:position w:val="-1"/>
                <w:sz w:val="20"/>
                <w:szCs w:val="20"/>
              </w:rPr>
              <w:t>d</w:t>
            </w:r>
            <w:r w:rsidRPr="00537112">
              <w:rPr>
                <w:rFonts w:cs="Verdana"/>
                <w:position w:val="-1"/>
                <w:sz w:val="20"/>
                <w:szCs w:val="20"/>
              </w:rPr>
              <w:t>e</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10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Her</w:t>
            </w:r>
            <w:r w:rsidRPr="00537112">
              <w:rPr>
                <w:rFonts w:cs="Verdana"/>
                <w:spacing w:val="3"/>
                <w:position w:val="-1"/>
                <w:sz w:val="20"/>
                <w:szCs w:val="20"/>
              </w:rPr>
              <w:t>li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26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P</w:t>
            </w:r>
            <w:r w:rsidRPr="00537112">
              <w:rPr>
                <w:rFonts w:cs="Verdana"/>
                <w:spacing w:val="-1"/>
                <w:sz w:val="20"/>
                <w:szCs w:val="20"/>
              </w:rPr>
              <w:t>e</w:t>
            </w:r>
            <w:r w:rsidRPr="00537112">
              <w:rPr>
                <w:rFonts w:cs="Verdana"/>
                <w:spacing w:val="1"/>
                <w:sz w:val="20"/>
                <w:szCs w:val="20"/>
              </w:rPr>
              <w:t>d</w:t>
            </w:r>
            <w:r w:rsidRPr="00537112">
              <w:rPr>
                <w:rFonts w:cs="Verdana"/>
                <w:spacing w:val="-1"/>
                <w:sz w:val="20"/>
                <w:szCs w:val="20"/>
              </w:rPr>
              <w:t>r</w:t>
            </w:r>
            <w:r w:rsidRPr="00537112">
              <w:rPr>
                <w:rFonts w:cs="Verdana"/>
                <w:sz w:val="20"/>
                <w:szCs w:val="20"/>
              </w:rPr>
              <w:t>o</w:t>
            </w:r>
            <w:r w:rsidRPr="00537112">
              <w:rPr>
                <w:rFonts w:cs="Verdana"/>
                <w:spacing w:val="-8"/>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J</w:t>
            </w:r>
            <w:r w:rsidRPr="00537112">
              <w:rPr>
                <w:rFonts w:cs="Verdana"/>
                <w:spacing w:val="-1"/>
                <w:sz w:val="20"/>
                <w:szCs w:val="20"/>
              </w:rPr>
              <w:t>eró</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m</w:t>
            </w:r>
            <w:r w:rsidRPr="00537112">
              <w:rPr>
                <w:rFonts w:cs="Verdana"/>
                <w:sz w:val="20"/>
                <w:szCs w:val="20"/>
              </w:rPr>
              <w:t>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11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g</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12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3"/>
                <w:position w:val="-1"/>
                <w:sz w:val="20"/>
                <w:szCs w:val="20"/>
              </w:rPr>
              <w:t>l</w:t>
            </w:r>
            <w:r w:rsidRPr="00537112">
              <w:rPr>
                <w:rFonts w:cs="Verdana"/>
                <w:spacing w:val="-1"/>
                <w:position w:val="-1"/>
                <w:sz w:val="20"/>
                <w:szCs w:val="20"/>
              </w:rPr>
              <w:t>o</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H</w:t>
            </w:r>
            <w:r w:rsidRPr="00537112">
              <w:rPr>
                <w:rFonts w:cs="Verdana"/>
                <w:spacing w:val="1"/>
                <w:position w:val="-1"/>
                <w:sz w:val="20"/>
                <w:szCs w:val="20"/>
              </w:rPr>
              <w:t>umb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ú</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13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position w:val="-1"/>
                <w:sz w:val="20"/>
                <w:szCs w:val="20"/>
              </w:rPr>
              <w:t>n</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14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Am</w:t>
            </w:r>
            <w:r w:rsidRPr="00537112">
              <w:rPr>
                <w:rFonts w:cs="Verdana"/>
                <w:spacing w:val="3"/>
                <w:position w:val="-1"/>
                <w:sz w:val="20"/>
                <w:szCs w:val="20"/>
              </w:rPr>
              <w:t>i</w:t>
            </w:r>
            <w:r w:rsidRPr="00537112">
              <w:rPr>
                <w:rFonts w:cs="Verdana"/>
                <w:spacing w:val="1"/>
                <w:position w:val="-1"/>
                <w:sz w:val="20"/>
                <w:szCs w:val="20"/>
              </w:rPr>
              <w:t>nt</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ú</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15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w:t>
            </w:r>
            <w:r w:rsidRPr="00537112">
              <w:rPr>
                <w:rFonts w:cs="Verdana"/>
                <w:position w:val="-1"/>
                <w:sz w:val="20"/>
                <w:szCs w:val="20"/>
              </w:rPr>
              <w:t>o</w:t>
            </w:r>
            <w:r w:rsidRPr="00537112">
              <w:rPr>
                <w:rFonts w:cs="Verdana"/>
                <w:spacing w:val="-4"/>
                <w:position w:val="-1"/>
                <w:sz w:val="20"/>
                <w:szCs w:val="20"/>
              </w:rPr>
              <w:t xml:space="preserve"> </w:t>
            </w: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úz</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16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crec</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17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27</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Gre</w:t>
            </w:r>
            <w:r w:rsidRPr="00537112">
              <w:rPr>
                <w:rFonts w:cs="Verdana"/>
                <w:spacing w:val="1"/>
                <w:sz w:val="20"/>
                <w:szCs w:val="20"/>
              </w:rPr>
              <w:t>g</w:t>
            </w:r>
            <w:r w:rsidRPr="00537112">
              <w:rPr>
                <w:rFonts w:cs="Verdana"/>
                <w:spacing w:val="-1"/>
                <w:sz w:val="20"/>
                <w:szCs w:val="20"/>
              </w:rPr>
              <w:t>or</w:t>
            </w:r>
            <w:r w:rsidRPr="00537112">
              <w:rPr>
                <w:rFonts w:cs="Verdana"/>
                <w:spacing w:val="3"/>
                <w:sz w:val="20"/>
                <w:szCs w:val="20"/>
              </w:rPr>
              <w:t>i</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18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1"/>
                <w:position w:val="-1"/>
                <w:sz w:val="20"/>
                <w:szCs w:val="20"/>
              </w:rPr>
              <w:t>o</w:t>
            </w:r>
            <w:r w:rsidRPr="00537112">
              <w:rPr>
                <w:rFonts w:cs="Verdana"/>
                <w:spacing w:val="1"/>
                <w:position w:val="-1"/>
                <w:sz w:val="20"/>
                <w:szCs w:val="20"/>
              </w:rPr>
              <w:t>d</w:t>
            </w:r>
            <w:r w:rsidRPr="00537112">
              <w:rPr>
                <w:rFonts w:cs="Verdana"/>
                <w:spacing w:val="-1"/>
                <w:position w:val="-1"/>
                <w:sz w:val="20"/>
                <w:szCs w:val="20"/>
              </w:rPr>
              <w:t>es</w:t>
            </w:r>
            <w:r w:rsidRPr="00537112">
              <w:rPr>
                <w:rFonts w:cs="Verdana"/>
                <w:spacing w:val="1"/>
                <w:position w:val="-1"/>
                <w:sz w:val="20"/>
                <w:szCs w:val="20"/>
              </w:rPr>
              <w:t>t</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Ta</w:t>
            </w:r>
            <w:r w:rsidRPr="00537112">
              <w:rPr>
                <w:rFonts w:cs="Verdana"/>
                <w:spacing w:val="1"/>
                <w:position w:val="-1"/>
                <w:sz w:val="20"/>
                <w:szCs w:val="20"/>
              </w:rPr>
              <w:t>hu</w:t>
            </w:r>
            <w:r w:rsidRPr="00537112">
              <w:rPr>
                <w:rFonts w:cs="Verdana"/>
                <w:spacing w:val="3"/>
                <w:position w:val="-1"/>
                <w:sz w:val="20"/>
                <w:szCs w:val="20"/>
              </w:rPr>
              <w:t>í</w:t>
            </w:r>
            <w:r w:rsidRPr="00537112">
              <w:rPr>
                <w:rFonts w:cs="Verdana"/>
                <w:spacing w:val="-1"/>
                <w:position w:val="-1"/>
                <w:sz w:val="20"/>
                <w:szCs w:val="20"/>
              </w:rPr>
              <w:t>c</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19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rco</w:t>
            </w:r>
            <w:r w:rsidRPr="00537112">
              <w:rPr>
                <w:rFonts w:cs="Verdana"/>
                <w:position w:val="-1"/>
                <w:sz w:val="20"/>
                <w:szCs w:val="20"/>
              </w:rPr>
              <w:t>s</w:t>
            </w:r>
            <w:r w:rsidRPr="00537112">
              <w:rPr>
                <w:rFonts w:cs="Verdana"/>
                <w:spacing w:val="-8"/>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Ta</w:t>
            </w:r>
            <w:r w:rsidRPr="00537112">
              <w:rPr>
                <w:rFonts w:cs="Verdana"/>
                <w:spacing w:val="1"/>
                <w:position w:val="-1"/>
                <w:sz w:val="20"/>
                <w:szCs w:val="20"/>
              </w:rPr>
              <w:t>hu</w:t>
            </w:r>
            <w:r w:rsidRPr="00537112">
              <w:rPr>
                <w:rFonts w:cs="Verdana"/>
                <w:spacing w:val="3"/>
                <w:position w:val="-1"/>
                <w:sz w:val="20"/>
                <w:szCs w:val="20"/>
              </w:rPr>
              <w:t>i</w:t>
            </w:r>
            <w:r w:rsidRPr="00537112">
              <w:rPr>
                <w:rFonts w:cs="Verdana"/>
                <w:spacing w:val="-1"/>
                <w:position w:val="-1"/>
                <w:sz w:val="20"/>
                <w:szCs w:val="20"/>
              </w:rPr>
              <w:t>co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20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c</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Ta</w:t>
            </w:r>
            <w:r w:rsidRPr="00537112">
              <w:rPr>
                <w:rFonts w:cs="Verdana"/>
                <w:spacing w:val="1"/>
                <w:position w:val="-1"/>
                <w:sz w:val="20"/>
                <w:szCs w:val="20"/>
              </w:rPr>
              <w:t>hu</w:t>
            </w:r>
            <w:r w:rsidRPr="00537112">
              <w:rPr>
                <w:rFonts w:cs="Verdana"/>
                <w:spacing w:val="3"/>
                <w:position w:val="-1"/>
                <w:sz w:val="20"/>
                <w:szCs w:val="20"/>
              </w:rPr>
              <w:t>i</w:t>
            </w:r>
            <w:r w:rsidRPr="00537112">
              <w:rPr>
                <w:rFonts w:cs="Verdana"/>
                <w:spacing w:val="-1"/>
                <w:position w:val="-1"/>
                <w:sz w:val="20"/>
                <w:szCs w:val="20"/>
              </w:rPr>
              <w:t>c</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21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Ab</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Ta</w:t>
            </w:r>
            <w:r w:rsidRPr="00537112">
              <w:rPr>
                <w:rFonts w:cs="Verdana"/>
                <w:spacing w:val="1"/>
                <w:position w:val="-1"/>
                <w:sz w:val="20"/>
                <w:szCs w:val="20"/>
              </w:rPr>
              <w:t>hu</w:t>
            </w:r>
            <w:r w:rsidRPr="00537112">
              <w:rPr>
                <w:rFonts w:cs="Verdana"/>
                <w:spacing w:val="3"/>
                <w:position w:val="-1"/>
                <w:sz w:val="20"/>
                <w:szCs w:val="20"/>
              </w:rPr>
              <w:t>í</w:t>
            </w:r>
            <w:r w:rsidRPr="00537112">
              <w:rPr>
                <w:rFonts w:cs="Verdana"/>
                <w:spacing w:val="-1"/>
                <w:position w:val="-1"/>
                <w:sz w:val="20"/>
                <w:szCs w:val="20"/>
              </w:rPr>
              <w:t>c</w:t>
            </w:r>
            <w:r w:rsidRPr="00537112">
              <w:rPr>
                <w:rFonts w:cs="Verdana"/>
                <w:position w:val="-1"/>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before="6" w:line="140" w:lineRule="exact"/>
              <w:jc w:val="left"/>
              <w:textAlignment w:val="auto"/>
              <w:rPr>
                <w:rFonts w:ascii="Times New Roman" w:hAnsi="Times New Roman"/>
                <w:sz w:val="14"/>
                <w:szCs w:val="14"/>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28</w:t>
            </w:r>
          </w:p>
        </w:tc>
        <w:tc>
          <w:tcPr>
            <w:tcW w:w="3958" w:type="dxa"/>
            <w:vMerge w:val="restart"/>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before="6" w:line="140" w:lineRule="exact"/>
              <w:jc w:val="left"/>
              <w:textAlignment w:val="auto"/>
              <w:rPr>
                <w:rFonts w:ascii="Times New Roman" w:hAnsi="Times New Roman"/>
                <w:sz w:val="14"/>
                <w:szCs w:val="14"/>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T</w:t>
            </w:r>
            <w:r w:rsidRPr="00537112">
              <w:rPr>
                <w:rFonts w:cs="Verdana"/>
                <w:spacing w:val="3"/>
                <w:sz w:val="20"/>
                <w:szCs w:val="20"/>
              </w:rPr>
              <w:t>i</w:t>
            </w:r>
            <w:r w:rsidRPr="00537112">
              <w:rPr>
                <w:rFonts w:cs="Verdana"/>
                <w:spacing w:val="1"/>
                <w:sz w:val="20"/>
                <w:szCs w:val="20"/>
              </w:rPr>
              <w:t>m</w:t>
            </w:r>
            <w:r w:rsidRPr="00537112">
              <w:rPr>
                <w:rFonts w:cs="Verdana"/>
                <w:spacing w:val="-1"/>
                <w:sz w:val="20"/>
                <w:szCs w:val="20"/>
              </w:rPr>
              <w:t>o</w:t>
            </w:r>
            <w:r w:rsidRPr="00537112">
              <w:rPr>
                <w:rFonts w:cs="Verdana"/>
                <w:spacing w:val="1"/>
                <w:sz w:val="20"/>
                <w:szCs w:val="20"/>
              </w:rPr>
              <w:t>t</w:t>
            </w:r>
            <w:r w:rsidRPr="00537112">
              <w:rPr>
                <w:rFonts w:cs="Verdana"/>
                <w:spacing w:val="-1"/>
                <w:sz w:val="20"/>
                <w:szCs w:val="20"/>
              </w:rPr>
              <w:t>e</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z w:val="20"/>
                <w:szCs w:val="20"/>
              </w:rPr>
              <w:t>C</w:t>
            </w:r>
            <w:r w:rsidRPr="00537112">
              <w:rPr>
                <w:rFonts w:cs="Verdana"/>
                <w:spacing w:val="1"/>
                <w:sz w:val="20"/>
                <w:szCs w:val="20"/>
              </w:rPr>
              <w:t>uj</w:t>
            </w:r>
            <w:r w:rsidRPr="00537112">
              <w:rPr>
                <w:rFonts w:cs="Verdana"/>
                <w:sz w:val="20"/>
                <w:szCs w:val="20"/>
              </w:rPr>
              <w:t>á</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22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And</w:t>
            </w:r>
            <w:r w:rsidRPr="00537112">
              <w:rPr>
                <w:rFonts w:cs="Verdana"/>
                <w:spacing w:val="-1"/>
                <w:position w:val="-1"/>
                <w:sz w:val="20"/>
                <w:szCs w:val="20"/>
              </w:rPr>
              <w:t>re</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23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T</w:t>
            </w:r>
            <w:r w:rsidRPr="00537112">
              <w:rPr>
                <w:rFonts w:cs="Verdana"/>
                <w:spacing w:val="-1"/>
                <w:position w:val="-1"/>
                <w:sz w:val="20"/>
                <w:szCs w:val="20"/>
              </w:rPr>
              <w:t>eres</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24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es</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25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gu</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io</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26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t</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io</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27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28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io</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29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ce</w:t>
            </w:r>
            <w:r w:rsidRPr="00537112">
              <w:rPr>
                <w:rFonts w:cs="Verdana"/>
                <w:spacing w:val="1"/>
                <w:position w:val="-1"/>
                <w:sz w:val="20"/>
                <w:szCs w:val="20"/>
              </w:rPr>
              <w:t>nt</w:t>
            </w:r>
            <w:r w:rsidRPr="00537112">
              <w:rPr>
                <w:rFonts w:cs="Verdana"/>
                <w:position w:val="-1"/>
                <w:sz w:val="20"/>
                <w:szCs w:val="20"/>
              </w:rPr>
              <w:t>e</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30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3"/>
                <w:position w:val="-1"/>
                <w:sz w:val="20"/>
                <w:szCs w:val="20"/>
              </w:rPr>
              <w:t>i</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31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32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1"/>
                <w:position w:val="-1"/>
                <w:sz w:val="20"/>
                <w:szCs w:val="20"/>
              </w:rPr>
              <w:t>s</w:t>
            </w:r>
            <w:r w:rsidRPr="00537112">
              <w:rPr>
                <w:rFonts w:cs="Verdana"/>
                <w:spacing w:val="1"/>
                <w:position w:val="-1"/>
                <w:sz w:val="20"/>
                <w:szCs w:val="20"/>
              </w:rPr>
              <w:t>un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ó</w:t>
            </w:r>
            <w:r w:rsidRPr="00537112">
              <w:rPr>
                <w:rFonts w:cs="Verdana"/>
                <w:position w:val="-1"/>
                <w:sz w:val="20"/>
                <w:szCs w:val="20"/>
              </w:rPr>
              <w:t>n</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33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34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35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w:t>
            </w:r>
            <w:r w:rsidRPr="00537112">
              <w:rPr>
                <w:rFonts w:cs="Verdana"/>
                <w:spacing w:val="3"/>
                <w:position w:val="-1"/>
                <w:sz w:val="20"/>
                <w:szCs w:val="20"/>
              </w:rPr>
              <w:t>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36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37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position w:val="-1"/>
                <w:sz w:val="20"/>
                <w:szCs w:val="20"/>
              </w:rPr>
              <w:t>a</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38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w:t>
            </w:r>
            <w:r w:rsidRPr="00537112">
              <w:rPr>
                <w:rFonts w:cs="Verdana"/>
                <w:spacing w:val="3"/>
                <w:position w:val="-1"/>
                <w:sz w:val="20"/>
                <w:szCs w:val="20"/>
              </w:rPr>
              <w:t>il</w:t>
            </w:r>
            <w:r w:rsidRPr="00537112">
              <w:rPr>
                <w:rFonts w:cs="Verdana"/>
                <w:spacing w:val="1"/>
                <w:position w:val="-1"/>
                <w:sz w:val="20"/>
                <w:szCs w:val="20"/>
              </w:rPr>
              <w:t>d</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39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osef</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40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Max</w:t>
            </w:r>
            <w:r w:rsidRPr="00537112">
              <w:rPr>
                <w:rFonts w:cs="Verdana"/>
                <w:spacing w:val="3"/>
                <w:position w:val="-1"/>
                <w:sz w:val="20"/>
                <w:szCs w:val="20"/>
              </w:rPr>
              <w:t>i</w:t>
            </w:r>
            <w:r w:rsidRPr="00537112">
              <w:rPr>
                <w:rFonts w:cs="Verdana"/>
                <w:spacing w:val="1"/>
                <w:position w:val="-1"/>
                <w:sz w:val="20"/>
                <w:szCs w:val="20"/>
              </w:rPr>
              <w:t>m</w:t>
            </w:r>
            <w:r w:rsidRPr="00537112">
              <w:rPr>
                <w:rFonts w:cs="Verdana"/>
                <w:spacing w:val="3"/>
                <w:position w:val="-1"/>
                <w:sz w:val="20"/>
                <w:szCs w:val="20"/>
              </w:rPr>
              <w:t>ili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12"/>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w:t>
            </w:r>
            <w:r w:rsidRPr="00537112">
              <w:rPr>
                <w:rFonts w:cs="Verdana"/>
                <w:position w:val="-1"/>
                <w:sz w:val="20"/>
                <w:szCs w:val="20"/>
              </w:rPr>
              <w:t>aj</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41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m</w:t>
            </w:r>
            <w:r w:rsidRPr="00537112">
              <w:rPr>
                <w:rFonts w:cs="Verdana"/>
                <w:spacing w:val="-1"/>
                <w:position w:val="-1"/>
                <w:sz w:val="20"/>
                <w:szCs w:val="20"/>
              </w:rPr>
              <w:t>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w:t>
            </w:r>
            <w:r w:rsidRPr="00537112">
              <w:rPr>
                <w:rFonts w:cs="Verdana"/>
                <w:position w:val="-1"/>
                <w:sz w:val="20"/>
                <w:szCs w:val="20"/>
              </w:rPr>
              <w:t>aj</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42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position w:val="-1"/>
                <w:sz w:val="20"/>
                <w:szCs w:val="20"/>
              </w:rPr>
              <w:t>a</w:t>
            </w:r>
            <w:r w:rsidRPr="00537112">
              <w:rPr>
                <w:rFonts w:cs="Verdana"/>
                <w:spacing w:val="1"/>
                <w:position w:val="-1"/>
                <w:sz w:val="20"/>
                <w:szCs w:val="20"/>
              </w:rPr>
              <w:t>u</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w:t>
            </w:r>
            <w:r w:rsidRPr="00537112">
              <w:rPr>
                <w:rFonts w:cs="Verdana"/>
                <w:position w:val="-1"/>
                <w:sz w:val="20"/>
                <w:szCs w:val="20"/>
              </w:rPr>
              <w:t>aj</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43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n</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w:t>
            </w:r>
            <w:r w:rsidRPr="00537112">
              <w:rPr>
                <w:rFonts w:cs="Verdana"/>
                <w:position w:val="-1"/>
                <w:sz w:val="20"/>
                <w:szCs w:val="20"/>
              </w:rPr>
              <w:t>aj</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pgSz w:w="12260" w:h="15840"/>
          <w:pgMar w:top="760" w:right="900" w:bottom="280" w:left="900" w:header="493" w:footer="0" w:gutter="0"/>
          <w:cols w:space="720"/>
          <w:noEndnote/>
        </w:sectPr>
      </w:pPr>
    </w:p>
    <w:p w:rsidR="00537112" w:rsidRPr="00537112" w:rsidRDefault="00537112" w:rsidP="00537112">
      <w:pPr>
        <w:autoSpaceDE w:val="0"/>
        <w:autoSpaceDN w:val="0"/>
        <w:spacing w:before="16" w:line="280" w:lineRule="exact"/>
        <w:jc w:val="left"/>
        <w:textAlignment w:val="auto"/>
        <w:rPr>
          <w:rFonts w:ascii="Times New Roman" w:hAnsi="Times New Roman"/>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772"/>
        <w:gridCol w:w="4496"/>
      </w:tblGrid>
      <w:tr w:rsidR="00537112" w:rsidRPr="00537112" w:rsidTr="00630EEC">
        <w:trPr>
          <w:trHeight w:hRule="exact" w:val="247"/>
        </w:trPr>
        <w:tc>
          <w:tcPr>
            <w:tcW w:w="977" w:type="dxa"/>
            <w:vMerge w:val="restart"/>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40" w:lineRule="auto"/>
              <w:jc w:val="left"/>
              <w:textAlignment w:val="auto"/>
              <w:rPr>
                <w:rFonts w:ascii="Times New Roman" w:hAnsi="Times New Roman"/>
              </w:rPr>
            </w:pPr>
          </w:p>
        </w:tc>
        <w:tc>
          <w:tcPr>
            <w:tcW w:w="3958" w:type="dxa"/>
            <w:vMerge w:val="restart"/>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auto"/>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44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position w:val="-1"/>
                <w:sz w:val="20"/>
                <w:szCs w:val="20"/>
              </w:rPr>
              <w:t>a</w:t>
            </w:r>
            <w:r w:rsidRPr="00537112">
              <w:rPr>
                <w:rFonts w:cs="Verdana"/>
                <w:spacing w:val="-4"/>
                <w:position w:val="-1"/>
                <w:sz w:val="20"/>
                <w:szCs w:val="20"/>
              </w:rPr>
              <w:t xml:space="preserve"> </w:t>
            </w: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w:t>
            </w:r>
            <w:r w:rsidRPr="00537112">
              <w:rPr>
                <w:rFonts w:cs="Verdana"/>
                <w:position w:val="-1"/>
                <w:sz w:val="20"/>
                <w:szCs w:val="20"/>
              </w:rPr>
              <w:t>aj</w:t>
            </w:r>
          </w:p>
        </w:tc>
      </w:tr>
      <w:tr w:rsidR="00537112" w:rsidRPr="00537112" w:rsidTr="00630EEC">
        <w:trPr>
          <w:trHeight w:hRule="exact" w:val="247"/>
        </w:trPr>
        <w:tc>
          <w:tcPr>
            <w:tcW w:w="977" w:type="dxa"/>
            <w:vMerge/>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45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w:t>
            </w:r>
            <w:r w:rsidRPr="00537112">
              <w:rPr>
                <w:rFonts w:cs="Verdana"/>
                <w:position w:val="-1"/>
                <w:sz w:val="20"/>
                <w:szCs w:val="20"/>
              </w:rPr>
              <w:t>aj</w:t>
            </w:r>
          </w:p>
        </w:tc>
      </w:tr>
      <w:tr w:rsidR="00537112" w:rsidRPr="00537112" w:rsidTr="00630EEC">
        <w:trPr>
          <w:trHeight w:hRule="exact" w:val="247"/>
        </w:trPr>
        <w:tc>
          <w:tcPr>
            <w:tcW w:w="977" w:type="dxa"/>
            <w:vMerge/>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46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3"/>
                <w:position w:val="-1"/>
                <w:sz w:val="20"/>
                <w:szCs w:val="20"/>
              </w:rPr>
              <w:t>i</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w:t>
            </w:r>
            <w:r w:rsidRPr="00537112">
              <w:rPr>
                <w:rFonts w:cs="Verdana"/>
                <w:position w:val="-1"/>
                <w:sz w:val="20"/>
                <w:szCs w:val="20"/>
              </w:rPr>
              <w:t>aj</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29</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b</w:t>
            </w:r>
            <w:r w:rsidRPr="00537112">
              <w:rPr>
                <w:rFonts w:cs="Verdana"/>
                <w:spacing w:val="-1"/>
                <w:sz w:val="20"/>
                <w:szCs w:val="20"/>
              </w:rPr>
              <w:t>er</w:t>
            </w:r>
            <w:r w:rsidRPr="00537112">
              <w:rPr>
                <w:rFonts w:cs="Verdana"/>
                <w:spacing w:val="1"/>
                <w:sz w:val="20"/>
                <w:szCs w:val="20"/>
              </w:rPr>
              <w:t>t</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é</w:t>
            </w:r>
            <w:r w:rsidRPr="00537112">
              <w:rPr>
                <w:rFonts w:cs="Verdana"/>
                <w:sz w:val="20"/>
                <w:szCs w:val="20"/>
              </w:rPr>
              <w:t>n</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47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Su</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tumú</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48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u</w:t>
            </w:r>
            <w:r w:rsidRPr="00537112">
              <w:rPr>
                <w:rFonts w:cs="Verdana"/>
                <w:spacing w:val="3"/>
                <w:position w:val="-1"/>
                <w:sz w:val="20"/>
                <w:szCs w:val="20"/>
              </w:rPr>
              <w:t>l</w:t>
            </w:r>
            <w:r w:rsidRPr="00537112">
              <w:rPr>
                <w:rFonts w:cs="Verdana"/>
                <w:position w:val="-1"/>
                <w:sz w:val="20"/>
                <w:szCs w:val="20"/>
              </w:rPr>
              <w:t>a</w:t>
            </w:r>
            <w:r w:rsidRPr="00537112">
              <w:rPr>
                <w:rFonts w:cs="Verdana"/>
                <w:spacing w:val="3"/>
                <w:position w:val="-1"/>
                <w:sz w:val="20"/>
                <w:szCs w:val="20"/>
              </w:rPr>
              <w:t>li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30</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Ant</w:t>
            </w:r>
            <w:r w:rsidRPr="00537112">
              <w:rPr>
                <w:rFonts w:cs="Verdana"/>
                <w:spacing w:val="-1"/>
                <w:sz w:val="20"/>
                <w:szCs w:val="20"/>
              </w:rPr>
              <w:t>o</w:t>
            </w:r>
            <w:r w:rsidRPr="00537112">
              <w:rPr>
                <w:rFonts w:cs="Verdana"/>
                <w:spacing w:val="1"/>
                <w:sz w:val="20"/>
                <w:szCs w:val="20"/>
              </w:rPr>
              <w:t>n</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á</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49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50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spacing w:val="-1"/>
                <w:position w:val="-1"/>
                <w:sz w:val="20"/>
                <w:szCs w:val="20"/>
              </w:rPr>
              <w:t>er</w:t>
            </w:r>
            <w:r w:rsidRPr="00537112">
              <w:rPr>
                <w:rFonts w:cs="Verdana"/>
                <w:spacing w:val="1"/>
                <w:position w:val="-1"/>
                <w:sz w:val="20"/>
                <w:szCs w:val="20"/>
              </w:rPr>
              <w:t>g</w:t>
            </w:r>
            <w:r w:rsidRPr="00537112">
              <w:rPr>
                <w:rFonts w:cs="Verdana"/>
                <w:spacing w:val="3"/>
                <w:position w:val="-1"/>
                <w:sz w:val="20"/>
                <w:szCs w:val="20"/>
              </w:rPr>
              <w:t>i</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L</w:t>
            </w:r>
            <w:r w:rsidRPr="00537112">
              <w:rPr>
                <w:rFonts w:cs="Verdana"/>
                <w:position w:val="-1"/>
                <w:sz w:val="20"/>
                <w:szCs w:val="20"/>
              </w:rPr>
              <w:t>y</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51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es</w:t>
            </w:r>
            <w:r w:rsidRPr="00537112">
              <w:rPr>
                <w:rFonts w:cs="Verdana"/>
                <w:position w:val="-1"/>
                <w:sz w:val="20"/>
                <w:szCs w:val="20"/>
              </w:rPr>
              <w:t>ar</w:t>
            </w:r>
            <w:r w:rsidRPr="00537112">
              <w:rPr>
                <w:rFonts w:cs="Verdana"/>
                <w:spacing w:val="-8"/>
                <w:position w:val="-1"/>
                <w:sz w:val="20"/>
                <w:szCs w:val="20"/>
              </w:rPr>
              <w:t xml:space="preserve"> </w:t>
            </w:r>
            <w:r w:rsidRPr="00537112">
              <w:rPr>
                <w:rFonts w:cs="Verdana"/>
                <w:spacing w:val="1"/>
                <w:position w:val="-1"/>
                <w:sz w:val="20"/>
                <w:szCs w:val="20"/>
              </w:rPr>
              <w:t>Augu</w:t>
            </w:r>
            <w:r w:rsidRPr="00537112">
              <w:rPr>
                <w:rFonts w:cs="Verdana"/>
                <w:spacing w:val="-1"/>
                <w:position w:val="-1"/>
                <w:sz w:val="20"/>
                <w:szCs w:val="20"/>
              </w:rPr>
              <w:t>s</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52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Am</w:t>
            </w:r>
            <w:r w:rsidRPr="00537112">
              <w:rPr>
                <w:rFonts w:cs="Verdana"/>
                <w:spacing w:val="-1"/>
                <w:position w:val="-1"/>
                <w:sz w:val="20"/>
                <w:szCs w:val="20"/>
              </w:rPr>
              <w:t>e</w:t>
            </w:r>
            <w:r w:rsidRPr="00537112">
              <w:rPr>
                <w:rFonts w:cs="Verdana"/>
                <w:spacing w:val="3"/>
                <w:position w:val="-1"/>
                <w:sz w:val="20"/>
                <w:szCs w:val="20"/>
              </w:rPr>
              <w:t>lí</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E</w:t>
            </w:r>
            <w:r w:rsidRPr="00537112">
              <w:rPr>
                <w:rFonts w:cs="Verdana"/>
                <w:spacing w:val="1"/>
                <w:position w:val="-1"/>
                <w:sz w:val="20"/>
                <w:szCs w:val="20"/>
              </w:rPr>
              <w:t>ug</w:t>
            </w: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53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position w:val="-1"/>
                <w:sz w:val="20"/>
                <w:szCs w:val="20"/>
              </w:rPr>
              <w:t>a</w:t>
            </w:r>
            <w:r w:rsidRPr="00537112">
              <w:rPr>
                <w:rFonts w:cs="Verdana"/>
                <w:spacing w:val="-4"/>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il</w:t>
            </w:r>
            <w:r w:rsidRPr="00537112">
              <w:rPr>
                <w:rFonts w:cs="Verdana"/>
                <w:position w:val="-1"/>
                <w:sz w:val="20"/>
                <w:szCs w:val="20"/>
              </w:rPr>
              <w:t>ú</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54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Les</w:t>
            </w:r>
            <w:r w:rsidRPr="00537112">
              <w:rPr>
                <w:rFonts w:cs="Verdana"/>
                <w:position w:val="-1"/>
                <w:sz w:val="20"/>
                <w:szCs w:val="20"/>
              </w:rPr>
              <w:t>v</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N</w:t>
            </w:r>
            <w:r w:rsidRPr="00537112">
              <w:rPr>
                <w:rFonts w:cs="Verdana"/>
                <w:spacing w:val="-1"/>
                <w:position w:val="-1"/>
                <w:sz w:val="20"/>
                <w:szCs w:val="20"/>
              </w:rPr>
              <w:t>o</w:t>
            </w:r>
            <w:r w:rsidRPr="00537112">
              <w:rPr>
                <w:rFonts w:cs="Verdana"/>
                <w:spacing w:val="1"/>
                <w:position w:val="-1"/>
                <w:sz w:val="20"/>
                <w:szCs w:val="20"/>
              </w:rPr>
              <w:t>h</w:t>
            </w:r>
            <w:r w:rsidRPr="00537112">
              <w:rPr>
                <w:rFonts w:cs="Verdana"/>
                <w:spacing w:val="-1"/>
                <w:position w:val="-1"/>
                <w:sz w:val="20"/>
                <w:szCs w:val="20"/>
              </w:rPr>
              <w:t>e</w:t>
            </w:r>
            <w:r w:rsidRPr="00537112">
              <w:rPr>
                <w:rFonts w:cs="Verdana"/>
                <w:spacing w:val="1"/>
                <w:position w:val="-1"/>
                <w:sz w:val="20"/>
                <w:szCs w:val="20"/>
              </w:rPr>
              <w:t>m</w:t>
            </w:r>
            <w:r w:rsidRPr="00537112">
              <w:rPr>
                <w:rFonts w:cs="Verdana"/>
                <w:position w:val="-1"/>
                <w:sz w:val="20"/>
                <w:szCs w:val="20"/>
              </w:rPr>
              <w:t>y</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0"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31</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0"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A</w:t>
            </w:r>
            <w:r w:rsidRPr="00537112">
              <w:rPr>
                <w:rFonts w:cs="Verdana"/>
                <w:spacing w:val="3"/>
                <w:sz w:val="20"/>
                <w:szCs w:val="20"/>
              </w:rPr>
              <w:t>l</w:t>
            </w:r>
            <w:r w:rsidRPr="00537112">
              <w:rPr>
                <w:rFonts w:cs="Verdana"/>
                <w:spacing w:val="-1"/>
                <w:sz w:val="20"/>
                <w:szCs w:val="20"/>
              </w:rPr>
              <w:t>fo</w:t>
            </w:r>
            <w:r w:rsidRPr="00537112">
              <w:rPr>
                <w:rFonts w:cs="Verdana"/>
                <w:spacing w:val="1"/>
                <w:sz w:val="20"/>
                <w:szCs w:val="20"/>
              </w:rPr>
              <w:t>nz</w:t>
            </w:r>
            <w:r w:rsidRPr="00537112">
              <w:rPr>
                <w:rFonts w:cs="Verdana"/>
                <w:sz w:val="20"/>
                <w:szCs w:val="20"/>
              </w:rPr>
              <w:t>o</w:t>
            </w:r>
            <w:r w:rsidRPr="00537112">
              <w:rPr>
                <w:rFonts w:cs="Verdana"/>
                <w:spacing w:val="-9"/>
                <w:sz w:val="20"/>
                <w:szCs w:val="20"/>
              </w:rPr>
              <w:t xml:space="preserve"> </w:t>
            </w:r>
            <w:r w:rsidRPr="00537112">
              <w:rPr>
                <w:rFonts w:cs="Verdana"/>
                <w:sz w:val="20"/>
                <w:szCs w:val="20"/>
              </w:rPr>
              <w:t>C</w:t>
            </w:r>
            <w:r w:rsidRPr="00537112">
              <w:rPr>
                <w:rFonts w:cs="Verdana"/>
                <w:spacing w:val="-1"/>
                <w:sz w:val="20"/>
                <w:szCs w:val="20"/>
              </w:rPr>
              <w:t>r</w:t>
            </w:r>
            <w:r w:rsidRPr="00537112">
              <w:rPr>
                <w:rFonts w:cs="Verdana"/>
                <w:spacing w:val="1"/>
                <w:sz w:val="20"/>
                <w:szCs w:val="20"/>
              </w:rPr>
              <w:t>ú</w:t>
            </w:r>
            <w:r w:rsidRPr="00537112">
              <w:rPr>
                <w:rFonts w:cs="Verdana"/>
                <w:sz w:val="20"/>
                <w:szCs w:val="20"/>
              </w:rPr>
              <w:t>z</w:t>
            </w:r>
            <w:r w:rsidRPr="00537112">
              <w:rPr>
                <w:rFonts w:cs="Verdana"/>
                <w:spacing w:val="-5"/>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55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Lore</w:t>
            </w:r>
            <w:r w:rsidRPr="00537112">
              <w:rPr>
                <w:rFonts w:cs="Verdana"/>
                <w:spacing w:val="1"/>
                <w:position w:val="-1"/>
                <w:sz w:val="20"/>
                <w:szCs w:val="20"/>
              </w:rPr>
              <w:t>nz</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úz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56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Yx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co</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57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Gre</w:t>
            </w:r>
            <w:r w:rsidRPr="00537112">
              <w:rPr>
                <w:rFonts w:cs="Verdana"/>
                <w:spacing w:val="1"/>
                <w:position w:val="-1"/>
                <w:sz w:val="20"/>
                <w:szCs w:val="20"/>
              </w:rPr>
              <w:t>g</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ú</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58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59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il</w:t>
            </w:r>
            <w:r w:rsidRPr="00537112">
              <w:rPr>
                <w:rFonts w:cs="Verdana"/>
                <w:spacing w:val="-1"/>
                <w:position w:val="-1"/>
                <w:sz w:val="20"/>
                <w:szCs w:val="20"/>
              </w:rPr>
              <w:t>o</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60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Ge</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32</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D</w:t>
            </w:r>
            <w:r w:rsidRPr="00537112">
              <w:rPr>
                <w:rFonts w:cs="Verdana"/>
                <w:spacing w:val="-1"/>
                <w:sz w:val="20"/>
                <w:szCs w:val="20"/>
              </w:rPr>
              <w:t>o</w:t>
            </w:r>
            <w:r w:rsidRPr="00537112">
              <w:rPr>
                <w:rFonts w:cs="Verdana"/>
                <w:spacing w:val="1"/>
                <w:sz w:val="20"/>
                <w:szCs w:val="20"/>
              </w:rPr>
              <w:t>m</w:t>
            </w:r>
            <w:r w:rsidRPr="00537112">
              <w:rPr>
                <w:rFonts w:cs="Verdana"/>
                <w:spacing w:val="3"/>
                <w:sz w:val="20"/>
                <w:szCs w:val="20"/>
              </w:rPr>
              <w:t>i</w:t>
            </w:r>
            <w:r w:rsidRPr="00537112">
              <w:rPr>
                <w:rFonts w:cs="Verdana"/>
                <w:spacing w:val="1"/>
                <w:sz w:val="20"/>
                <w:szCs w:val="20"/>
              </w:rPr>
              <w:t>ng</w:t>
            </w:r>
            <w:r w:rsidRPr="00537112">
              <w:rPr>
                <w:rFonts w:cs="Verdana"/>
                <w:sz w:val="20"/>
                <w:szCs w:val="20"/>
              </w:rPr>
              <w:t>o</w:t>
            </w:r>
            <w:r w:rsidRPr="00537112">
              <w:rPr>
                <w:rFonts w:cs="Verdana"/>
                <w:spacing w:val="-11"/>
                <w:sz w:val="20"/>
                <w:szCs w:val="20"/>
              </w:rPr>
              <w:t xml:space="preserve"> </w:t>
            </w:r>
            <w:r w:rsidRPr="00537112">
              <w:rPr>
                <w:rFonts w:cs="Verdana"/>
                <w:sz w:val="20"/>
                <w:szCs w:val="20"/>
              </w:rPr>
              <w:t>Ca</w:t>
            </w:r>
            <w:r w:rsidRPr="00537112">
              <w:rPr>
                <w:rFonts w:cs="Verdana"/>
                <w:spacing w:val="1"/>
                <w:sz w:val="20"/>
                <w:szCs w:val="20"/>
              </w:rPr>
              <w:t>hu</w:t>
            </w:r>
            <w:r w:rsidRPr="00537112">
              <w:rPr>
                <w:rFonts w:cs="Verdana"/>
                <w:spacing w:val="-1"/>
                <w:sz w:val="20"/>
                <w:szCs w:val="20"/>
              </w:rPr>
              <w:t>e</w:t>
            </w:r>
            <w:r w:rsidRPr="00537112">
              <w:rPr>
                <w:rFonts w:cs="Verdana"/>
                <w:sz w:val="20"/>
                <w:szCs w:val="20"/>
              </w:rPr>
              <w:t>c</w:t>
            </w:r>
            <w:r w:rsidRPr="00537112">
              <w:rPr>
                <w:rFonts w:cs="Verdana"/>
                <w:spacing w:val="-8"/>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61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62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63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rr</w:t>
            </w:r>
            <w:r w:rsidRPr="00537112">
              <w:rPr>
                <w:rFonts w:cs="Verdana"/>
                <w:position w:val="-1"/>
                <w:sz w:val="20"/>
                <w:szCs w:val="20"/>
              </w:rPr>
              <w:t>a</w:t>
            </w:r>
            <w:r w:rsidRPr="00537112">
              <w:rPr>
                <w:rFonts w:cs="Verdana"/>
                <w:spacing w:val="-1"/>
                <w:position w:val="-1"/>
                <w:sz w:val="20"/>
                <w:szCs w:val="20"/>
              </w:rPr>
              <w:t>e</w:t>
            </w:r>
            <w:r w:rsidRPr="00537112">
              <w:rPr>
                <w:rFonts w:cs="Verdana"/>
                <w:position w:val="-1"/>
                <w:sz w:val="20"/>
                <w:szCs w:val="20"/>
              </w:rPr>
              <w:t>l</w:t>
            </w:r>
            <w:r w:rsidRPr="00537112">
              <w:rPr>
                <w:rFonts w:cs="Verdana"/>
                <w:spacing w:val="-3"/>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é</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64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s</w:t>
            </w:r>
            <w:r w:rsidRPr="00537112">
              <w:rPr>
                <w:rFonts w:cs="Verdana"/>
                <w:spacing w:val="3"/>
                <w:position w:val="-1"/>
                <w:sz w:val="20"/>
                <w:szCs w:val="20"/>
              </w:rPr>
              <w:t>i</w:t>
            </w:r>
            <w:r w:rsidRPr="00537112">
              <w:rPr>
                <w:rFonts w:cs="Verdana"/>
                <w:spacing w:val="-1"/>
                <w:position w:val="-1"/>
                <w:sz w:val="20"/>
                <w:szCs w:val="20"/>
              </w:rPr>
              <w:t>r</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65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Ma</w:t>
            </w:r>
            <w:r w:rsidRPr="00537112">
              <w:rPr>
                <w:rFonts w:cs="Verdana"/>
                <w:spacing w:val="1"/>
                <w:position w:val="-1"/>
                <w:sz w:val="20"/>
                <w:szCs w:val="20"/>
              </w:rPr>
              <w:t>gd</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66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67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or</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li</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33</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S</w:t>
            </w:r>
            <w:r w:rsidRPr="00537112">
              <w:rPr>
                <w:rFonts w:cs="Verdana"/>
                <w:sz w:val="20"/>
                <w:szCs w:val="20"/>
              </w:rPr>
              <w:t>a</w:t>
            </w:r>
            <w:r w:rsidRPr="00537112">
              <w:rPr>
                <w:rFonts w:cs="Verdana"/>
                <w:spacing w:val="1"/>
                <w:sz w:val="20"/>
                <w:szCs w:val="20"/>
              </w:rPr>
              <w:t>nt</w:t>
            </w:r>
            <w:r w:rsidRPr="00537112">
              <w:rPr>
                <w:rFonts w:cs="Verdana"/>
                <w:spacing w:val="3"/>
                <w:sz w:val="20"/>
                <w:szCs w:val="20"/>
              </w:rPr>
              <w:t>í</w:t>
            </w:r>
            <w:r w:rsidRPr="00537112">
              <w:rPr>
                <w:rFonts w:cs="Verdana"/>
                <w:sz w:val="20"/>
                <w:szCs w:val="20"/>
              </w:rPr>
              <w:t>a</w:t>
            </w:r>
            <w:r w:rsidRPr="00537112">
              <w:rPr>
                <w:rFonts w:cs="Verdana"/>
                <w:spacing w:val="1"/>
                <w:sz w:val="20"/>
                <w:szCs w:val="20"/>
              </w:rPr>
              <w:t>g</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68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69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il</w:t>
            </w:r>
            <w:r w:rsidRPr="00537112">
              <w:rPr>
                <w:rFonts w:cs="Verdana"/>
                <w:spacing w:val="1"/>
                <w:position w:val="-1"/>
                <w:sz w:val="20"/>
                <w:szCs w:val="20"/>
              </w:rPr>
              <w:t>d</w:t>
            </w:r>
            <w:r w:rsidRPr="00537112">
              <w:rPr>
                <w:rFonts w:cs="Verdana"/>
                <w:position w:val="-1"/>
                <w:sz w:val="20"/>
                <w:szCs w:val="20"/>
              </w:rPr>
              <w:t>e</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70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34</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Agu</w:t>
            </w:r>
            <w:r w:rsidRPr="00537112">
              <w:rPr>
                <w:rFonts w:cs="Verdana"/>
                <w:spacing w:val="-1"/>
                <w:sz w:val="20"/>
                <w:szCs w:val="20"/>
              </w:rPr>
              <w:t>s</w:t>
            </w:r>
            <w:r w:rsidRPr="00537112">
              <w:rPr>
                <w:rFonts w:cs="Verdana"/>
                <w:spacing w:val="1"/>
                <w:sz w:val="20"/>
                <w:szCs w:val="20"/>
              </w:rPr>
              <w:t>t</w:t>
            </w:r>
            <w:r w:rsidRPr="00537112">
              <w:rPr>
                <w:rFonts w:cs="Verdana"/>
                <w:spacing w:val="3"/>
                <w:sz w:val="20"/>
                <w:szCs w:val="20"/>
              </w:rPr>
              <w:t>í</w:t>
            </w:r>
            <w:r w:rsidRPr="00537112">
              <w:rPr>
                <w:rFonts w:cs="Verdana"/>
                <w:sz w:val="20"/>
                <w:szCs w:val="20"/>
              </w:rPr>
              <w:t>n</w:t>
            </w:r>
            <w:r w:rsidRPr="00537112">
              <w:rPr>
                <w:rFonts w:cs="Verdana"/>
                <w:spacing w:val="-8"/>
                <w:sz w:val="20"/>
                <w:szCs w:val="20"/>
              </w:rPr>
              <w:t xml:space="preserve"> </w:t>
            </w:r>
            <w:r w:rsidRPr="00537112">
              <w:rPr>
                <w:rFonts w:cs="Verdana"/>
                <w:spacing w:val="1"/>
                <w:sz w:val="20"/>
                <w:szCs w:val="20"/>
              </w:rPr>
              <w:t>Ju</w:t>
            </w:r>
            <w:r w:rsidRPr="00537112">
              <w:rPr>
                <w:rFonts w:cs="Verdana"/>
                <w:sz w:val="20"/>
                <w:szCs w:val="20"/>
              </w:rPr>
              <w:t>a</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2"/>
                <w:sz w:val="20"/>
                <w:szCs w:val="20"/>
              </w:rPr>
              <w:t>I</w:t>
            </w:r>
            <w:r w:rsidRPr="00537112">
              <w:rPr>
                <w:rFonts w:cs="Verdana"/>
                <w:sz w:val="20"/>
                <w:szCs w:val="20"/>
              </w:rPr>
              <w:t>x</w:t>
            </w:r>
            <w:r w:rsidRPr="00537112">
              <w:rPr>
                <w:rFonts w:cs="Verdana"/>
                <w:spacing w:val="1"/>
                <w:sz w:val="20"/>
                <w:szCs w:val="20"/>
              </w:rPr>
              <w:t>p</w:t>
            </w:r>
            <w:r w:rsidRPr="00537112">
              <w:rPr>
                <w:rFonts w:cs="Verdana"/>
                <w:sz w:val="20"/>
                <w:szCs w:val="20"/>
              </w:rPr>
              <w:t>a</w:t>
            </w:r>
            <w:r w:rsidRPr="00537112">
              <w:rPr>
                <w:rFonts w:cs="Verdana"/>
                <w:spacing w:val="1"/>
                <w:sz w:val="20"/>
                <w:szCs w:val="20"/>
              </w:rPr>
              <w:t>n</w:t>
            </w:r>
            <w:r w:rsidRPr="00537112">
              <w:rPr>
                <w:rFonts w:cs="Verdana"/>
                <w:spacing w:val="-1"/>
                <w:sz w:val="20"/>
                <w:szCs w:val="20"/>
              </w:rPr>
              <w:t>co</w:t>
            </w:r>
            <w:r w:rsidRPr="00537112">
              <w:rPr>
                <w:rFonts w:cs="Verdana"/>
                <w:sz w:val="20"/>
                <w:szCs w:val="20"/>
              </w:rPr>
              <w:t>c</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71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gu</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áz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72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án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73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Es</w:t>
            </w:r>
            <w:r w:rsidRPr="00537112">
              <w:rPr>
                <w:rFonts w:cs="Verdana"/>
                <w:spacing w:val="1"/>
                <w:position w:val="-1"/>
                <w:sz w:val="20"/>
                <w:szCs w:val="20"/>
              </w:rPr>
              <w:t>t</w:t>
            </w:r>
            <w:r w:rsidRPr="00537112">
              <w:rPr>
                <w:rFonts w:cs="Verdana"/>
                <w:spacing w:val="-1"/>
                <w:position w:val="-1"/>
                <w:sz w:val="20"/>
                <w:szCs w:val="20"/>
              </w:rPr>
              <w:t>ef</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74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75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35</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T</w:t>
            </w:r>
            <w:r w:rsidRPr="00537112">
              <w:rPr>
                <w:rFonts w:cs="Verdana"/>
                <w:spacing w:val="-1"/>
                <w:sz w:val="20"/>
                <w:szCs w:val="20"/>
              </w:rPr>
              <w:t>eo</w:t>
            </w:r>
            <w:r w:rsidRPr="00537112">
              <w:rPr>
                <w:rFonts w:cs="Verdana"/>
                <w:spacing w:val="1"/>
                <w:sz w:val="20"/>
                <w:szCs w:val="20"/>
              </w:rPr>
              <w:t>d</w:t>
            </w:r>
            <w:r w:rsidRPr="00537112">
              <w:rPr>
                <w:rFonts w:cs="Verdana"/>
                <w:spacing w:val="-1"/>
                <w:sz w:val="20"/>
                <w:szCs w:val="20"/>
              </w:rPr>
              <w:t>or</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á</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r w:rsidRPr="00537112">
              <w:rPr>
                <w:rFonts w:cs="Verdana"/>
                <w:spacing w:val="-9"/>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76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s</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77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r</w:t>
            </w:r>
            <w:r w:rsidRPr="00537112">
              <w:rPr>
                <w:rFonts w:cs="Verdana"/>
                <w:spacing w:val="1"/>
                <w:position w:val="-1"/>
                <w:sz w:val="20"/>
                <w:szCs w:val="20"/>
              </w:rPr>
              <w:t>m</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Y</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78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Es</w:t>
            </w:r>
            <w:r w:rsidRPr="00537112">
              <w:rPr>
                <w:rFonts w:cs="Verdana"/>
                <w:spacing w:val="1"/>
                <w:position w:val="-1"/>
                <w:sz w:val="20"/>
                <w:szCs w:val="20"/>
              </w:rPr>
              <w:t>th</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79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position w:val="-1"/>
                <w:sz w:val="20"/>
                <w:szCs w:val="20"/>
              </w:rPr>
              <w:t>v</w:t>
            </w:r>
            <w:r w:rsidRPr="00537112">
              <w:rPr>
                <w:rFonts w:cs="Verdana"/>
                <w:spacing w:val="3"/>
                <w:position w:val="-1"/>
                <w:sz w:val="20"/>
                <w:szCs w:val="20"/>
              </w:rPr>
              <w:t>i</w:t>
            </w:r>
            <w:r w:rsidRPr="00537112">
              <w:rPr>
                <w:rFonts w:cs="Verdana"/>
                <w:position w:val="-1"/>
                <w:sz w:val="20"/>
                <w:szCs w:val="20"/>
              </w:rPr>
              <w:t>n</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spacing w:val="3"/>
                <w:position w:val="-1"/>
                <w:sz w:val="20"/>
                <w:szCs w:val="20"/>
              </w:rPr>
              <w:t>i</w:t>
            </w:r>
            <w:r w:rsidRPr="00537112">
              <w:rPr>
                <w:rFonts w:cs="Verdana"/>
                <w:spacing w:val="-1"/>
                <w:position w:val="-1"/>
                <w:sz w:val="20"/>
                <w:szCs w:val="20"/>
              </w:rPr>
              <w:t>o</w:t>
            </w:r>
            <w:r w:rsidRPr="00537112">
              <w:rPr>
                <w:rFonts w:cs="Verdana"/>
                <w:position w:val="-1"/>
                <w:sz w:val="20"/>
                <w:szCs w:val="20"/>
              </w:rPr>
              <w:t>va</w:t>
            </w:r>
            <w:r w:rsidRPr="00537112">
              <w:rPr>
                <w:rFonts w:cs="Verdana"/>
                <w:spacing w:val="1"/>
                <w:position w:val="-1"/>
                <w:sz w:val="20"/>
                <w:szCs w:val="20"/>
              </w:rPr>
              <w:t>n</w:t>
            </w:r>
            <w:r w:rsidRPr="00537112">
              <w:rPr>
                <w:rFonts w:cs="Verdana"/>
                <w:position w:val="-1"/>
                <w:sz w:val="20"/>
                <w:szCs w:val="20"/>
              </w:rPr>
              <w:t>y</w:t>
            </w:r>
            <w:r w:rsidRPr="00537112">
              <w:rPr>
                <w:rFonts w:cs="Verdana"/>
                <w:spacing w:val="-9"/>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36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E</w:t>
            </w:r>
            <w:r w:rsidRPr="00537112">
              <w:rPr>
                <w:rFonts w:cs="Verdana"/>
                <w:spacing w:val="1"/>
                <w:sz w:val="20"/>
                <w:szCs w:val="20"/>
              </w:rPr>
              <w:t>u</w:t>
            </w:r>
            <w:r w:rsidRPr="00537112">
              <w:rPr>
                <w:rFonts w:cs="Verdana"/>
                <w:spacing w:val="3"/>
                <w:sz w:val="20"/>
                <w:szCs w:val="20"/>
              </w:rPr>
              <w:t>l</w:t>
            </w:r>
            <w:r w:rsidRPr="00537112">
              <w:rPr>
                <w:rFonts w:cs="Verdana"/>
                <w:spacing w:val="-1"/>
                <w:sz w:val="20"/>
                <w:szCs w:val="20"/>
              </w:rPr>
              <w:t>o</w:t>
            </w:r>
            <w:r w:rsidRPr="00537112">
              <w:rPr>
                <w:rFonts w:cs="Verdana"/>
                <w:spacing w:val="1"/>
                <w:sz w:val="20"/>
                <w:szCs w:val="20"/>
              </w:rPr>
              <w:t>g</w:t>
            </w:r>
            <w:r w:rsidRPr="00537112">
              <w:rPr>
                <w:rFonts w:cs="Verdana"/>
                <w:spacing w:val="3"/>
                <w:sz w:val="20"/>
                <w:szCs w:val="20"/>
              </w:rPr>
              <w:t>i</w:t>
            </w:r>
            <w:r w:rsidRPr="00537112">
              <w:rPr>
                <w:rFonts w:cs="Verdana"/>
                <w:sz w:val="20"/>
                <w:szCs w:val="20"/>
              </w:rPr>
              <w:t>o</w:t>
            </w:r>
            <w:r w:rsidRPr="00537112">
              <w:rPr>
                <w:rFonts w:cs="Verdana"/>
                <w:spacing w:val="-9"/>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s</w:t>
            </w:r>
            <w:r w:rsidRPr="00537112">
              <w:rPr>
                <w:rFonts w:cs="Verdana"/>
                <w:spacing w:val="-9"/>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80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81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82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gu</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Ang</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83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u</w:t>
            </w:r>
            <w:r w:rsidRPr="00537112">
              <w:rPr>
                <w:rFonts w:cs="Verdana"/>
                <w:spacing w:val="-1"/>
                <w:position w:val="-1"/>
                <w:sz w:val="20"/>
                <w:szCs w:val="20"/>
              </w:rPr>
              <w:t>r</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84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1"/>
                <w:position w:val="-1"/>
                <w:sz w:val="20"/>
                <w:szCs w:val="20"/>
              </w:rPr>
              <w:t>o</w:t>
            </w:r>
            <w:r w:rsidRPr="00537112">
              <w:rPr>
                <w:rFonts w:cs="Verdana"/>
                <w:spacing w:val="1"/>
                <w:position w:val="-1"/>
                <w:sz w:val="20"/>
                <w:szCs w:val="20"/>
              </w:rPr>
              <w:t>d</w:t>
            </w:r>
            <w:r w:rsidRPr="00537112">
              <w:rPr>
                <w:rFonts w:cs="Verdana"/>
                <w:spacing w:val="-1"/>
                <w:position w:val="-1"/>
                <w:sz w:val="20"/>
                <w:szCs w:val="20"/>
              </w:rPr>
              <w:t>es</w:t>
            </w:r>
            <w:r w:rsidRPr="00537112">
              <w:rPr>
                <w:rFonts w:cs="Verdana"/>
                <w:spacing w:val="1"/>
                <w:position w:val="-1"/>
                <w:sz w:val="20"/>
                <w:szCs w:val="20"/>
              </w:rPr>
              <w:t>t</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4"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37</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4"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cs="Verdana"/>
                <w:sz w:val="20"/>
                <w:szCs w:val="20"/>
              </w:rPr>
            </w:pPr>
            <w:r w:rsidRPr="00537112">
              <w:rPr>
                <w:rFonts w:cs="Verdana"/>
                <w:spacing w:val="-1"/>
                <w:sz w:val="20"/>
                <w:szCs w:val="20"/>
              </w:rPr>
              <w:t>L</w:t>
            </w:r>
            <w:r w:rsidRPr="00537112">
              <w:rPr>
                <w:rFonts w:cs="Verdana"/>
                <w:spacing w:val="1"/>
                <w:sz w:val="20"/>
                <w:szCs w:val="20"/>
              </w:rPr>
              <w:t>u</w:t>
            </w:r>
            <w:r w:rsidRPr="00537112">
              <w:rPr>
                <w:rFonts w:cs="Verdana"/>
                <w:spacing w:val="-1"/>
                <w:sz w:val="20"/>
                <w:szCs w:val="20"/>
              </w:rPr>
              <w:t>c</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á</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r w:rsidRPr="00537112">
              <w:rPr>
                <w:rFonts w:cs="Verdana"/>
                <w:spacing w:val="-9"/>
                <w:sz w:val="20"/>
                <w:szCs w:val="20"/>
              </w:rPr>
              <w:t xml:space="preserve"> </w:t>
            </w:r>
            <w:r w:rsidRPr="00537112">
              <w:rPr>
                <w:rFonts w:cs="Verdana"/>
                <w:spacing w:val="1"/>
                <w:sz w:val="20"/>
                <w:szCs w:val="20"/>
              </w:rPr>
              <w:t>(</w:t>
            </w:r>
            <w:r w:rsidRPr="00537112">
              <w:rPr>
                <w:rFonts w:cs="Verdana"/>
                <w:sz w:val="20"/>
                <w:szCs w:val="20"/>
              </w:rPr>
              <w:t>o</w:t>
            </w:r>
            <w:r w:rsidRPr="00537112">
              <w:rPr>
                <w:rFonts w:cs="Verdana"/>
                <w:spacing w:val="-4"/>
                <w:sz w:val="20"/>
                <w:szCs w:val="20"/>
              </w:rPr>
              <w:t xml:space="preserve"> </w:t>
            </w:r>
            <w:r w:rsidRPr="00537112">
              <w:rPr>
                <w:rFonts w:cs="Verdana"/>
                <w:spacing w:val="-1"/>
                <w:sz w:val="20"/>
                <w:szCs w:val="20"/>
              </w:rPr>
              <w:t>L</w:t>
            </w:r>
            <w:r w:rsidRPr="00537112">
              <w:rPr>
                <w:rFonts w:cs="Verdana"/>
                <w:spacing w:val="1"/>
                <w:sz w:val="20"/>
                <w:szCs w:val="20"/>
              </w:rPr>
              <w:t>u</w:t>
            </w:r>
            <w:r w:rsidRPr="00537112">
              <w:rPr>
                <w:rFonts w:cs="Verdana"/>
                <w:spacing w:val="-1"/>
                <w:sz w:val="20"/>
                <w:szCs w:val="20"/>
              </w:rPr>
              <w:t>c</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p w:rsidR="00537112" w:rsidRPr="00537112" w:rsidRDefault="00537112" w:rsidP="00537112">
            <w:pPr>
              <w:autoSpaceDE w:val="0"/>
              <w:autoSpaceDN w:val="0"/>
              <w:spacing w:before="16" w:line="240" w:lineRule="auto"/>
              <w:ind w:right="-20"/>
              <w:jc w:val="left"/>
              <w:textAlignment w:val="auto"/>
              <w:rPr>
                <w:rFonts w:ascii="Times New Roman" w:hAnsi="Times New Roman"/>
              </w:rPr>
            </w:pPr>
            <w:r w:rsidRPr="00537112">
              <w:rPr>
                <w:rFonts w:cs="Verdana"/>
                <w:spacing w:val="1"/>
                <w:sz w:val="20"/>
                <w:szCs w:val="20"/>
              </w:rPr>
              <w:t>S</w:t>
            </w:r>
            <w:r w:rsidRPr="00537112">
              <w:rPr>
                <w:rFonts w:cs="Verdana"/>
                <w:spacing w:val="3"/>
                <w:sz w:val="20"/>
                <w:szCs w:val="20"/>
              </w:rPr>
              <w:t>i</w:t>
            </w:r>
            <w:r w:rsidRPr="00537112">
              <w:rPr>
                <w:rFonts w:cs="Verdana"/>
                <w:sz w:val="20"/>
                <w:szCs w:val="20"/>
              </w:rPr>
              <w:t>s</w:t>
            </w:r>
            <w:r w:rsidRPr="00537112">
              <w:rPr>
                <w:rFonts w:cs="Verdana"/>
                <w:spacing w:val="-4"/>
                <w:sz w:val="20"/>
                <w:szCs w:val="20"/>
              </w:rPr>
              <w:t xml:space="preserve"> </w:t>
            </w:r>
            <w:r w:rsidRPr="00537112">
              <w:rPr>
                <w:rFonts w:cs="Verdana"/>
                <w:sz w:val="20"/>
                <w:szCs w:val="20"/>
              </w:rPr>
              <w:t>o</w:t>
            </w:r>
            <w:r w:rsidRPr="00537112">
              <w:rPr>
                <w:rFonts w:cs="Verdana"/>
                <w:spacing w:val="-3"/>
                <w:sz w:val="20"/>
                <w:szCs w:val="20"/>
              </w:rPr>
              <w:t xml:space="preserve"> </w:t>
            </w:r>
            <w:r w:rsidRPr="00537112">
              <w:rPr>
                <w:rFonts w:cs="Verdana"/>
                <w:spacing w:val="-1"/>
                <w:sz w:val="20"/>
                <w:szCs w:val="20"/>
              </w:rPr>
              <w:t>L</w:t>
            </w:r>
            <w:r w:rsidRPr="00537112">
              <w:rPr>
                <w:rFonts w:cs="Verdana"/>
                <w:spacing w:val="1"/>
                <w:sz w:val="20"/>
                <w:szCs w:val="20"/>
              </w:rPr>
              <w:t>u</w:t>
            </w:r>
            <w:r w:rsidRPr="00537112">
              <w:rPr>
                <w:rFonts w:cs="Verdana"/>
                <w:spacing w:val="-1"/>
                <w:sz w:val="20"/>
                <w:szCs w:val="20"/>
              </w:rPr>
              <w:t>c</w:t>
            </w:r>
            <w:r w:rsidRPr="00537112">
              <w:rPr>
                <w:rFonts w:cs="Verdana"/>
                <w:spacing w:val="3"/>
                <w:sz w:val="20"/>
                <w:szCs w:val="20"/>
              </w:rPr>
              <w:t>i</w:t>
            </w:r>
            <w:r w:rsidRPr="00537112">
              <w:rPr>
                <w:rFonts w:cs="Verdana"/>
                <w:sz w:val="20"/>
                <w:szCs w:val="20"/>
              </w:rPr>
              <w:t>o</w:t>
            </w:r>
            <w:r w:rsidRPr="00537112">
              <w:rPr>
                <w:rFonts w:cs="Verdana"/>
                <w:spacing w:val="-7"/>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r w:rsidRPr="00537112">
              <w:rPr>
                <w:rFonts w:cs="Verdana"/>
                <w:spacing w:val="-9"/>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pacing w:val="-1"/>
                <w:sz w:val="20"/>
                <w:szCs w:val="20"/>
              </w:rPr>
              <w:t>s</w:t>
            </w:r>
            <w:r w:rsidRPr="00537112">
              <w:rPr>
                <w:rFonts w:cs="Verdana"/>
                <w:sz w:val="20"/>
                <w:szCs w:val="20"/>
              </w:rPr>
              <w:t>)</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85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c</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509"/>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1</w:t>
            </w:r>
            <w:r w:rsidRPr="00537112">
              <w:rPr>
                <w:rFonts w:cs="Verdana"/>
                <w:spacing w:val="1"/>
                <w:sz w:val="20"/>
                <w:szCs w:val="20"/>
              </w:rPr>
              <w:t>86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R</w:t>
            </w:r>
            <w:r w:rsidRPr="00537112">
              <w:rPr>
                <w:rFonts w:cs="Verdana"/>
                <w:sz w:val="20"/>
                <w:szCs w:val="20"/>
              </w:rPr>
              <w:t>ay</w:t>
            </w:r>
            <w:r w:rsidRPr="00537112">
              <w:rPr>
                <w:rFonts w:cs="Verdana"/>
                <w:spacing w:val="1"/>
                <w:sz w:val="20"/>
                <w:szCs w:val="20"/>
              </w:rPr>
              <w:t>mund</w:t>
            </w:r>
            <w:r w:rsidRPr="00537112">
              <w:rPr>
                <w:rFonts w:cs="Verdana"/>
                <w:sz w:val="20"/>
                <w:szCs w:val="20"/>
              </w:rPr>
              <w:t>a</w:t>
            </w:r>
            <w:r w:rsidRPr="00537112">
              <w:rPr>
                <w:rFonts w:cs="Verdana"/>
                <w:spacing w:val="-11"/>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s</w:t>
            </w:r>
            <w:r w:rsidRPr="00537112">
              <w:rPr>
                <w:rFonts w:cs="Verdana"/>
                <w:spacing w:val="-4"/>
                <w:sz w:val="20"/>
                <w:szCs w:val="20"/>
              </w:rPr>
              <w:t xml:space="preserve"> </w:t>
            </w:r>
            <w:r w:rsidRPr="00537112">
              <w:rPr>
                <w:rFonts w:cs="Verdana"/>
                <w:spacing w:val="1"/>
                <w:sz w:val="20"/>
                <w:szCs w:val="20"/>
              </w:rPr>
              <w:t>Ju</w:t>
            </w:r>
            <w:r w:rsidRPr="00537112">
              <w:rPr>
                <w:rFonts w:cs="Verdana"/>
                <w:sz w:val="20"/>
                <w:szCs w:val="20"/>
              </w:rPr>
              <w:t>a</w:t>
            </w:r>
            <w:r w:rsidRPr="00537112">
              <w:rPr>
                <w:rFonts w:cs="Verdana"/>
                <w:spacing w:val="-1"/>
                <w:sz w:val="20"/>
                <w:szCs w:val="20"/>
              </w:rPr>
              <w:t>re</w:t>
            </w:r>
            <w:r w:rsidRPr="00537112">
              <w:rPr>
                <w:rFonts w:cs="Verdana"/>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87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88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w:t>
            </w:r>
            <w:r w:rsidRPr="00537112">
              <w:rPr>
                <w:rFonts w:cs="Verdana"/>
                <w:spacing w:val="1"/>
                <w:position w:val="-1"/>
                <w:sz w:val="20"/>
                <w:szCs w:val="20"/>
              </w:rPr>
              <w:t>nj</w:t>
            </w:r>
            <w:r w:rsidRPr="00537112">
              <w:rPr>
                <w:rFonts w:cs="Verdana"/>
                <w:position w:val="-1"/>
                <w:sz w:val="20"/>
                <w:szCs w:val="20"/>
              </w:rPr>
              <w:t>a</w:t>
            </w:r>
            <w:r w:rsidRPr="00537112">
              <w:rPr>
                <w:rFonts w:cs="Verdana"/>
                <w:spacing w:val="1"/>
                <w:position w:val="-1"/>
                <w:sz w:val="20"/>
                <w:szCs w:val="20"/>
              </w:rPr>
              <w:t>m</w:t>
            </w:r>
            <w:r w:rsidRPr="00537112">
              <w:rPr>
                <w:rFonts w:cs="Verdana"/>
                <w:spacing w:val="3"/>
                <w:position w:val="-1"/>
                <w:sz w:val="20"/>
                <w:szCs w:val="20"/>
              </w:rPr>
              <w:t>i</w:t>
            </w:r>
            <w:r w:rsidRPr="00537112">
              <w:rPr>
                <w:rFonts w:cs="Verdana"/>
                <w:position w:val="-1"/>
                <w:sz w:val="20"/>
                <w:szCs w:val="20"/>
              </w:rPr>
              <w:t>n</w:t>
            </w:r>
            <w:r w:rsidRPr="00537112">
              <w:rPr>
                <w:rFonts w:cs="Verdana"/>
                <w:spacing w:val="-9"/>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89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t</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90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Ofe</w:t>
            </w:r>
            <w:r w:rsidRPr="00537112">
              <w:rPr>
                <w:rFonts w:cs="Verdana"/>
                <w:spacing w:val="3"/>
                <w:position w:val="-1"/>
                <w:sz w:val="20"/>
                <w:szCs w:val="20"/>
              </w:rPr>
              <w:t>li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d</w:t>
            </w:r>
            <w:r w:rsidRPr="00537112">
              <w:rPr>
                <w:rFonts w:cs="Verdana"/>
                <w:spacing w:val="-1"/>
                <w:position w:val="-1"/>
                <w:sz w:val="20"/>
                <w:szCs w:val="20"/>
              </w:rPr>
              <w:t>e</w:t>
            </w:r>
            <w:r w:rsidRPr="00537112">
              <w:rPr>
                <w:rFonts w:cs="Verdana"/>
                <w:position w:val="-1"/>
                <w:sz w:val="20"/>
                <w:szCs w:val="20"/>
              </w:rPr>
              <w:t>l</w:t>
            </w:r>
            <w:r w:rsidRPr="00537112">
              <w:rPr>
                <w:rFonts w:cs="Verdana"/>
                <w:spacing w:val="-1"/>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91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position w:val="-1"/>
                <w:sz w:val="20"/>
                <w:szCs w:val="20"/>
              </w:rPr>
              <w:t>Ca</w:t>
            </w:r>
            <w:r w:rsidRPr="00537112">
              <w:rPr>
                <w:rFonts w:cs="Verdana"/>
                <w:spacing w:val="-1"/>
                <w:position w:val="-1"/>
                <w:sz w:val="20"/>
                <w:szCs w:val="20"/>
              </w:rPr>
              <w:t>r</w:t>
            </w:r>
            <w:r w:rsidRPr="00537112">
              <w:rPr>
                <w:rFonts w:cs="Verdana"/>
                <w:spacing w:val="3"/>
                <w:position w:val="-1"/>
                <w:sz w:val="20"/>
                <w:szCs w:val="20"/>
              </w:rPr>
              <w:t>l</w:t>
            </w:r>
            <w:r w:rsidRPr="00537112">
              <w:rPr>
                <w:rFonts w:cs="Verdana"/>
                <w:spacing w:val="-1"/>
                <w:position w:val="-1"/>
                <w:sz w:val="20"/>
                <w:szCs w:val="20"/>
              </w:rPr>
              <w:t>o</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30" w:lineRule="exact"/>
              <w:jc w:val="left"/>
              <w:textAlignment w:val="auto"/>
              <w:rPr>
                <w:rFonts w:ascii="Times New Roman" w:hAnsi="Times New Roman"/>
                <w:sz w:val="13"/>
                <w:szCs w:val="13"/>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38</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30" w:lineRule="exact"/>
              <w:jc w:val="left"/>
              <w:textAlignment w:val="auto"/>
              <w:rPr>
                <w:rFonts w:ascii="Times New Roman" w:hAnsi="Times New Roman"/>
                <w:sz w:val="13"/>
                <w:szCs w:val="13"/>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Ap</w:t>
            </w:r>
            <w:r w:rsidRPr="00537112">
              <w:rPr>
                <w:rFonts w:cs="Verdana"/>
                <w:spacing w:val="-1"/>
                <w:sz w:val="20"/>
                <w:szCs w:val="20"/>
              </w:rPr>
              <w:t>o</w:t>
            </w:r>
            <w:r w:rsidRPr="00537112">
              <w:rPr>
                <w:rFonts w:cs="Verdana"/>
                <w:spacing w:val="3"/>
                <w:sz w:val="20"/>
                <w:szCs w:val="20"/>
              </w:rPr>
              <w:t>li</w:t>
            </w:r>
            <w:r w:rsidRPr="00537112">
              <w:rPr>
                <w:rFonts w:cs="Verdana"/>
                <w:spacing w:val="1"/>
                <w:sz w:val="20"/>
                <w:szCs w:val="20"/>
              </w:rPr>
              <w:t>n</w:t>
            </w:r>
            <w:r w:rsidRPr="00537112">
              <w:rPr>
                <w:rFonts w:cs="Verdana"/>
                <w:sz w:val="20"/>
                <w:szCs w:val="20"/>
              </w:rPr>
              <w:t>a</w:t>
            </w:r>
            <w:r w:rsidRPr="00537112">
              <w:rPr>
                <w:rFonts w:cs="Verdana"/>
                <w:spacing w:val="-1"/>
                <w:sz w:val="20"/>
                <w:szCs w:val="20"/>
              </w:rPr>
              <w:t>r</w:t>
            </w:r>
            <w:r w:rsidRPr="00537112">
              <w:rPr>
                <w:rFonts w:cs="Verdana"/>
                <w:spacing w:val="3"/>
                <w:sz w:val="20"/>
                <w:szCs w:val="20"/>
              </w:rPr>
              <w:t>i</w:t>
            </w:r>
            <w:r w:rsidRPr="00537112">
              <w:rPr>
                <w:rFonts w:cs="Verdana"/>
                <w:sz w:val="20"/>
                <w:szCs w:val="20"/>
              </w:rPr>
              <w:t>o</w:t>
            </w:r>
            <w:r w:rsidRPr="00537112">
              <w:rPr>
                <w:rFonts w:cs="Verdana"/>
                <w:spacing w:val="-12"/>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92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position w:val="-1"/>
                <w:sz w:val="20"/>
                <w:szCs w:val="20"/>
              </w:rPr>
              <w:t>o</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93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il</w:t>
            </w:r>
            <w:r w:rsidRPr="00537112">
              <w:rPr>
                <w:rFonts w:cs="Verdana"/>
                <w:spacing w:val="1"/>
                <w:position w:val="-1"/>
                <w:sz w:val="20"/>
                <w:szCs w:val="20"/>
              </w:rPr>
              <w:t>d</w:t>
            </w:r>
            <w:r w:rsidRPr="00537112">
              <w:rPr>
                <w:rFonts w:cs="Verdana"/>
                <w:position w:val="-1"/>
                <w:sz w:val="20"/>
                <w:szCs w:val="20"/>
              </w:rPr>
              <w:t>e</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position w:val="-1"/>
                <w:sz w:val="20"/>
                <w:szCs w:val="20"/>
              </w:rPr>
              <w:t>ó</w:t>
            </w:r>
          </w:p>
        </w:tc>
      </w:tr>
      <w:tr w:rsidR="00537112" w:rsidRPr="00537112" w:rsidTr="00630EEC">
        <w:trPr>
          <w:trHeight w:hRule="exact" w:val="319"/>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r w:rsidRPr="00537112">
              <w:rPr>
                <w:rFonts w:cs="Verdana"/>
                <w:sz w:val="20"/>
                <w:szCs w:val="20"/>
              </w:rPr>
              <w:t>1</w:t>
            </w:r>
            <w:r w:rsidRPr="00537112">
              <w:rPr>
                <w:rFonts w:cs="Verdana"/>
                <w:spacing w:val="1"/>
                <w:sz w:val="20"/>
                <w:szCs w:val="20"/>
              </w:rPr>
              <w:t>94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í</w:t>
            </w:r>
            <w:r w:rsidRPr="00537112">
              <w:rPr>
                <w:rFonts w:cs="Verdana"/>
                <w:sz w:val="20"/>
                <w:szCs w:val="20"/>
              </w:rPr>
              <w:t>a</w:t>
            </w:r>
            <w:r w:rsidRPr="00537112">
              <w:rPr>
                <w:rFonts w:cs="Verdana"/>
                <w:spacing w:val="-5"/>
                <w:sz w:val="20"/>
                <w:szCs w:val="20"/>
              </w:rPr>
              <w:t xml:space="preserve"> </w:t>
            </w:r>
            <w:r w:rsidRPr="00537112">
              <w:rPr>
                <w:rFonts w:cs="Verdana"/>
                <w:spacing w:val="-1"/>
                <w:sz w:val="20"/>
                <w:szCs w:val="20"/>
              </w:rPr>
              <w:t>Es</w:t>
            </w:r>
            <w:r w:rsidRPr="00537112">
              <w:rPr>
                <w:rFonts w:cs="Verdana"/>
                <w:spacing w:val="1"/>
                <w:sz w:val="20"/>
                <w:szCs w:val="20"/>
              </w:rPr>
              <w:t>t</w:t>
            </w:r>
            <w:r w:rsidRPr="00537112">
              <w:rPr>
                <w:rFonts w:cs="Verdana"/>
                <w:spacing w:val="-1"/>
                <w:sz w:val="20"/>
                <w:szCs w:val="20"/>
              </w:rPr>
              <w:t>e</w:t>
            </w:r>
            <w:r w:rsidRPr="00537112">
              <w:rPr>
                <w:rFonts w:cs="Verdana"/>
                <w:spacing w:val="3"/>
                <w:sz w:val="20"/>
                <w:szCs w:val="20"/>
              </w:rPr>
              <w:t>l</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z w:val="20"/>
                <w:szCs w:val="20"/>
              </w:rPr>
              <w:t>ó</w:t>
            </w:r>
          </w:p>
        </w:tc>
      </w:tr>
      <w:tr w:rsidR="00537112" w:rsidRPr="00537112" w:rsidTr="00630EEC">
        <w:trPr>
          <w:trHeight w:hRule="exact" w:val="538"/>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6" w:line="130" w:lineRule="exact"/>
              <w:jc w:val="left"/>
              <w:textAlignment w:val="auto"/>
              <w:rPr>
                <w:rFonts w:ascii="Times New Roman" w:hAnsi="Times New Roman"/>
                <w:sz w:val="13"/>
                <w:szCs w:val="13"/>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1</w:t>
            </w:r>
            <w:r w:rsidRPr="00537112">
              <w:rPr>
                <w:rFonts w:cs="Verdana"/>
                <w:spacing w:val="1"/>
                <w:sz w:val="20"/>
                <w:szCs w:val="20"/>
              </w:rPr>
              <w:t>95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6" w:line="130" w:lineRule="exact"/>
              <w:jc w:val="left"/>
              <w:textAlignment w:val="auto"/>
              <w:rPr>
                <w:rFonts w:ascii="Times New Roman" w:hAnsi="Times New Roman"/>
                <w:sz w:val="13"/>
                <w:szCs w:val="13"/>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Ca</w:t>
            </w:r>
            <w:r w:rsidRPr="00537112">
              <w:rPr>
                <w:rFonts w:cs="Verdana"/>
                <w:spacing w:val="-1"/>
                <w:sz w:val="20"/>
                <w:szCs w:val="20"/>
              </w:rPr>
              <w:t>r</w:t>
            </w:r>
            <w:r w:rsidRPr="00537112">
              <w:rPr>
                <w:rFonts w:cs="Verdana"/>
                <w:spacing w:val="3"/>
                <w:sz w:val="20"/>
                <w:szCs w:val="20"/>
              </w:rPr>
              <w:t>l</w:t>
            </w:r>
            <w:r w:rsidRPr="00537112">
              <w:rPr>
                <w:rFonts w:cs="Verdana"/>
                <w:spacing w:val="-1"/>
                <w:sz w:val="20"/>
                <w:szCs w:val="20"/>
              </w:rPr>
              <w:t>o</w:t>
            </w:r>
            <w:r w:rsidRPr="00537112">
              <w:rPr>
                <w:rFonts w:cs="Verdana"/>
                <w:sz w:val="20"/>
                <w:szCs w:val="20"/>
              </w:rPr>
              <w:t>s</w:t>
            </w:r>
            <w:r w:rsidRPr="00537112">
              <w:rPr>
                <w:rFonts w:cs="Verdana"/>
                <w:spacing w:val="-7"/>
                <w:sz w:val="20"/>
                <w:szCs w:val="20"/>
              </w:rPr>
              <w:t xml:space="preserve"> </w:t>
            </w:r>
            <w:r w:rsidRPr="00537112">
              <w:rPr>
                <w:rFonts w:cs="Verdana"/>
                <w:spacing w:val="1"/>
                <w:sz w:val="20"/>
                <w:szCs w:val="20"/>
              </w:rPr>
              <w:t>R</w:t>
            </w:r>
            <w:r w:rsidRPr="00537112">
              <w:rPr>
                <w:rFonts w:cs="Verdana"/>
                <w:spacing w:val="-1"/>
                <w:sz w:val="20"/>
                <w:szCs w:val="20"/>
              </w:rPr>
              <w:t>e</w:t>
            </w:r>
            <w:r w:rsidRPr="00537112">
              <w:rPr>
                <w:rFonts w:cs="Verdana"/>
                <w:spacing w:val="1"/>
                <w:sz w:val="20"/>
                <w:szCs w:val="20"/>
              </w:rPr>
              <w:t>n</w:t>
            </w:r>
            <w:r w:rsidRPr="00537112">
              <w:rPr>
                <w:rFonts w:cs="Verdana"/>
                <w:sz w:val="20"/>
                <w:szCs w:val="20"/>
              </w:rPr>
              <w:t>é</w:t>
            </w:r>
            <w:r w:rsidRPr="00537112">
              <w:rPr>
                <w:rFonts w:cs="Verdana"/>
                <w:spacing w:val="-7"/>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z w:val="20"/>
                <w:szCs w:val="20"/>
              </w:rPr>
              <w:t>ó</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pgSz w:w="12260" w:h="15840"/>
          <w:pgMar w:top="760" w:right="900" w:bottom="280" w:left="900" w:header="493" w:footer="0" w:gutter="0"/>
          <w:cols w:space="720"/>
          <w:noEndnote/>
        </w:sectPr>
      </w:pPr>
    </w:p>
    <w:p w:rsidR="00537112" w:rsidRPr="00537112" w:rsidRDefault="00537112" w:rsidP="00537112">
      <w:pPr>
        <w:autoSpaceDE w:val="0"/>
        <w:autoSpaceDN w:val="0"/>
        <w:spacing w:before="16" w:line="280" w:lineRule="exact"/>
        <w:jc w:val="left"/>
        <w:textAlignment w:val="auto"/>
        <w:rPr>
          <w:rFonts w:ascii="Times New Roman" w:hAnsi="Times New Roman"/>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772"/>
        <w:gridCol w:w="4496"/>
      </w:tblGrid>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39</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A</w:t>
            </w:r>
            <w:r w:rsidRPr="00537112">
              <w:rPr>
                <w:rFonts w:cs="Verdana"/>
                <w:spacing w:val="3"/>
                <w:sz w:val="20"/>
                <w:szCs w:val="20"/>
              </w:rPr>
              <w:t>l</w:t>
            </w:r>
            <w:r w:rsidRPr="00537112">
              <w:rPr>
                <w:rFonts w:cs="Verdana"/>
                <w:spacing w:val="1"/>
                <w:sz w:val="20"/>
                <w:szCs w:val="20"/>
              </w:rPr>
              <w:t>b</w:t>
            </w:r>
            <w:r w:rsidRPr="00537112">
              <w:rPr>
                <w:rFonts w:cs="Verdana"/>
                <w:spacing w:val="-1"/>
                <w:sz w:val="20"/>
                <w:szCs w:val="20"/>
              </w:rPr>
              <w:t>er</w:t>
            </w:r>
            <w:r w:rsidRPr="00537112">
              <w:rPr>
                <w:rFonts w:cs="Verdana"/>
                <w:spacing w:val="1"/>
                <w:sz w:val="20"/>
                <w:szCs w:val="20"/>
              </w:rPr>
              <w:t>t</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Ju</w:t>
            </w:r>
            <w:r w:rsidRPr="00537112">
              <w:rPr>
                <w:rFonts w:cs="Verdana"/>
                <w:sz w:val="20"/>
                <w:szCs w:val="20"/>
              </w:rPr>
              <w:t>a</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z w:val="20"/>
                <w:szCs w:val="20"/>
              </w:rPr>
              <w:t>P</w:t>
            </w:r>
            <w:r w:rsidRPr="00537112">
              <w:rPr>
                <w:rFonts w:cs="Verdana"/>
                <w:spacing w:val="-1"/>
                <w:sz w:val="20"/>
                <w:szCs w:val="20"/>
              </w:rPr>
              <w:t>ere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96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er</w:t>
            </w:r>
            <w:r w:rsidRPr="00537112">
              <w:rPr>
                <w:rFonts w:cs="Verdana"/>
                <w:spacing w:val="1"/>
                <w:position w:val="-1"/>
                <w:sz w:val="20"/>
                <w:szCs w:val="20"/>
              </w:rPr>
              <w:t>th</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í</w:t>
            </w:r>
            <w:r w:rsidRPr="00537112">
              <w:rPr>
                <w:rFonts w:cs="Verdana"/>
                <w:spacing w:val="1"/>
                <w:position w:val="-1"/>
                <w:sz w:val="20"/>
                <w:szCs w:val="20"/>
              </w:rPr>
              <w:t>n</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z</w:t>
            </w:r>
            <w:r w:rsidRPr="00537112">
              <w:rPr>
                <w:rFonts w:cs="Verdana"/>
                <w:position w:val="-1"/>
                <w:sz w:val="20"/>
                <w:szCs w:val="20"/>
              </w:rPr>
              <w:t>a</w:t>
            </w:r>
            <w:r w:rsidRPr="00537112">
              <w:rPr>
                <w:rFonts w:cs="Verdana"/>
                <w:spacing w:val="1"/>
                <w:position w:val="-1"/>
                <w:sz w:val="20"/>
                <w:szCs w:val="20"/>
              </w:rPr>
              <w:t>gu</w:t>
            </w:r>
            <w:r w:rsidRPr="00537112">
              <w:rPr>
                <w:rFonts w:cs="Verdana"/>
                <w:spacing w:val="3"/>
                <w:position w:val="-1"/>
                <w:sz w:val="20"/>
                <w:szCs w:val="20"/>
              </w:rPr>
              <w:t>i</w:t>
            </w:r>
            <w:r w:rsidRPr="00537112">
              <w:rPr>
                <w:rFonts w:cs="Verdana"/>
                <w:spacing w:val="-1"/>
                <w:position w:val="-1"/>
                <w:sz w:val="20"/>
                <w:szCs w:val="20"/>
              </w:rPr>
              <w:t>rre</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97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d</w:t>
            </w:r>
            <w:r w:rsidRPr="00537112">
              <w:rPr>
                <w:rFonts w:cs="Verdana"/>
                <w:position w:val="-1"/>
                <w:sz w:val="20"/>
                <w:szCs w:val="20"/>
              </w:rPr>
              <w:t>w</w:t>
            </w:r>
            <w:r w:rsidRPr="00537112">
              <w:rPr>
                <w:rFonts w:cs="Verdana"/>
                <w:spacing w:val="3"/>
                <w:position w:val="-1"/>
                <w:sz w:val="20"/>
                <w:szCs w:val="20"/>
              </w:rPr>
              <w:t>i</w:t>
            </w:r>
            <w:r w:rsidRPr="00537112">
              <w:rPr>
                <w:rFonts w:cs="Verdana"/>
                <w:position w:val="-1"/>
                <w:sz w:val="20"/>
                <w:szCs w:val="20"/>
              </w:rPr>
              <w:t>n</w:t>
            </w:r>
            <w:r w:rsidRPr="00537112">
              <w:rPr>
                <w:rFonts w:cs="Verdana"/>
                <w:spacing w:val="-6"/>
                <w:position w:val="-1"/>
                <w:sz w:val="20"/>
                <w:szCs w:val="20"/>
              </w:rPr>
              <w:t xml:space="preserve"> </w:t>
            </w:r>
            <w:r w:rsidRPr="00537112">
              <w:rPr>
                <w:rFonts w:cs="Verdana"/>
                <w:spacing w:val="-1"/>
                <w:position w:val="-1"/>
                <w:sz w:val="20"/>
                <w:szCs w:val="20"/>
              </w:rPr>
              <w:t>E</w:t>
            </w:r>
            <w:r w:rsidRPr="00537112">
              <w:rPr>
                <w:rFonts w:cs="Verdana"/>
                <w:spacing w:val="1"/>
                <w:position w:val="-1"/>
                <w:sz w:val="20"/>
                <w:szCs w:val="20"/>
              </w:rPr>
              <w:t>du</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98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g</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1</w:t>
            </w:r>
            <w:r w:rsidRPr="00537112">
              <w:rPr>
                <w:rFonts w:cs="Verdana"/>
                <w:spacing w:val="1"/>
                <w:position w:val="-1"/>
                <w:sz w:val="20"/>
                <w:szCs w:val="20"/>
              </w:rPr>
              <w:t>99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m</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Hor</w:t>
            </w:r>
            <w:r w:rsidRPr="00537112">
              <w:rPr>
                <w:rFonts w:cs="Verdana"/>
                <w:spacing w:val="1"/>
                <w:position w:val="-1"/>
                <w:sz w:val="20"/>
                <w:szCs w:val="20"/>
              </w:rPr>
              <w:t>t</w:t>
            </w: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00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ose</w:t>
            </w:r>
            <w:r w:rsidRPr="00537112">
              <w:rPr>
                <w:rFonts w:cs="Verdana"/>
                <w:spacing w:val="3"/>
                <w:position w:val="-1"/>
                <w:sz w:val="20"/>
                <w:szCs w:val="20"/>
              </w:rPr>
              <w:t>li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í</w:t>
            </w:r>
            <w:r w:rsidRPr="00537112">
              <w:rPr>
                <w:rFonts w:cs="Verdana"/>
                <w:spacing w:val="1"/>
                <w:position w:val="-1"/>
                <w:sz w:val="20"/>
                <w:szCs w:val="20"/>
              </w:rPr>
              <w:t>n</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40</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0"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cs="Verdana"/>
                <w:sz w:val="20"/>
                <w:szCs w:val="20"/>
              </w:rPr>
            </w:pPr>
            <w:r w:rsidRPr="00537112">
              <w:rPr>
                <w:rFonts w:cs="Verdana"/>
                <w:spacing w:val="-1"/>
                <w:sz w:val="20"/>
                <w:szCs w:val="20"/>
              </w:rPr>
              <w:t>E</w:t>
            </w:r>
            <w:r w:rsidRPr="00537112">
              <w:rPr>
                <w:rFonts w:cs="Verdana"/>
                <w:sz w:val="20"/>
                <w:szCs w:val="20"/>
              </w:rPr>
              <w:t>va</w:t>
            </w:r>
            <w:r w:rsidRPr="00537112">
              <w:rPr>
                <w:rFonts w:cs="Verdana"/>
                <w:spacing w:val="-1"/>
                <w:sz w:val="20"/>
                <w:szCs w:val="20"/>
              </w:rPr>
              <w:t>r</w:t>
            </w:r>
            <w:r w:rsidRPr="00537112">
              <w:rPr>
                <w:rFonts w:cs="Verdana"/>
                <w:spacing w:val="3"/>
                <w:sz w:val="20"/>
                <w:szCs w:val="20"/>
              </w:rPr>
              <w:t>i</w:t>
            </w:r>
            <w:r w:rsidRPr="00537112">
              <w:rPr>
                <w:rFonts w:cs="Verdana"/>
                <w:spacing w:val="-1"/>
                <w:sz w:val="20"/>
                <w:szCs w:val="20"/>
              </w:rPr>
              <w:t>s</w:t>
            </w:r>
            <w:r w:rsidRPr="00537112">
              <w:rPr>
                <w:rFonts w:cs="Verdana"/>
                <w:spacing w:val="1"/>
                <w:sz w:val="20"/>
                <w:szCs w:val="20"/>
              </w:rPr>
              <w:t>t</w:t>
            </w:r>
            <w:r w:rsidRPr="00537112">
              <w:rPr>
                <w:rFonts w:cs="Verdana"/>
                <w:sz w:val="20"/>
                <w:szCs w:val="20"/>
              </w:rPr>
              <w:t>o</w:t>
            </w:r>
            <w:r w:rsidRPr="00537112">
              <w:rPr>
                <w:rFonts w:cs="Verdana"/>
                <w:spacing w:val="-10"/>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r w:rsidRPr="00537112">
              <w:rPr>
                <w:rFonts w:cs="Verdana"/>
                <w:spacing w:val="-6"/>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w:t>
            </w:r>
            <w:r w:rsidRPr="00537112">
              <w:rPr>
                <w:rFonts w:cs="Verdana"/>
                <w:sz w:val="20"/>
                <w:szCs w:val="20"/>
              </w:rPr>
              <w:t>o</w:t>
            </w:r>
            <w:r w:rsidRPr="00537112">
              <w:rPr>
                <w:rFonts w:cs="Verdana"/>
                <w:spacing w:val="-4"/>
                <w:sz w:val="20"/>
                <w:szCs w:val="20"/>
              </w:rPr>
              <w:t xml:space="preserve"> </w:t>
            </w:r>
            <w:r w:rsidRPr="00537112">
              <w:rPr>
                <w:rFonts w:cs="Verdana"/>
                <w:spacing w:val="-1"/>
                <w:sz w:val="20"/>
                <w:szCs w:val="20"/>
              </w:rPr>
              <w:t>E</w:t>
            </w:r>
            <w:r w:rsidRPr="00537112">
              <w:rPr>
                <w:rFonts w:cs="Verdana"/>
                <w:sz w:val="20"/>
                <w:szCs w:val="20"/>
              </w:rPr>
              <w:t>va</w:t>
            </w:r>
            <w:r w:rsidRPr="00537112">
              <w:rPr>
                <w:rFonts w:cs="Verdana"/>
                <w:spacing w:val="-1"/>
                <w:sz w:val="20"/>
                <w:szCs w:val="20"/>
              </w:rPr>
              <w:t>r</w:t>
            </w:r>
            <w:r w:rsidRPr="00537112">
              <w:rPr>
                <w:rFonts w:cs="Verdana"/>
                <w:spacing w:val="3"/>
                <w:sz w:val="20"/>
                <w:szCs w:val="20"/>
              </w:rPr>
              <w:t>i</w:t>
            </w:r>
            <w:r w:rsidRPr="00537112">
              <w:rPr>
                <w:rFonts w:cs="Verdana"/>
                <w:spacing w:val="-1"/>
                <w:sz w:val="20"/>
                <w:szCs w:val="20"/>
              </w:rPr>
              <w:t>s</w:t>
            </w:r>
            <w:r w:rsidRPr="00537112">
              <w:rPr>
                <w:rFonts w:cs="Verdana"/>
                <w:spacing w:val="1"/>
                <w:sz w:val="20"/>
                <w:szCs w:val="20"/>
              </w:rPr>
              <w:t>t</w:t>
            </w:r>
            <w:r w:rsidRPr="00537112">
              <w:rPr>
                <w:rFonts w:cs="Verdana"/>
                <w:sz w:val="20"/>
                <w:szCs w:val="20"/>
              </w:rPr>
              <w:t>o</w:t>
            </w:r>
          </w:p>
          <w:p w:rsidR="00537112" w:rsidRPr="00537112" w:rsidRDefault="00537112" w:rsidP="00537112">
            <w:pPr>
              <w:autoSpaceDE w:val="0"/>
              <w:autoSpaceDN w:val="0"/>
              <w:spacing w:before="16" w:line="240" w:lineRule="auto"/>
              <w:ind w:right="-20"/>
              <w:jc w:val="left"/>
              <w:textAlignment w:val="auto"/>
              <w:rPr>
                <w:rFonts w:ascii="Times New Roman" w:hAnsi="Times New Roman"/>
              </w:rPr>
            </w:pPr>
            <w:r w:rsidRPr="00537112">
              <w:rPr>
                <w:rFonts w:cs="Verdana"/>
                <w:spacing w:val="1"/>
                <w:sz w:val="20"/>
                <w:szCs w:val="20"/>
              </w:rPr>
              <w:t>S</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a)</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01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02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gd</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o</w:t>
            </w:r>
            <w:r w:rsidRPr="00537112">
              <w:rPr>
                <w:rFonts w:cs="Verdana"/>
                <w:spacing w:val="-13"/>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03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ce</w:t>
            </w:r>
            <w:r w:rsidRPr="00537112">
              <w:rPr>
                <w:rFonts w:cs="Verdana"/>
                <w:spacing w:val="1"/>
                <w:position w:val="-1"/>
                <w:sz w:val="20"/>
                <w:szCs w:val="20"/>
              </w:rPr>
              <w:t>nt</w:t>
            </w:r>
            <w:r w:rsidRPr="00537112">
              <w:rPr>
                <w:rFonts w:cs="Verdana"/>
                <w:position w:val="-1"/>
                <w:sz w:val="20"/>
                <w:szCs w:val="20"/>
              </w:rPr>
              <w:t>e</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04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05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nd</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13"/>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06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41</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lang w:val="pt-BR"/>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lang w:val="pt-BR"/>
              </w:rPr>
            </w:pPr>
          </w:p>
          <w:p w:rsidR="00537112" w:rsidRPr="00537112" w:rsidRDefault="00537112" w:rsidP="00537112">
            <w:pPr>
              <w:autoSpaceDE w:val="0"/>
              <w:autoSpaceDN w:val="0"/>
              <w:spacing w:line="240" w:lineRule="auto"/>
              <w:ind w:right="-20"/>
              <w:jc w:val="left"/>
              <w:textAlignment w:val="auto"/>
              <w:rPr>
                <w:rFonts w:ascii="Times New Roman" w:hAnsi="Times New Roman"/>
                <w:lang w:val="pt-BR"/>
              </w:rPr>
            </w:pPr>
            <w:r w:rsidRPr="00537112">
              <w:rPr>
                <w:rFonts w:cs="Verdana"/>
                <w:sz w:val="20"/>
                <w:szCs w:val="20"/>
                <w:lang w:val="pt-BR"/>
              </w:rPr>
              <w:t>P</w:t>
            </w:r>
            <w:r w:rsidRPr="00537112">
              <w:rPr>
                <w:rFonts w:cs="Verdana"/>
                <w:spacing w:val="-1"/>
                <w:sz w:val="20"/>
                <w:szCs w:val="20"/>
                <w:lang w:val="pt-BR"/>
              </w:rPr>
              <w:t>e</w:t>
            </w:r>
            <w:r w:rsidRPr="00537112">
              <w:rPr>
                <w:rFonts w:cs="Verdana"/>
                <w:spacing w:val="1"/>
                <w:sz w:val="20"/>
                <w:szCs w:val="20"/>
                <w:lang w:val="pt-BR"/>
              </w:rPr>
              <w:t>d</w:t>
            </w:r>
            <w:r w:rsidRPr="00537112">
              <w:rPr>
                <w:rFonts w:cs="Verdana"/>
                <w:spacing w:val="-1"/>
                <w:sz w:val="20"/>
                <w:szCs w:val="20"/>
                <w:lang w:val="pt-BR"/>
              </w:rPr>
              <w:t>r</w:t>
            </w:r>
            <w:r w:rsidRPr="00537112">
              <w:rPr>
                <w:rFonts w:cs="Verdana"/>
                <w:sz w:val="20"/>
                <w:szCs w:val="20"/>
                <w:lang w:val="pt-BR"/>
              </w:rPr>
              <w:t>o</w:t>
            </w:r>
            <w:r w:rsidRPr="00537112">
              <w:rPr>
                <w:rFonts w:cs="Verdana"/>
                <w:spacing w:val="-8"/>
                <w:sz w:val="20"/>
                <w:szCs w:val="20"/>
                <w:lang w:val="pt-BR"/>
              </w:rPr>
              <w:t xml:space="preserve"> </w:t>
            </w:r>
            <w:r w:rsidRPr="00537112">
              <w:rPr>
                <w:rFonts w:cs="Verdana"/>
                <w:sz w:val="20"/>
                <w:szCs w:val="20"/>
                <w:lang w:val="pt-BR"/>
              </w:rPr>
              <w:t>T</w:t>
            </w:r>
            <w:r w:rsidRPr="00537112">
              <w:rPr>
                <w:rFonts w:cs="Verdana"/>
                <w:spacing w:val="1"/>
                <w:sz w:val="20"/>
                <w:szCs w:val="20"/>
                <w:lang w:val="pt-BR"/>
              </w:rPr>
              <w:t>u</w:t>
            </w:r>
            <w:r w:rsidRPr="00537112">
              <w:rPr>
                <w:rFonts w:cs="Verdana"/>
                <w:sz w:val="20"/>
                <w:szCs w:val="20"/>
                <w:lang w:val="pt-BR"/>
              </w:rPr>
              <w:t>m</w:t>
            </w:r>
            <w:r w:rsidRPr="00537112">
              <w:rPr>
                <w:rFonts w:cs="Verdana"/>
                <w:spacing w:val="-4"/>
                <w:sz w:val="20"/>
                <w:szCs w:val="20"/>
                <w:lang w:val="pt-BR"/>
              </w:rPr>
              <w:t xml:space="preserve"> </w:t>
            </w:r>
            <w:r w:rsidRPr="00537112">
              <w:rPr>
                <w:rFonts w:cs="Verdana"/>
                <w:spacing w:val="1"/>
                <w:sz w:val="20"/>
                <w:szCs w:val="20"/>
                <w:lang w:val="pt-BR"/>
              </w:rPr>
              <w:t>(</w:t>
            </w:r>
            <w:r w:rsidRPr="00537112">
              <w:rPr>
                <w:rFonts w:cs="Verdana"/>
                <w:sz w:val="20"/>
                <w:szCs w:val="20"/>
                <w:lang w:val="pt-BR"/>
              </w:rPr>
              <w:t>o</w:t>
            </w:r>
            <w:r w:rsidRPr="00537112">
              <w:rPr>
                <w:rFonts w:cs="Verdana"/>
                <w:spacing w:val="-4"/>
                <w:sz w:val="20"/>
                <w:szCs w:val="20"/>
                <w:lang w:val="pt-BR"/>
              </w:rPr>
              <w:t xml:space="preserve"> </w:t>
            </w:r>
            <w:r w:rsidRPr="00537112">
              <w:rPr>
                <w:rFonts w:cs="Verdana"/>
                <w:sz w:val="20"/>
                <w:szCs w:val="20"/>
                <w:lang w:val="pt-BR"/>
              </w:rPr>
              <w:t>P</w:t>
            </w:r>
            <w:r w:rsidRPr="00537112">
              <w:rPr>
                <w:rFonts w:cs="Verdana"/>
                <w:spacing w:val="-1"/>
                <w:sz w:val="20"/>
                <w:szCs w:val="20"/>
                <w:lang w:val="pt-BR"/>
              </w:rPr>
              <w:t>e</w:t>
            </w:r>
            <w:r w:rsidRPr="00537112">
              <w:rPr>
                <w:rFonts w:cs="Verdana"/>
                <w:spacing w:val="1"/>
                <w:sz w:val="20"/>
                <w:szCs w:val="20"/>
                <w:lang w:val="pt-BR"/>
              </w:rPr>
              <w:t>d</w:t>
            </w:r>
            <w:r w:rsidRPr="00537112">
              <w:rPr>
                <w:rFonts w:cs="Verdana"/>
                <w:spacing w:val="-1"/>
                <w:sz w:val="20"/>
                <w:szCs w:val="20"/>
                <w:lang w:val="pt-BR"/>
              </w:rPr>
              <w:t>r</w:t>
            </w:r>
            <w:r w:rsidRPr="00537112">
              <w:rPr>
                <w:rFonts w:cs="Verdana"/>
                <w:sz w:val="20"/>
                <w:szCs w:val="20"/>
                <w:lang w:val="pt-BR"/>
              </w:rPr>
              <w:t>o</w:t>
            </w:r>
            <w:r w:rsidRPr="00537112">
              <w:rPr>
                <w:rFonts w:cs="Verdana"/>
                <w:spacing w:val="-8"/>
                <w:sz w:val="20"/>
                <w:szCs w:val="20"/>
                <w:lang w:val="pt-BR"/>
              </w:rPr>
              <w:t xml:space="preserve"> </w:t>
            </w:r>
            <w:r w:rsidRPr="00537112">
              <w:rPr>
                <w:rFonts w:cs="Verdana"/>
                <w:sz w:val="20"/>
                <w:szCs w:val="20"/>
                <w:lang w:val="pt-BR"/>
              </w:rPr>
              <w:t>P</w:t>
            </w:r>
            <w:r w:rsidRPr="00537112">
              <w:rPr>
                <w:rFonts w:cs="Verdana"/>
                <w:spacing w:val="-1"/>
                <w:sz w:val="20"/>
                <w:szCs w:val="20"/>
                <w:lang w:val="pt-BR"/>
              </w:rPr>
              <w:t>ére</w:t>
            </w:r>
            <w:r w:rsidRPr="00537112">
              <w:rPr>
                <w:rFonts w:cs="Verdana"/>
                <w:sz w:val="20"/>
                <w:szCs w:val="20"/>
                <w:lang w:val="pt-BR"/>
              </w:rPr>
              <w:t>z</w:t>
            </w:r>
            <w:r w:rsidRPr="00537112">
              <w:rPr>
                <w:rFonts w:cs="Verdana"/>
                <w:spacing w:val="-5"/>
                <w:sz w:val="20"/>
                <w:szCs w:val="20"/>
                <w:lang w:val="pt-BR"/>
              </w:rPr>
              <w:t xml:space="preserve"> </w:t>
            </w:r>
            <w:r w:rsidRPr="00537112">
              <w:rPr>
                <w:rFonts w:cs="Verdana"/>
                <w:spacing w:val="1"/>
                <w:sz w:val="20"/>
                <w:szCs w:val="20"/>
                <w:lang w:val="pt-BR"/>
              </w:rPr>
              <w:t>Amp</w:t>
            </w:r>
            <w:r w:rsidRPr="00537112">
              <w:rPr>
                <w:rFonts w:cs="Verdana"/>
                <w:spacing w:val="-1"/>
                <w:sz w:val="20"/>
                <w:szCs w:val="20"/>
                <w:lang w:val="pt-BR"/>
              </w:rPr>
              <w:t>ére</w:t>
            </w:r>
            <w:r w:rsidRPr="00537112">
              <w:rPr>
                <w:rFonts w:cs="Verdana"/>
                <w:spacing w:val="1"/>
                <w:sz w:val="20"/>
                <w:szCs w:val="20"/>
                <w:lang w:val="pt-BR"/>
              </w:rPr>
              <w:t>z</w:t>
            </w:r>
            <w:r w:rsidRPr="00537112">
              <w:rPr>
                <w:rFonts w:cs="Verdana"/>
                <w:sz w:val="20"/>
                <w:szCs w:val="20"/>
                <w:lang w:val="pt-BR"/>
              </w:rPr>
              <w:t>)</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07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1"/>
                <w:position w:val="-1"/>
                <w:sz w:val="20"/>
                <w:szCs w:val="20"/>
              </w:rPr>
              <w:t>e</w:t>
            </w:r>
            <w:r w:rsidRPr="00537112">
              <w:rPr>
                <w:rFonts w:cs="Verdana"/>
                <w:position w:val="-1"/>
                <w:sz w:val="20"/>
                <w:szCs w:val="20"/>
              </w:rPr>
              <w:t>o</w:t>
            </w:r>
            <w:r w:rsidRPr="00537112">
              <w:rPr>
                <w:rFonts w:cs="Verdana"/>
                <w:spacing w:val="-8"/>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Ca</w:t>
            </w:r>
            <w:r w:rsidRPr="00537112">
              <w:rPr>
                <w:rFonts w:cs="Verdana"/>
                <w:spacing w:val="1"/>
                <w:position w:val="-1"/>
                <w:sz w:val="20"/>
                <w:szCs w:val="20"/>
              </w:rPr>
              <w:t>jb</w:t>
            </w:r>
            <w:r w:rsidRPr="00537112">
              <w:rPr>
                <w:rFonts w:cs="Verdana"/>
                <w:spacing w:val="-1"/>
                <w:position w:val="-1"/>
                <w:sz w:val="20"/>
                <w:szCs w:val="20"/>
              </w:rPr>
              <w:t>ón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08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Amp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09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Amp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10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spacing w:val="1"/>
                <w:position w:val="-1"/>
                <w:sz w:val="20"/>
                <w:szCs w:val="20"/>
              </w:rPr>
              <w:t>u</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up</w:t>
            </w:r>
            <w:r w:rsidRPr="00537112">
              <w:rPr>
                <w:rFonts w:cs="Verdana"/>
                <w:position w:val="-1"/>
                <w:sz w:val="20"/>
                <w:szCs w:val="20"/>
              </w:rPr>
              <w:t>e</w:t>
            </w:r>
            <w:r w:rsidRPr="00537112">
              <w:rPr>
                <w:rFonts w:cs="Verdana"/>
                <w:spacing w:val="-13"/>
                <w:position w:val="-1"/>
                <w:sz w:val="20"/>
                <w:szCs w:val="20"/>
              </w:rPr>
              <w:t xml:space="preserve"> </w:t>
            </w:r>
            <w:r w:rsidRPr="00537112">
              <w:rPr>
                <w:rFonts w:cs="Verdana"/>
                <w:spacing w:val="1"/>
                <w:position w:val="-1"/>
                <w:sz w:val="20"/>
                <w:szCs w:val="20"/>
              </w:rPr>
              <w:t>Amp</w:t>
            </w:r>
            <w:r w:rsidRPr="00537112">
              <w:rPr>
                <w:rFonts w:cs="Verdana"/>
                <w:spacing w:val="-1"/>
                <w:position w:val="-1"/>
                <w:sz w:val="20"/>
                <w:szCs w:val="20"/>
              </w:rPr>
              <w:t>ére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42</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E</w:t>
            </w:r>
            <w:r w:rsidRPr="00537112">
              <w:rPr>
                <w:rFonts w:cs="Verdana"/>
                <w:spacing w:val="1"/>
                <w:sz w:val="20"/>
                <w:szCs w:val="20"/>
              </w:rPr>
              <w:t>m</w:t>
            </w:r>
            <w:r w:rsidRPr="00537112">
              <w:rPr>
                <w:rFonts w:cs="Verdana"/>
                <w:spacing w:val="3"/>
                <w:sz w:val="20"/>
                <w:szCs w:val="20"/>
              </w:rPr>
              <w:t>i</w:t>
            </w:r>
            <w:r w:rsidRPr="00537112">
              <w:rPr>
                <w:rFonts w:cs="Verdana"/>
                <w:spacing w:val="1"/>
                <w:sz w:val="20"/>
                <w:szCs w:val="20"/>
              </w:rPr>
              <w:t>gd</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a</w:t>
            </w:r>
            <w:r w:rsidRPr="00537112">
              <w:rPr>
                <w:rFonts w:cs="Verdana"/>
                <w:spacing w:val="-6"/>
                <w:sz w:val="20"/>
                <w:szCs w:val="20"/>
              </w:rPr>
              <w:t xml:space="preserve"> </w:t>
            </w:r>
            <w:r w:rsidRPr="00537112">
              <w:rPr>
                <w:rFonts w:cs="Verdana"/>
                <w:spacing w:val="-2"/>
                <w:sz w:val="20"/>
                <w:szCs w:val="20"/>
              </w:rPr>
              <w:t>I</w:t>
            </w:r>
            <w:r w:rsidRPr="00537112">
              <w:rPr>
                <w:rFonts w:cs="Verdana"/>
                <w:sz w:val="20"/>
                <w:szCs w:val="20"/>
              </w:rPr>
              <w:t>x</w:t>
            </w:r>
            <w:r w:rsidRPr="00537112">
              <w:rPr>
                <w:rFonts w:cs="Verdana"/>
                <w:spacing w:val="1"/>
                <w:sz w:val="20"/>
                <w:szCs w:val="20"/>
              </w:rPr>
              <w:t>t</w:t>
            </w:r>
            <w:r w:rsidRPr="00537112">
              <w:rPr>
                <w:rFonts w:cs="Verdana"/>
                <w:spacing w:val="-1"/>
                <w:sz w:val="20"/>
                <w:szCs w:val="20"/>
              </w:rPr>
              <w:t>eco</w:t>
            </w:r>
            <w:r w:rsidRPr="00537112">
              <w:rPr>
                <w:rFonts w:cs="Verdana"/>
                <w:sz w:val="20"/>
                <w:szCs w:val="20"/>
              </w:rPr>
              <w:t>c</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11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position w:val="-1"/>
                <w:sz w:val="20"/>
                <w:szCs w:val="20"/>
              </w:rPr>
              <w:t>n</w:t>
            </w:r>
            <w:r w:rsidRPr="00537112">
              <w:rPr>
                <w:rFonts w:cs="Verdana"/>
                <w:spacing w:val="-8"/>
                <w:position w:val="-1"/>
                <w:sz w:val="20"/>
                <w:szCs w:val="20"/>
              </w:rPr>
              <w:t xml:space="preserve"> </w:t>
            </w:r>
            <w:r w:rsidRPr="00537112">
              <w:rPr>
                <w:rFonts w:cs="Verdana"/>
                <w:position w:val="-1"/>
                <w:sz w:val="20"/>
                <w:szCs w:val="20"/>
              </w:rPr>
              <w:t>P</w:t>
            </w:r>
            <w:r w:rsidRPr="00537112">
              <w:rPr>
                <w:rFonts w:cs="Verdana"/>
                <w:spacing w:val="3"/>
                <w:position w:val="-1"/>
                <w:sz w:val="20"/>
                <w:szCs w:val="20"/>
              </w:rPr>
              <w:t>i</w:t>
            </w:r>
            <w:r w:rsidRPr="00537112">
              <w:rPr>
                <w:rFonts w:cs="Verdana"/>
                <w:spacing w:val="-1"/>
                <w:position w:val="-1"/>
                <w:sz w:val="20"/>
                <w:szCs w:val="20"/>
              </w:rPr>
              <w:t>o</w:t>
            </w:r>
            <w:r w:rsidRPr="00537112">
              <w:rPr>
                <w:rFonts w:cs="Verdana"/>
                <w:position w:val="-1"/>
                <w:sz w:val="20"/>
                <w:szCs w:val="20"/>
              </w:rPr>
              <w:t>x</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12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3"/>
                <w:position w:val="-1"/>
                <w:sz w:val="20"/>
                <w:szCs w:val="20"/>
              </w:rPr>
              <w:t>i</w:t>
            </w:r>
            <w:r w:rsidRPr="00537112">
              <w:rPr>
                <w:rFonts w:cs="Verdana"/>
                <w:spacing w:val="-1"/>
                <w:position w:val="-1"/>
                <w:sz w:val="20"/>
                <w:szCs w:val="20"/>
              </w:rPr>
              <w:t>o</w:t>
            </w:r>
            <w:r w:rsidRPr="00537112">
              <w:rPr>
                <w:rFonts w:cs="Verdana"/>
                <w:position w:val="-1"/>
                <w:sz w:val="20"/>
                <w:szCs w:val="20"/>
              </w:rPr>
              <w:t>x</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13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Am</w:t>
            </w:r>
            <w:r w:rsidRPr="00537112">
              <w:rPr>
                <w:rFonts w:cs="Verdana"/>
                <w:position w:val="-1"/>
                <w:sz w:val="20"/>
                <w:szCs w:val="20"/>
              </w:rPr>
              <w:t>a</w:t>
            </w:r>
            <w:r w:rsidRPr="00537112">
              <w:rPr>
                <w:rFonts w:cs="Verdana"/>
                <w:spacing w:val="3"/>
                <w:position w:val="-1"/>
                <w:sz w:val="20"/>
                <w:szCs w:val="20"/>
              </w:rPr>
              <w:t>li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3"/>
                <w:position w:val="-1"/>
                <w:sz w:val="20"/>
                <w:szCs w:val="20"/>
              </w:rPr>
              <w:t>i</w:t>
            </w:r>
            <w:r w:rsidRPr="00537112">
              <w:rPr>
                <w:rFonts w:cs="Verdana"/>
                <w:spacing w:val="-1"/>
                <w:position w:val="-1"/>
                <w:sz w:val="20"/>
                <w:szCs w:val="20"/>
              </w:rPr>
              <w:t>o</w:t>
            </w:r>
            <w:r w:rsidRPr="00537112">
              <w:rPr>
                <w:rFonts w:cs="Verdana"/>
                <w:position w:val="-1"/>
                <w:sz w:val="20"/>
                <w:szCs w:val="20"/>
              </w:rPr>
              <w:t>x</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14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w:t>
            </w:r>
            <w:r w:rsidRPr="00537112">
              <w:rPr>
                <w:rFonts w:cs="Verdana"/>
                <w:spacing w:val="1"/>
                <w:position w:val="-1"/>
                <w:sz w:val="20"/>
                <w:szCs w:val="20"/>
              </w:rPr>
              <w:t>d</w:t>
            </w:r>
            <w:r w:rsidRPr="00537112">
              <w:rPr>
                <w:rFonts w:cs="Verdana"/>
                <w:spacing w:val="3"/>
                <w:position w:val="-1"/>
                <w:sz w:val="20"/>
                <w:szCs w:val="20"/>
              </w:rPr>
              <w:t>ili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Y</w:t>
            </w:r>
            <w:r w:rsidRPr="00537112">
              <w:rPr>
                <w:rFonts w:cs="Verdana"/>
                <w:spacing w:val="-1"/>
                <w:position w:val="-1"/>
                <w:sz w:val="20"/>
                <w:szCs w:val="20"/>
              </w:rPr>
              <w:t>esce</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3"/>
                <w:position w:val="-1"/>
                <w:sz w:val="20"/>
                <w:szCs w:val="20"/>
              </w:rPr>
              <w:t>i</w:t>
            </w:r>
            <w:r w:rsidRPr="00537112">
              <w:rPr>
                <w:rFonts w:cs="Verdana"/>
                <w:spacing w:val="-1"/>
                <w:position w:val="-1"/>
                <w:sz w:val="20"/>
                <w:szCs w:val="20"/>
              </w:rPr>
              <w:t>o</w:t>
            </w:r>
            <w:r w:rsidRPr="00537112">
              <w:rPr>
                <w:rFonts w:cs="Verdana"/>
                <w:position w:val="-1"/>
                <w:sz w:val="20"/>
                <w:szCs w:val="20"/>
              </w:rPr>
              <w:t>x</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15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w:t>
            </w:r>
            <w:r w:rsidRPr="00537112">
              <w:rPr>
                <w:rFonts w:cs="Verdana"/>
                <w:spacing w:val="1"/>
                <w:position w:val="-1"/>
                <w:sz w:val="20"/>
                <w:szCs w:val="20"/>
              </w:rPr>
              <w:t>ug</w:t>
            </w:r>
            <w:r w:rsidRPr="00537112">
              <w:rPr>
                <w:rFonts w:cs="Verdana"/>
                <w:position w:val="-1"/>
                <w:sz w:val="20"/>
                <w:szCs w:val="20"/>
              </w:rPr>
              <w:t>o</w:t>
            </w:r>
            <w:r w:rsidRPr="00537112">
              <w:rPr>
                <w:rFonts w:cs="Verdana"/>
                <w:spacing w:val="-7"/>
                <w:position w:val="-1"/>
                <w:sz w:val="20"/>
                <w:szCs w:val="20"/>
              </w:rPr>
              <w:t xml:space="preserve"> </w:t>
            </w:r>
            <w:r w:rsidRPr="00537112">
              <w:rPr>
                <w:rFonts w:cs="Verdana"/>
                <w:position w:val="-1"/>
                <w:sz w:val="20"/>
                <w:szCs w:val="20"/>
              </w:rPr>
              <w:t>Ba</w:t>
            </w:r>
            <w:r w:rsidRPr="00537112">
              <w:rPr>
                <w:rFonts w:cs="Verdana"/>
                <w:spacing w:val="3"/>
                <w:position w:val="-1"/>
                <w:sz w:val="20"/>
                <w:szCs w:val="20"/>
              </w:rPr>
              <w:t>l</w:t>
            </w:r>
            <w:r w:rsidRPr="00537112">
              <w:rPr>
                <w:rFonts w:cs="Verdana"/>
                <w:spacing w:val="1"/>
                <w:position w:val="-1"/>
                <w:sz w:val="20"/>
                <w:szCs w:val="20"/>
              </w:rPr>
              <w:t>d</w:t>
            </w:r>
            <w:r w:rsidRPr="00537112">
              <w:rPr>
                <w:rFonts w:cs="Verdana"/>
                <w:spacing w:val="-1"/>
                <w:position w:val="-1"/>
                <w:sz w:val="20"/>
                <w:szCs w:val="20"/>
              </w:rPr>
              <w:t>o</w:t>
            </w:r>
            <w:r w:rsidRPr="00537112">
              <w:rPr>
                <w:rFonts w:cs="Verdana"/>
                <w:spacing w:val="1"/>
                <w:position w:val="-1"/>
                <w:sz w:val="20"/>
                <w:szCs w:val="20"/>
              </w:rPr>
              <w:t>m</w:t>
            </w:r>
            <w:r w:rsidRPr="00537112">
              <w:rPr>
                <w:rFonts w:cs="Verdana"/>
                <w:spacing w:val="-1"/>
                <w:position w:val="-1"/>
                <w:sz w:val="20"/>
                <w:szCs w:val="20"/>
              </w:rPr>
              <w:t>er</w:t>
            </w:r>
            <w:r w:rsidRPr="00537112">
              <w:rPr>
                <w:rFonts w:cs="Verdana"/>
                <w:position w:val="-1"/>
                <w:sz w:val="20"/>
                <w:szCs w:val="20"/>
              </w:rPr>
              <w:t>o</w:t>
            </w:r>
            <w:r w:rsidRPr="00537112">
              <w:rPr>
                <w:rFonts w:cs="Verdana"/>
                <w:spacing w:val="-13"/>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3"/>
                <w:position w:val="-1"/>
                <w:sz w:val="20"/>
                <w:szCs w:val="20"/>
              </w:rPr>
              <w:t>i</w:t>
            </w:r>
            <w:r w:rsidRPr="00537112">
              <w:rPr>
                <w:rFonts w:cs="Verdana"/>
                <w:spacing w:val="-1"/>
                <w:position w:val="-1"/>
                <w:sz w:val="20"/>
                <w:szCs w:val="20"/>
              </w:rPr>
              <w:t>o</w:t>
            </w:r>
            <w:r w:rsidRPr="00537112">
              <w:rPr>
                <w:rFonts w:cs="Verdana"/>
                <w:position w:val="-1"/>
                <w:sz w:val="20"/>
                <w:szCs w:val="20"/>
              </w:rPr>
              <w:t>x</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16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Au</w:t>
            </w:r>
            <w:r w:rsidRPr="00537112">
              <w:rPr>
                <w:rFonts w:cs="Verdana"/>
                <w:spacing w:val="-1"/>
                <w:position w:val="-1"/>
                <w:sz w:val="20"/>
                <w:szCs w:val="20"/>
              </w:rPr>
              <w:t>r</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Es</w:t>
            </w:r>
            <w:r w:rsidRPr="00537112">
              <w:rPr>
                <w:rFonts w:cs="Verdana"/>
                <w:spacing w:val="1"/>
                <w:position w:val="-1"/>
                <w:sz w:val="20"/>
                <w:szCs w:val="20"/>
              </w:rPr>
              <w:t>t</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3"/>
                <w:position w:val="-1"/>
                <w:sz w:val="20"/>
                <w:szCs w:val="20"/>
              </w:rPr>
              <w:t>i</w:t>
            </w:r>
            <w:r w:rsidRPr="00537112">
              <w:rPr>
                <w:rFonts w:cs="Verdana"/>
                <w:spacing w:val="-1"/>
                <w:position w:val="-1"/>
                <w:sz w:val="20"/>
                <w:szCs w:val="20"/>
              </w:rPr>
              <w:t>o</w:t>
            </w:r>
            <w:r w:rsidRPr="00537112">
              <w:rPr>
                <w:rFonts w:cs="Verdana"/>
                <w:position w:val="-1"/>
                <w:sz w:val="20"/>
                <w:szCs w:val="20"/>
              </w:rPr>
              <w:t>x</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43</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P</w:t>
            </w:r>
            <w:r w:rsidRPr="00537112">
              <w:rPr>
                <w:rFonts w:cs="Verdana"/>
                <w:spacing w:val="-1"/>
                <w:sz w:val="20"/>
                <w:szCs w:val="20"/>
              </w:rPr>
              <w:t>e</w:t>
            </w:r>
            <w:r w:rsidRPr="00537112">
              <w:rPr>
                <w:rFonts w:cs="Verdana"/>
                <w:spacing w:val="1"/>
                <w:sz w:val="20"/>
                <w:szCs w:val="20"/>
              </w:rPr>
              <w:t>d</w:t>
            </w:r>
            <w:r w:rsidRPr="00537112">
              <w:rPr>
                <w:rFonts w:cs="Verdana"/>
                <w:spacing w:val="-1"/>
                <w:sz w:val="20"/>
                <w:szCs w:val="20"/>
              </w:rPr>
              <w:t>r</w:t>
            </w:r>
            <w:r w:rsidRPr="00537112">
              <w:rPr>
                <w:rFonts w:cs="Verdana"/>
                <w:sz w:val="20"/>
                <w:szCs w:val="20"/>
              </w:rPr>
              <w:t>o</w:t>
            </w:r>
            <w:r w:rsidRPr="00537112">
              <w:rPr>
                <w:rFonts w:cs="Verdana"/>
                <w:spacing w:val="-8"/>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Ló</w:t>
            </w:r>
            <w:r w:rsidRPr="00537112">
              <w:rPr>
                <w:rFonts w:cs="Verdana"/>
                <w:spacing w:val="1"/>
                <w:sz w:val="20"/>
                <w:szCs w:val="20"/>
              </w:rPr>
              <w:t>p</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17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r</w:t>
            </w:r>
            <w:r w:rsidRPr="00537112">
              <w:rPr>
                <w:rFonts w:cs="Verdana"/>
                <w:spacing w:val="1"/>
                <w:position w:val="-1"/>
                <w:sz w:val="20"/>
                <w:szCs w:val="20"/>
              </w:rPr>
              <w:t>un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18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19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44</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D</w:t>
            </w:r>
            <w:r w:rsidRPr="00537112">
              <w:rPr>
                <w:rFonts w:cs="Verdana"/>
                <w:spacing w:val="-1"/>
                <w:sz w:val="20"/>
                <w:szCs w:val="20"/>
              </w:rPr>
              <w:t>e</w:t>
            </w:r>
            <w:r w:rsidRPr="00537112">
              <w:rPr>
                <w:rFonts w:cs="Verdana"/>
                <w:spacing w:val="1"/>
                <w:sz w:val="20"/>
                <w:szCs w:val="20"/>
              </w:rPr>
              <w:t>m</w:t>
            </w:r>
            <w:r w:rsidRPr="00537112">
              <w:rPr>
                <w:rFonts w:cs="Verdana"/>
                <w:spacing w:val="-1"/>
                <w:sz w:val="20"/>
                <w:szCs w:val="20"/>
              </w:rPr>
              <w:t>e</w:t>
            </w:r>
            <w:r w:rsidRPr="00537112">
              <w:rPr>
                <w:rFonts w:cs="Verdana"/>
                <w:spacing w:val="1"/>
                <w:sz w:val="20"/>
                <w:szCs w:val="20"/>
              </w:rPr>
              <w:t>t</w:t>
            </w:r>
            <w:r w:rsidRPr="00537112">
              <w:rPr>
                <w:rFonts w:cs="Verdana"/>
                <w:spacing w:val="-1"/>
                <w:sz w:val="20"/>
                <w:szCs w:val="20"/>
              </w:rPr>
              <w:t>r</w:t>
            </w:r>
            <w:r w:rsidRPr="00537112">
              <w:rPr>
                <w:rFonts w:cs="Verdana"/>
                <w:spacing w:val="3"/>
                <w:sz w:val="20"/>
                <w:szCs w:val="20"/>
              </w:rPr>
              <w:t>i</w:t>
            </w:r>
            <w:r w:rsidRPr="00537112">
              <w:rPr>
                <w:rFonts w:cs="Verdana"/>
                <w:sz w:val="20"/>
                <w:szCs w:val="20"/>
              </w:rPr>
              <w:t>o</w:t>
            </w:r>
            <w:r w:rsidRPr="00537112">
              <w:rPr>
                <w:rFonts w:cs="Verdana"/>
                <w:spacing w:val="-11"/>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20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21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rco</w:t>
            </w:r>
            <w:r w:rsidRPr="00537112">
              <w:rPr>
                <w:rFonts w:cs="Verdana"/>
                <w:position w:val="-1"/>
                <w:sz w:val="20"/>
                <w:szCs w:val="20"/>
              </w:rPr>
              <w:t>s</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22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position w:val="-1"/>
                <w:sz w:val="20"/>
                <w:szCs w:val="20"/>
              </w:rPr>
              <w:t>ay</w:t>
            </w:r>
            <w:r w:rsidRPr="00537112">
              <w:rPr>
                <w:rFonts w:cs="Verdana"/>
                <w:spacing w:val="1"/>
                <w:position w:val="-1"/>
                <w:sz w:val="20"/>
                <w:szCs w:val="20"/>
              </w:rPr>
              <w:t>mund</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23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roco</w:t>
            </w:r>
            <w:r w:rsidRPr="00537112">
              <w:rPr>
                <w:rFonts w:cs="Verdana"/>
                <w:spacing w:val="1"/>
                <w:position w:val="-1"/>
                <w:sz w:val="20"/>
                <w:szCs w:val="20"/>
              </w:rPr>
              <w:t>p</w:t>
            </w:r>
            <w:r w:rsidRPr="00537112">
              <w:rPr>
                <w:rFonts w:cs="Verdana"/>
                <w:spacing w:val="3"/>
                <w:position w:val="-1"/>
                <w:sz w:val="20"/>
                <w:szCs w:val="20"/>
              </w:rPr>
              <w:t>i</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6" w:line="170" w:lineRule="exact"/>
              <w:jc w:val="left"/>
              <w:textAlignment w:val="auto"/>
              <w:rPr>
                <w:rFonts w:ascii="Times New Roman" w:hAnsi="Times New Roman"/>
                <w:sz w:val="17"/>
                <w:szCs w:val="17"/>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45</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6" w:line="170" w:lineRule="exact"/>
              <w:jc w:val="left"/>
              <w:textAlignment w:val="auto"/>
              <w:rPr>
                <w:rFonts w:ascii="Times New Roman" w:hAnsi="Times New Roman"/>
                <w:sz w:val="17"/>
                <w:szCs w:val="17"/>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P</w:t>
            </w:r>
            <w:r w:rsidRPr="00537112">
              <w:rPr>
                <w:rFonts w:cs="Verdana"/>
                <w:spacing w:val="-1"/>
                <w:sz w:val="20"/>
                <w:szCs w:val="20"/>
              </w:rPr>
              <w:t>e</w:t>
            </w:r>
            <w:r w:rsidRPr="00537112">
              <w:rPr>
                <w:rFonts w:cs="Verdana"/>
                <w:spacing w:val="1"/>
                <w:sz w:val="20"/>
                <w:szCs w:val="20"/>
              </w:rPr>
              <w:t>d</w:t>
            </w:r>
            <w:r w:rsidRPr="00537112">
              <w:rPr>
                <w:rFonts w:cs="Verdana"/>
                <w:spacing w:val="-1"/>
                <w:sz w:val="20"/>
                <w:szCs w:val="20"/>
              </w:rPr>
              <w:t>r</w:t>
            </w:r>
            <w:r w:rsidRPr="00537112">
              <w:rPr>
                <w:rFonts w:cs="Verdana"/>
                <w:sz w:val="20"/>
                <w:szCs w:val="20"/>
              </w:rPr>
              <w:t>o</w:t>
            </w:r>
            <w:r w:rsidRPr="00537112">
              <w:rPr>
                <w:rFonts w:cs="Verdana"/>
                <w:spacing w:val="-8"/>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24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position w:val="-1"/>
                <w:sz w:val="20"/>
                <w:szCs w:val="20"/>
              </w:rPr>
              <w:t>a</w:t>
            </w:r>
            <w:r w:rsidRPr="00537112">
              <w:rPr>
                <w:rFonts w:cs="Verdana"/>
                <w:spacing w:val="1"/>
                <w:position w:val="-1"/>
                <w:sz w:val="20"/>
                <w:szCs w:val="20"/>
              </w:rPr>
              <w:t>b</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509"/>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2</w:t>
            </w:r>
            <w:r w:rsidRPr="00537112">
              <w:rPr>
                <w:rFonts w:cs="Verdana"/>
                <w:spacing w:val="1"/>
                <w:sz w:val="20"/>
                <w:szCs w:val="20"/>
              </w:rPr>
              <w:t>25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1"/>
                <w:sz w:val="20"/>
                <w:szCs w:val="20"/>
              </w:rPr>
              <w:t>t</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E</w:t>
            </w:r>
            <w:r w:rsidRPr="00537112">
              <w:rPr>
                <w:rFonts w:cs="Verdana"/>
                <w:spacing w:val="3"/>
                <w:sz w:val="20"/>
                <w:szCs w:val="20"/>
              </w:rPr>
              <w:t>l</w:t>
            </w:r>
            <w:r w:rsidRPr="00537112">
              <w:rPr>
                <w:rFonts w:cs="Verdana"/>
                <w:spacing w:val="-1"/>
                <w:sz w:val="20"/>
                <w:szCs w:val="20"/>
              </w:rPr>
              <w:t>e</w:t>
            </w:r>
            <w:r w:rsidRPr="00537112">
              <w:rPr>
                <w:rFonts w:cs="Verdana"/>
                <w:spacing w:val="1"/>
                <w:sz w:val="20"/>
                <w:szCs w:val="20"/>
              </w:rPr>
              <w:t>n</w:t>
            </w:r>
            <w:r w:rsidRPr="00537112">
              <w:rPr>
                <w:rFonts w:cs="Verdana"/>
                <w:sz w:val="20"/>
                <w:szCs w:val="20"/>
              </w:rPr>
              <w:t>a</w:t>
            </w:r>
            <w:r w:rsidRPr="00537112">
              <w:rPr>
                <w:rFonts w:cs="Verdana"/>
                <w:spacing w:val="-5"/>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26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27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or</w:t>
            </w:r>
            <w:r w:rsidRPr="00537112">
              <w:rPr>
                <w:rFonts w:cs="Verdana"/>
                <w:spacing w:val="1"/>
                <w:position w:val="-1"/>
                <w:sz w:val="20"/>
                <w:szCs w:val="20"/>
              </w:rPr>
              <w:t>g</w:t>
            </w:r>
            <w:r w:rsidRPr="00537112">
              <w:rPr>
                <w:rFonts w:cs="Verdana"/>
                <w:position w:val="-1"/>
                <w:sz w:val="20"/>
                <w:szCs w:val="20"/>
              </w:rPr>
              <w:t>e</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28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29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30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3"/>
                <w:position w:val="-1"/>
                <w:sz w:val="20"/>
                <w:szCs w:val="20"/>
              </w:rPr>
              <w:t>i</w:t>
            </w:r>
            <w:r w:rsidRPr="00537112">
              <w:rPr>
                <w:rFonts w:cs="Verdana"/>
                <w:position w:val="-1"/>
                <w:sz w:val="20"/>
                <w:szCs w:val="20"/>
              </w:rPr>
              <w:t>s</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é</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31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46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Ca</w:t>
            </w:r>
            <w:r w:rsidRPr="00537112">
              <w:rPr>
                <w:rFonts w:cs="Verdana"/>
                <w:spacing w:val="1"/>
                <w:sz w:val="20"/>
                <w:szCs w:val="20"/>
              </w:rPr>
              <w:t>m</w:t>
            </w:r>
            <w:r w:rsidRPr="00537112">
              <w:rPr>
                <w:rFonts w:cs="Verdana"/>
                <w:spacing w:val="3"/>
                <w:sz w:val="20"/>
                <w:szCs w:val="20"/>
              </w:rPr>
              <w:t>il</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Ju</w:t>
            </w:r>
            <w:r w:rsidRPr="00537112">
              <w:rPr>
                <w:rFonts w:cs="Verdana"/>
                <w:sz w:val="20"/>
                <w:szCs w:val="20"/>
              </w:rPr>
              <w:t>a</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32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position w:val="-1"/>
                <w:sz w:val="20"/>
                <w:szCs w:val="20"/>
              </w:rPr>
              <w:t>as</w:t>
            </w:r>
            <w:r w:rsidRPr="00537112">
              <w:rPr>
                <w:rFonts w:cs="Verdana"/>
                <w:spacing w:val="-7"/>
                <w:position w:val="-1"/>
                <w:sz w:val="20"/>
                <w:szCs w:val="20"/>
              </w:rPr>
              <w:t xml:space="preserve"> </w:t>
            </w:r>
            <w:r w:rsidRPr="00537112">
              <w:rPr>
                <w:rFonts w:cs="Verdana"/>
                <w:position w:val="-1"/>
                <w:sz w:val="20"/>
                <w:szCs w:val="20"/>
              </w:rPr>
              <w:t>B</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t</w:t>
            </w:r>
            <w:r w:rsidRPr="00537112">
              <w:rPr>
                <w:rFonts w:cs="Verdana"/>
                <w:spacing w:val="-1"/>
                <w:position w:val="-1"/>
                <w:sz w:val="20"/>
                <w:szCs w:val="20"/>
              </w:rPr>
              <w:t>r</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33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1"/>
                <w:position w:val="-1"/>
                <w:sz w:val="20"/>
                <w:szCs w:val="20"/>
              </w:rPr>
              <w:t>e</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B</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t</w:t>
            </w:r>
            <w:r w:rsidRPr="00537112">
              <w:rPr>
                <w:rFonts w:cs="Verdana"/>
                <w:spacing w:val="-1"/>
                <w:position w:val="-1"/>
                <w:sz w:val="20"/>
                <w:szCs w:val="20"/>
              </w:rPr>
              <w:t>r</w:t>
            </w:r>
            <w:r w:rsidRPr="00537112">
              <w:rPr>
                <w:rFonts w:cs="Verdana"/>
                <w:position w:val="-1"/>
                <w:sz w:val="20"/>
                <w:szCs w:val="20"/>
              </w:rPr>
              <w:t>an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34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3"/>
                <w:position w:val="-1"/>
                <w:sz w:val="20"/>
                <w:szCs w:val="20"/>
              </w:rPr>
              <w:t>l</w:t>
            </w:r>
            <w:r w:rsidRPr="00537112">
              <w:rPr>
                <w:rFonts w:cs="Verdana"/>
                <w:position w:val="-1"/>
                <w:sz w:val="20"/>
                <w:szCs w:val="20"/>
              </w:rPr>
              <w:t>a</w:t>
            </w:r>
            <w:r w:rsidRPr="00537112">
              <w:rPr>
                <w:rFonts w:cs="Verdana"/>
                <w:spacing w:val="-2"/>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B</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t</w:t>
            </w:r>
            <w:r w:rsidRPr="00537112">
              <w:rPr>
                <w:rFonts w:cs="Verdana"/>
                <w:spacing w:val="-1"/>
                <w:position w:val="-1"/>
                <w:sz w:val="20"/>
                <w:szCs w:val="20"/>
              </w:rPr>
              <w:t>r</w:t>
            </w:r>
            <w:r w:rsidRPr="00537112">
              <w:rPr>
                <w:rFonts w:cs="Verdana"/>
                <w:position w:val="-1"/>
                <w:sz w:val="20"/>
                <w:szCs w:val="20"/>
              </w:rPr>
              <w:t>an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35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B</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t</w:t>
            </w:r>
            <w:r w:rsidRPr="00537112">
              <w:rPr>
                <w:rFonts w:cs="Verdana"/>
                <w:spacing w:val="-1"/>
                <w:position w:val="-1"/>
                <w:sz w:val="20"/>
                <w:szCs w:val="20"/>
              </w:rPr>
              <w:t>r</w:t>
            </w:r>
            <w:r w:rsidRPr="00537112">
              <w:rPr>
                <w:rFonts w:cs="Verdana"/>
                <w:position w:val="-1"/>
                <w:sz w:val="20"/>
                <w:szCs w:val="20"/>
              </w:rPr>
              <w:t>an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47</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Ju</w:t>
            </w:r>
            <w:r w:rsidRPr="00537112">
              <w:rPr>
                <w:rFonts w:cs="Verdana"/>
                <w:spacing w:val="3"/>
                <w:sz w:val="20"/>
                <w:szCs w:val="20"/>
              </w:rPr>
              <w:t>li</w:t>
            </w:r>
            <w:r w:rsidRPr="00537112">
              <w:rPr>
                <w:rFonts w:cs="Verdana"/>
                <w:sz w:val="20"/>
                <w:szCs w:val="20"/>
              </w:rPr>
              <w:t>án</w:t>
            </w:r>
            <w:r w:rsidRPr="00537112">
              <w:rPr>
                <w:rFonts w:cs="Verdana"/>
                <w:spacing w:val="-6"/>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g</w:t>
            </w:r>
            <w:r w:rsidRPr="00537112">
              <w:rPr>
                <w:rFonts w:cs="Verdana"/>
                <w:sz w:val="20"/>
                <w:szCs w:val="20"/>
              </w:rPr>
              <w:t>a</w:t>
            </w:r>
            <w:r w:rsidRPr="00537112">
              <w:rPr>
                <w:rFonts w:cs="Verdana"/>
                <w:spacing w:val="-8"/>
                <w:sz w:val="20"/>
                <w:szCs w:val="20"/>
              </w:rPr>
              <w:t xml:space="preserve"> </w:t>
            </w:r>
            <w:r w:rsidRPr="00537112">
              <w:rPr>
                <w:rFonts w:cs="Verdana"/>
                <w:spacing w:val="-1"/>
                <w:sz w:val="20"/>
                <w:szCs w:val="20"/>
              </w:rPr>
              <w:t>Ló</w:t>
            </w:r>
            <w:r w:rsidRPr="00537112">
              <w:rPr>
                <w:rFonts w:cs="Verdana"/>
                <w:spacing w:val="1"/>
                <w:sz w:val="20"/>
                <w:szCs w:val="20"/>
              </w:rPr>
              <w:t>p</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36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spacing w:val="3"/>
                <w:position w:val="-1"/>
                <w:sz w:val="20"/>
                <w:szCs w:val="20"/>
              </w:rPr>
              <w:t>li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37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g</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38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p</w:t>
            </w:r>
            <w:r w:rsidRPr="00537112">
              <w:rPr>
                <w:rFonts w:cs="Verdana"/>
                <w:position w:val="-1"/>
                <w:sz w:val="20"/>
                <w:szCs w:val="20"/>
              </w:rPr>
              <w:t>e</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g</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tá</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48</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B</w:t>
            </w:r>
            <w:r w:rsidRPr="00537112">
              <w:rPr>
                <w:rFonts w:cs="Verdana"/>
                <w:spacing w:val="-1"/>
                <w:sz w:val="20"/>
                <w:szCs w:val="20"/>
              </w:rPr>
              <w:t>e</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t</w:t>
            </w:r>
            <w:r w:rsidRPr="00537112">
              <w:rPr>
                <w:rFonts w:cs="Verdana"/>
                <w:sz w:val="20"/>
                <w:szCs w:val="20"/>
              </w:rPr>
              <w:t>o</w:t>
            </w:r>
            <w:r w:rsidRPr="00537112">
              <w:rPr>
                <w:rFonts w:cs="Verdana"/>
                <w:spacing w:val="-8"/>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2"/>
                <w:sz w:val="20"/>
                <w:szCs w:val="20"/>
              </w:rPr>
              <w:t>I</w:t>
            </w:r>
            <w:r w:rsidRPr="00537112">
              <w:rPr>
                <w:rFonts w:cs="Verdana"/>
                <w:sz w:val="20"/>
                <w:szCs w:val="20"/>
              </w:rPr>
              <w:t>x</w:t>
            </w:r>
            <w:r w:rsidRPr="00537112">
              <w:rPr>
                <w:rFonts w:cs="Verdana"/>
                <w:spacing w:val="1"/>
                <w:sz w:val="20"/>
                <w:szCs w:val="20"/>
              </w:rPr>
              <w:t>p</w:t>
            </w:r>
            <w:r w:rsidRPr="00537112">
              <w:rPr>
                <w:rFonts w:cs="Verdana"/>
                <w:sz w:val="20"/>
                <w:szCs w:val="20"/>
              </w:rPr>
              <w:t>a</w:t>
            </w:r>
            <w:r w:rsidRPr="00537112">
              <w:rPr>
                <w:rFonts w:cs="Verdana"/>
                <w:spacing w:val="1"/>
                <w:sz w:val="20"/>
                <w:szCs w:val="20"/>
              </w:rPr>
              <w:t>n</w:t>
            </w:r>
            <w:r w:rsidRPr="00537112">
              <w:rPr>
                <w:rFonts w:cs="Verdana"/>
                <w:spacing w:val="-1"/>
                <w:sz w:val="20"/>
                <w:szCs w:val="20"/>
              </w:rPr>
              <w:t>coc</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39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b</w:t>
            </w:r>
            <w:r w:rsidRPr="00537112">
              <w:rPr>
                <w:rFonts w:cs="Verdana"/>
                <w:spacing w:val="-1"/>
                <w:position w:val="-1"/>
                <w:sz w:val="20"/>
                <w:szCs w:val="20"/>
              </w:rPr>
              <w:t>oy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40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d</w:t>
            </w:r>
            <w:r w:rsidRPr="00537112">
              <w:rPr>
                <w:rFonts w:cs="Verdana"/>
                <w:spacing w:val="-1"/>
                <w:position w:val="-1"/>
                <w:sz w:val="20"/>
                <w:szCs w:val="20"/>
              </w:rPr>
              <w:t>e</w:t>
            </w:r>
            <w:r w:rsidRPr="00537112">
              <w:rPr>
                <w:rFonts w:cs="Verdana"/>
                <w:position w:val="-1"/>
                <w:sz w:val="20"/>
                <w:szCs w:val="20"/>
              </w:rPr>
              <w:t>l</w:t>
            </w:r>
            <w:r w:rsidRPr="00537112">
              <w:rPr>
                <w:rFonts w:cs="Verdana"/>
                <w:spacing w:val="-1"/>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41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Ub</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d</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42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43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w:t>
            </w:r>
            <w:r w:rsidRPr="00537112">
              <w:rPr>
                <w:rFonts w:cs="Verdana"/>
                <w:spacing w:val="3"/>
                <w:position w:val="-1"/>
                <w:sz w:val="20"/>
                <w:szCs w:val="20"/>
              </w:rPr>
              <w:t>il</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44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qu</w:t>
            </w:r>
            <w:r w:rsidRPr="00537112">
              <w:rPr>
                <w:rFonts w:cs="Verdana"/>
                <w:position w:val="-1"/>
                <w:sz w:val="20"/>
                <w:szCs w:val="20"/>
              </w:rPr>
              <w:t>e</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45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m</w:t>
            </w:r>
            <w:r w:rsidRPr="00537112">
              <w:rPr>
                <w:rFonts w:cs="Verdana"/>
                <w:spacing w:val="3"/>
                <w:position w:val="-1"/>
                <w:sz w:val="20"/>
                <w:szCs w:val="20"/>
              </w:rPr>
              <w:t>ili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49</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F</w:t>
            </w:r>
            <w:r w:rsidRPr="00537112">
              <w:rPr>
                <w:rFonts w:cs="Verdana"/>
                <w:spacing w:val="-1"/>
                <w:sz w:val="20"/>
                <w:szCs w:val="20"/>
              </w:rPr>
              <w:t>r</w:t>
            </w:r>
            <w:r w:rsidRPr="00537112">
              <w:rPr>
                <w:rFonts w:cs="Verdana"/>
                <w:sz w:val="20"/>
                <w:szCs w:val="20"/>
              </w:rPr>
              <w:t>a</w:t>
            </w:r>
            <w:r w:rsidRPr="00537112">
              <w:rPr>
                <w:rFonts w:cs="Verdana"/>
                <w:spacing w:val="1"/>
                <w:sz w:val="20"/>
                <w:szCs w:val="20"/>
              </w:rPr>
              <w:t>n</w:t>
            </w:r>
            <w:r w:rsidRPr="00537112">
              <w:rPr>
                <w:rFonts w:cs="Verdana"/>
                <w:spacing w:val="-1"/>
                <w:sz w:val="20"/>
                <w:szCs w:val="20"/>
              </w:rPr>
              <w:t>c</w:t>
            </w:r>
            <w:r w:rsidRPr="00537112">
              <w:rPr>
                <w:rFonts w:cs="Verdana"/>
                <w:spacing w:val="3"/>
                <w:sz w:val="20"/>
                <w:szCs w:val="20"/>
              </w:rPr>
              <w:t>i</w:t>
            </w:r>
            <w:r w:rsidRPr="00537112">
              <w:rPr>
                <w:rFonts w:cs="Verdana"/>
                <w:spacing w:val="-1"/>
                <w:sz w:val="20"/>
                <w:szCs w:val="20"/>
              </w:rPr>
              <w:t>sc</w:t>
            </w:r>
            <w:r w:rsidRPr="00537112">
              <w:rPr>
                <w:rFonts w:cs="Verdana"/>
                <w:sz w:val="20"/>
                <w:szCs w:val="20"/>
              </w:rPr>
              <w:t>o</w:t>
            </w:r>
            <w:r w:rsidRPr="00537112">
              <w:rPr>
                <w:rFonts w:cs="Verdana"/>
                <w:spacing w:val="-11"/>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46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il</w:t>
            </w:r>
            <w:r w:rsidRPr="00537112">
              <w:rPr>
                <w:rFonts w:cs="Verdana"/>
                <w:spacing w:val="1"/>
                <w:position w:val="-1"/>
                <w:sz w:val="20"/>
                <w:szCs w:val="20"/>
              </w:rPr>
              <w:t>d</w:t>
            </w:r>
            <w:r w:rsidRPr="00537112">
              <w:rPr>
                <w:rFonts w:cs="Verdana"/>
                <w:position w:val="-1"/>
                <w:sz w:val="20"/>
                <w:szCs w:val="20"/>
              </w:rPr>
              <w:t>e</w:t>
            </w:r>
            <w:r w:rsidRPr="00537112">
              <w:rPr>
                <w:rFonts w:cs="Verdana"/>
                <w:spacing w:val="-9"/>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47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Ba</w:t>
            </w:r>
            <w:r w:rsidRPr="00537112">
              <w:rPr>
                <w:rFonts w:cs="Verdana"/>
                <w:spacing w:val="3"/>
                <w:position w:val="-1"/>
                <w:sz w:val="20"/>
                <w:szCs w:val="20"/>
              </w:rPr>
              <w:t>l</w:t>
            </w:r>
            <w:r w:rsidRPr="00537112">
              <w:rPr>
                <w:rFonts w:cs="Verdana"/>
                <w:position w:val="-1"/>
                <w:sz w:val="20"/>
                <w:szCs w:val="20"/>
              </w:rPr>
              <w:t>v</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48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fo</w:t>
            </w:r>
            <w:r w:rsidRPr="00537112">
              <w:rPr>
                <w:rFonts w:cs="Verdana"/>
                <w:spacing w:val="1"/>
                <w:position w:val="-1"/>
                <w:sz w:val="20"/>
                <w:szCs w:val="20"/>
              </w:rPr>
              <w:t>nz</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49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f</w:t>
            </w:r>
            <w:r w:rsidRPr="00537112">
              <w:rPr>
                <w:rFonts w:cs="Verdana"/>
                <w:position w:val="-1"/>
                <w:sz w:val="20"/>
                <w:szCs w:val="20"/>
              </w:rPr>
              <w:t>a</w:t>
            </w:r>
            <w:r w:rsidRPr="00537112">
              <w:rPr>
                <w:rFonts w:cs="Verdana"/>
                <w:spacing w:val="-1"/>
                <w:position w:val="-1"/>
                <w:sz w:val="20"/>
                <w:szCs w:val="20"/>
              </w:rPr>
              <w:t>e</w:t>
            </w:r>
            <w:r w:rsidRPr="00537112">
              <w:rPr>
                <w:rFonts w:cs="Verdana"/>
                <w:position w:val="-1"/>
                <w:sz w:val="20"/>
                <w:szCs w:val="20"/>
              </w:rPr>
              <w:t>l</w:t>
            </w:r>
            <w:r w:rsidRPr="00537112">
              <w:rPr>
                <w:rFonts w:cs="Verdana"/>
                <w:spacing w:val="6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áz</w:t>
            </w:r>
            <w:r w:rsidRPr="00537112">
              <w:rPr>
                <w:rFonts w:cs="Verdana"/>
                <w:spacing w:val="-6"/>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pgSz w:w="12260" w:h="15840"/>
          <w:pgMar w:top="760" w:right="900" w:bottom="280" w:left="900" w:header="493" w:footer="0" w:gutter="0"/>
          <w:cols w:space="720"/>
          <w:noEndnote/>
        </w:sectPr>
      </w:pPr>
    </w:p>
    <w:p w:rsidR="00537112" w:rsidRPr="00537112" w:rsidRDefault="00537112" w:rsidP="00537112">
      <w:pPr>
        <w:autoSpaceDE w:val="0"/>
        <w:autoSpaceDN w:val="0"/>
        <w:spacing w:before="16" w:line="280" w:lineRule="exact"/>
        <w:jc w:val="left"/>
        <w:textAlignment w:val="auto"/>
        <w:rPr>
          <w:rFonts w:ascii="Times New Roman" w:hAnsi="Times New Roman"/>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772"/>
        <w:gridCol w:w="4496"/>
      </w:tblGrid>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50</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Max</w:t>
            </w:r>
            <w:r w:rsidRPr="00537112">
              <w:rPr>
                <w:rFonts w:cs="Verdana"/>
                <w:spacing w:val="3"/>
                <w:sz w:val="20"/>
                <w:szCs w:val="20"/>
              </w:rPr>
              <w:t>i</w:t>
            </w:r>
            <w:r w:rsidRPr="00537112">
              <w:rPr>
                <w:rFonts w:cs="Verdana"/>
                <w:spacing w:val="1"/>
                <w:sz w:val="20"/>
                <w:szCs w:val="20"/>
              </w:rPr>
              <w:t>m</w:t>
            </w:r>
            <w:r w:rsidRPr="00537112">
              <w:rPr>
                <w:rFonts w:cs="Verdana"/>
                <w:spacing w:val="3"/>
                <w:sz w:val="20"/>
                <w:szCs w:val="20"/>
              </w:rPr>
              <w:t>ili</w:t>
            </w:r>
            <w:r w:rsidRPr="00537112">
              <w:rPr>
                <w:rFonts w:cs="Verdana"/>
                <w:sz w:val="20"/>
                <w:szCs w:val="20"/>
              </w:rPr>
              <w:t>a</w:t>
            </w:r>
            <w:r w:rsidRPr="00537112">
              <w:rPr>
                <w:rFonts w:cs="Verdana"/>
                <w:spacing w:val="1"/>
                <w:sz w:val="20"/>
                <w:szCs w:val="20"/>
              </w:rPr>
              <w:t>n</w:t>
            </w:r>
            <w:r w:rsidRPr="00537112">
              <w:rPr>
                <w:rFonts w:cs="Verdana"/>
                <w:sz w:val="20"/>
                <w:szCs w:val="20"/>
              </w:rPr>
              <w:t>o</w:t>
            </w:r>
            <w:r w:rsidRPr="00537112">
              <w:rPr>
                <w:rFonts w:cs="Verdana"/>
                <w:spacing w:val="-14"/>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s</w:t>
            </w:r>
            <w:r w:rsidRPr="00537112">
              <w:rPr>
                <w:rFonts w:cs="Verdana"/>
                <w:spacing w:val="-4"/>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50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Ló</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51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s</w:t>
            </w:r>
            <w:r w:rsidRPr="00537112">
              <w:rPr>
                <w:rFonts w:cs="Verdana"/>
                <w:spacing w:val="-4"/>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52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or</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s</w:t>
            </w:r>
            <w:r w:rsidRPr="00537112">
              <w:rPr>
                <w:rFonts w:cs="Verdana"/>
                <w:spacing w:val="-4"/>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53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ud</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v</w:t>
            </w:r>
            <w:r w:rsidRPr="00537112">
              <w:rPr>
                <w:rFonts w:cs="Verdana"/>
                <w:spacing w:val="3"/>
                <w:position w:val="-1"/>
                <w:sz w:val="20"/>
                <w:szCs w:val="20"/>
              </w:rPr>
              <w:t>i</w:t>
            </w:r>
            <w:r w:rsidRPr="00537112">
              <w:rPr>
                <w:rFonts w:cs="Verdana"/>
                <w:spacing w:val="-1"/>
                <w:position w:val="-1"/>
                <w:sz w:val="20"/>
                <w:szCs w:val="20"/>
              </w:rPr>
              <w:t>r</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s</w:t>
            </w:r>
            <w:r w:rsidRPr="00537112">
              <w:rPr>
                <w:rFonts w:cs="Verdana"/>
                <w:spacing w:val="-4"/>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54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lang w:val="pt-BR"/>
              </w:rPr>
            </w:pPr>
            <w:r w:rsidRPr="00537112">
              <w:rPr>
                <w:rFonts w:cs="Verdana"/>
                <w:sz w:val="20"/>
                <w:szCs w:val="20"/>
                <w:lang w:val="pt-BR"/>
              </w:rPr>
              <w:t>W</w:t>
            </w:r>
            <w:r w:rsidRPr="00537112">
              <w:rPr>
                <w:rFonts w:cs="Verdana"/>
                <w:spacing w:val="3"/>
                <w:sz w:val="20"/>
                <w:szCs w:val="20"/>
                <w:lang w:val="pt-BR"/>
              </w:rPr>
              <w:t>il</w:t>
            </w:r>
            <w:r w:rsidRPr="00537112">
              <w:rPr>
                <w:rFonts w:cs="Verdana"/>
                <w:spacing w:val="1"/>
                <w:sz w:val="20"/>
                <w:szCs w:val="20"/>
                <w:lang w:val="pt-BR"/>
              </w:rPr>
              <w:t>m</w:t>
            </w:r>
            <w:r w:rsidRPr="00537112">
              <w:rPr>
                <w:rFonts w:cs="Verdana"/>
                <w:spacing w:val="-1"/>
                <w:sz w:val="20"/>
                <w:szCs w:val="20"/>
                <w:lang w:val="pt-BR"/>
              </w:rPr>
              <w:t>e</w:t>
            </w:r>
            <w:r w:rsidRPr="00537112">
              <w:rPr>
                <w:rFonts w:cs="Verdana"/>
                <w:sz w:val="20"/>
                <w:szCs w:val="20"/>
                <w:lang w:val="pt-BR"/>
              </w:rPr>
              <w:t>r</w:t>
            </w:r>
            <w:r w:rsidRPr="00537112">
              <w:rPr>
                <w:rFonts w:cs="Verdana"/>
                <w:spacing w:val="-9"/>
                <w:sz w:val="20"/>
                <w:szCs w:val="20"/>
                <w:lang w:val="pt-BR"/>
              </w:rPr>
              <w:t xml:space="preserve"> </w:t>
            </w:r>
            <w:r w:rsidRPr="00537112">
              <w:rPr>
                <w:rFonts w:cs="Verdana"/>
                <w:spacing w:val="1"/>
                <w:sz w:val="20"/>
                <w:szCs w:val="20"/>
                <w:lang w:val="pt-BR"/>
              </w:rPr>
              <w:t>(</w:t>
            </w:r>
            <w:r w:rsidRPr="00537112">
              <w:rPr>
                <w:rFonts w:cs="Verdana"/>
                <w:sz w:val="20"/>
                <w:szCs w:val="20"/>
                <w:lang w:val="pt-BR"/>
              </w:rPr>
              <w:t>o</w:t>
            </w:r>
            <w:r w:rsidRPr="00537112">
              <w:rPr>
                <w:rFonts w:cs="Verdana"/>
                <w:spacing w:val="-4"/>
                <w:sz w:val="20"/>
                <w:szCs w:val="20"/>
                <w:lang w:val="pt-BR"/>
              </w:rPr>
              <w:t xml:space="preserve"> </w:t>
            </w:r>
            <w:r w:rsidRPr="00537112">
              <w:rPr>
                <w:rFonts w:cs="Verdana"/>
                <w:sz w:val="20"/>
                <w:szCs w:val="20"/>
                <w:lang w:val="pt-BR"/>
              </w:rPr>
              <w:t>W</w:t>
            </w:r>
            <w:r w:rsidRPr="00537112">
              <w:rPr>
                <w:rFonts w:cs="Verdana"/>
                <w:spacing w:val="3"/>
                <w:sz w:val="20"/>
                <w:szCs w:val="20"/>
                <w:lang w:val="pt-BR"/>
              </w:rPr>
              <w:t>il</w:t>
            </w:r>
            <w:r w:rsidRPr="00537112">
              <w:rPr>
                <w:rFonts w:cs="Verdana"/>
                <w:spacing w:val="1"/>
                <w:sz w:val="20"/>
                <w:szCs w:val="20"/>
                <w:lang w:val="pt-BR"/>
              </w:rPr>
              <w:t>m</w:t>
            </w:r>
            <w:r w:rsidRPr="00537112">
              <w:rPr>
                <w:rFonts w:cs="Verdana"/>
                <w:spacing w:val="-1"/>
                <w:sz w:val="20"/>
                <w:szCs w:val="20"/>
                <w:lang w:val="pt-BR"/>
              </w:rPr>
              <w:t>e</w:t>
            </w:r>
            <w:r w:rsidRPr="00537112">
              <w:rPr>
                <w:rFonts w:cs="Verdana"/>
                <w:sz w:val="20"/>
                <w:szCs w:val="20"/>
                <w:lang w:val="pt-BR"/>
              </w:rPr>
              <w:t>r</w:t>
            </w:r>
            <w:r w:rsidRPr="00537112">
              <w:rPr>
                <w:rFonts w:cs="Verdana"/>
                <w:spacing w:val="-9"/>
                <w:sz w:val="20"/>
                <w:szCs w:val="20"/>
                <w:lang w:val="pt-BR"/>
              </w:rPr>
              <w:t xml:space="preserve"> </w:t>
            </w:r>
            <w:r w:rsidRPr="00537112">
              <w:rPr>
                <w:rFonts w:cs="Verdana"/>
                <w:spacing w:val="-1"/>
                <w:sz w:val="20"/>
                <w:szCs w:val="20"/>
                <w:lang w:val="pt-BR"/>
              </w:rPr>
              <w:t>E</w:t>
            </w:r>
            <w:r w:rsidRPr="00537112">
              <w:rPr>
                <w:rFonts w:cs="Verdana"/>
                <w:spacing w:val="3"/>
                <w:sz w:val="20"/>
                <w:szCs w:val="20"/>
                <w:lang w:val="pt-BR"/>
              </w:rPr>
              <w:t>li</w:t>
            </w:r>
            <w:r w:rsidRPr="00537112">
              <w:rPr>
                <w:rFonts w:cs="Verdana"/>
                <w:spacing w:val="-1"/>
                <w:sz w:val="20"/>
                <w:szCs w:val="20"/>
                <w:lang w:val="pt-BR"/>
              </w:rPr>
              <w:t>s</w:t>
            </w:r>
            <w:r w:rsidRPr="00537112">
              <w:rPr>
                <w:rFonts w:cs="Verdana"/>
                <w:sz w:val="20"/>
                <w:szCs w:val="20"/>
                <w:lang w:val="pt-BR"/>
              </w:rPr>
              <w:t>a</w:t>
            </w:r>
            <w:r w:rsidRPr="00537112">
              <w:rPr>
                <w:rFonts w:cs="Verdana"/>
                <w:spacing w:val="1"/>
                <w:sz w:val="20"/>
                <w:szCs w:val="20"/>
                <w:lang w:val="pt-BR"/>
              </w:rPr>
              <w:t>nd</w:t>
            </w:r>
            <w:r w:rsidRPr="00537112">
              <w:rPr>
                <w:rFonts w:cs="Verdana"/>
                <w:spacing w:val="-1"/>
                <w:sz w:val="20"/>
                <w:szCs w:val="20"/>
                <w:lang w:val="pt-BR"/>
              </w:rPr>
              <w:t>ro</w:t>
            </w:r>
            <w:r w:rsidRPr="00537112">
              <w:rPr>
                <w:rFonts w:cs="Verdana"/>
                <w:spacing w:val="1"/>
                <w:sz w:val="20"/>
                <w:szCs w:val="20"/>
                <w:lang w:val="pt-BR"/>
              </w:rPr>
              <w:t>)S</w:t>
            </w:r>
            <w:r w:rsidRPr="00537112">
              <w:rPr>
                <w:rFonts w:cs="Verdana"/>
                <w:spacing w:val="3"/>
                <w:sz w:val="20"/>
                <w:szCs w:val="20"/>
                <w:lang w:val="pt-BR"/>
              </w:rPr>
              <w:t>i</w:t>
            </w:r>
            <w:r w:rsidRPr="00537112">
              <w:rPr>
                <w:rFonts w:cs="Verdana"/>
                <w:sz w:val="20"/>
                <w:szCs w:val="20"/>
                <w:lang w:val="pt-BR"/>
              </w:rPr>
              <w:t>c</w:t>
            </w:r>
            <w:r w:rsidRPr="00537112">
              <w:rPr>
                <w:rFonts w:cs="Verdana"/>
                <w:spacing w:val="-14"/>
                <w:sz w:val="20"/>
                <w:szCs w:val="20"/>
                <w:lang w:val="pt-BR"/>
              </w:rPr>
              <w:t xml:space="preserve"> </w:t>
            </w:r>
            <w:r w:rsidRPr="00537112">
              <w:rPr>
                <w:rFonts w:cs="Verdana"/>
                <w:spacing w:val="1"/>
                <w:sz w:val="20"/>
                <w:szCs w:val="20"/>
                <w:lang w:val="pt-BR"/>
              </w:rPr>
              <w:t>S</w:t>
            </w:r>
            <w:r w:rsidRPr="00537112">
              <w:rPr>
                <w:rFonts w:cs="Verdana"/>
                <w:spacing w:val="3"/>
                <w:sz w:val="20"/>
                <w:szCs w:val="20"/>
                <w:lang w:val="pt-BR"/>
              </w:rPr>
              <w:t>is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lang w:val="pt-BR"/>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lang w:val="pt-BR"/>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55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os</w:t>
            </w:r>
            <w:r w:rsidRPr="00537112">
              <w:rPr>
                <w:rFonts w:cs="Verdana"/>
                <w:sz w:val="20"/>
                <w:szCs w:val="20"/>
              </w:rPr>
              <w:t>é</w:t>
            </w:r>
            <w:r w:rsidRPr="00537112">
              <w:rPr>
                <w:rFonts w:cs="Verdana"/>
                <w:spacing w:val="-6"/>
                <w:sz w:val="20"/>
                <w:szCs w:val="20"/>
              </w:rPr>
              <w:t xml:space="preserve"> </w:t>
            </w:r>
            <w:r w:rsidRPr="00537112">
              <w:rPr>
                <w:rFonts w:cs="Verdana"/>
                <w:spacing w:val="-1"/>
                <w:sz w:val="20"/>
                <w:szCs w:val="20"/>
              </w:rPr>
              <w:t>O</w:t>
            </w:r>
            <w:r w:rsidRPr="00537112">
              <w:rPr>
                <w:rFonts w:cs="Verdana"/>
                <w:spacing w:val="1"/>
                <w:sz w:val="20"/>
                <w:szCs w:val="20"/>
              </w:rPr>
              <w:t>bdu</w:t>
            </w:r>
            <w:r w:rsidRPr="00537112">
              <w:rPr>
                <w:rFonts w:cs="Verdana"/>
                <w:spacing w:val="3"/>
                <w:sz w:val="20"/>
                <w:szCs w:val="20"/>
              </w:rPr>
              <w:t>li</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56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L</w:t>
            </w:r>
            <w:r w:rsidRPr="00537112">
              <w:rPr>
                <w:rFonts w:cs="Verdana"/>
                <w:spacing w:val="3"/>
                <w:sz w:val="20"/>
                <w:szCs w:val="20"/>
              </w:rPr>
              <w:t>ili</w:t>
            </w:r>
            <w:r w:rsidRPr="00537112">
              <w:rPr>
                <w:rFonts w:cs="Verdana"/>
                <w:sz w:val="20"/>
                <w:szCs w:val="20"/>
              </w:rPr>
              <w:t>an</w:t>
            </w:r>
            <w:r w:rsidRPr="00537112">
              <w:rPr>
                <w:rFonts w:cs="Verdana"/>
                <w:spacing w:val="-5"/>
                <w:sz w:val="20"/>
                <w:szCs w:val="20"/>
              </w:rPr>
              <w:t xml:space="preserve"> </w:t>
            </w:r>
            <w:r w:rsidRPr="00537112">
              <w:rPr>
                <w:rFonts w:cs="Verdana"/>
                <w:sz w:val="20"/>
                <w:szCs w:val="20"/>
              </w:rPr>
              <w:t>C</w:t>
            </w:r>
            <w:r w:rsidRPr="00537112">
              <w:rPr>
                <w:rFonts w:cs="Verdana"/>
                <w:spacing w:val="-1"/>
                <w:sz w:val="20"/>
                <w:szCs w:val="20"/>
              </w:rPr>
              <w:t>ec</w:t>
            </w:r>
            <w:r w:rsidRPr="00537112">
              <w:rPr>
                <w:rFonts w:cs="Verdana"/>
                <w:spacing w:val="3"/>
                <w:sz w:val="20"/>
                <w:szCs w:val="20"/>
              </w:rPr>
              <w:t>ili</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S</w:t>
            </w:r>
            <w:r w:rsidRPr="00537112">
              <w:rPr>
                <w:rFonts w:cs="Verdana"/>
                <w:spacing w:val="3"/>
                <w:sz w:val="20"/>
                <w:szCs w:val="20"/>
              </w:rPr>
              <w:t>is</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51</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V</w:t>
            </w:r>
            <w:r w:rsidRPr="00537112">
              <w:rPr>
                <w:rFonts w:cs="Verdana"/>
                <w:spacing w:val="3"/>
                <w:sz w:val="20"/>
                <w:szCs w:val="20"/>
              </w:rPr>
              <w:t>i</w:t>
            </w:r>
            <w:r w:rsidRPr="00537112">
              <w:rPr>
                <w:rFonts w:cs="Verdana"/>
                <w:spacing w:val="-1"/>
                <w:sz w:val="20"/>
                <w:szCs w:val="20"/>
              </w:rPr>
              <w:t>ce</w:t>
            </w:r>
            <w:r w:rsidRPr="00537112">
              <w:rPr>
                <w:rFonts w:cs="Verdana"/>
                <w:spacing w:val="1"/>
                <w:sz w:val="20"/>
                <w:szCs w:val="20"/>
              </w:rPr>
              <w:t>nt</w:t>
            </w:r>
            <w:r w:rsidRPr="00537112">
              <w:rPr>
                <w:rFonts w:cs="Verdana"/>
                <w:sz w:val="20"/>
                <w:szCs w:val="20"/>
              </w:rPr>
              <w:t>e</w:t>
            </w:r>
            <w:r w:rsidRPr="00537112">
              <w:rPr>
                <w:rFonts w:cs="Verdana"/>
                <w:spacing w:val="-9"/>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Osor</w:t>
            </w:r>
            <w:r w:rsidRPr="00537112">
              <w:rPr>
                <w:rFonts w:cs="Verdana"/>
                <w:spacing w:val="3"/>
                <w:sz w:val="20"/>
                <w:szCs w:val="20"/>
              </w:rPr>
              <w:t>i</w:t>
            </w:r>
            <w:r w:rsidRPr="00537112">
              <w:rPr>
                <w:rFonts w:cs="Verdana"/>
                <w:sz w:val="20"/>
                <w:szCs w:val="20"/>
              </w:rPr>
              <w:t>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57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eres</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Ca</w:t>
            </w:r>
            <w:r w:rsidRPr="00537112">
              <w:rPr>
                <w:rFonts w:cs="Verdana"/>
                <w:spacing w:val="-1"/>
                <w:position w:val="-1"/>
                <w:sz w:val="20"/>
                <w:szCs w:val="20"/>
              </w:rPr>
              <w:t>c</w:t>
            </w:r>
            <w:r w:rsidRPr="00537112">
              <w:rPr>
                <w:rFonts w:cs="Verdana"/>
                <w:position w:val="-1"/>
                <w:sz w:val="20"/>
                <w:szCs w:val="20"/>
              </w:rPr>
              <w:t>aj</w:t>
            </w:r>
            <w:r w:rsidRPr="00537112">
              <w:rPr>
                <w:rFonts w:cs="Verdana"/>
                <w:spacing w:val="-6"/>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58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Max</w:t>
            </w:r>
            <w:r w:rsidRPr="00537112">
              <w:rPr>
                <w:rFonts w:cs="Verdana"/>
                <w:spacing w:val="3"/>
                <w:position w:val="-1"/>
                <w:sz w:val="20"/>
                <w:szCs w:val="20"/>
              </w:rPr>
              <w:t>i</w:t>
            </w:r>
            <w:r w:rsidRPr="00537112">
              <w:rPr>
                <w:rFonts w:cs="Verdana"/>
                <w:spacing w:val="1"/>
                <w:position w:val="-1"/>
                <w:sz w:val="20"/>
                <w:szCs w:val="20"/>
              </w:rPr>
              <w:t>m</w:t>
            </w:r>
            <w:r w:rsidRPr="00537112">
              <w:rPr>
                <w:rFonts w:cs="Verdana"/>
                <w:spacing w:val="3"/>
                <w:position w:val="-1"/>
                <w:sz w:val="20"/>
                <w:szCs w:val="20"/>
              </w:rPr>
              <w:t>ili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12"/>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w:t>
            </w:r>
            <w:r w:rsidRPr="00537112">
              <w:rPr>
                <w:rFonts w:cs="Verdana"/>
                <w:position w:val="-1"/>
                <w:sz w:val="20"/>
                <w:szCs w:val="20"/>
              </w:rPr>
              <w:t>aj</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59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m</w:t>
            </w:r>
            <w:r w:rsidRPr="00537112">
              <w:rPr>
                <w:rFonts w:cs="Verdana"/>
                <w:spacing w:val="-1"/>
                <w:position w:val="-1"/>
                <w:sz w:val="20"/>
                <w:szCs w:val="20"/>
              </w:rPr>
              <w:t>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w:t>
            </w:r>
            <w:r w:rsidRPr="00537112">
              <w:rPr>
                <w:rFonts w:cs="Verdana"/>
                <w:position w:val="-1"/>
                <w:sz w:val="20"/>
                <w:szCs w:val="20"/>
              </w:rPr>
              <w:t>aj</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60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position w:val="-1"/>
                <w:sz w:val="20"/>
                <w:szCs w:val="20"/>
              </w:rPr>
              <w:t>a</w:t>
            </w:r>
            <w:r w:rsidRPr="00537112">
              <w:rPr>
                <w:rFonts w:cs="Verdana"/>
                <w:spacing w:val="1"/>
                <w:position w:val="-1"/>
                <w:sz w:val="20"/>
                <w:szCs w:val="20"/>
              </w:rPr>
              <w:t>u</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w:t>
            </w:r>
            <w:r w:rsidRPr="00537112">
              <w:rPr>
                <w:rFonts w:cs="Verdana"/>
                <w:position w:val="-1"/>
                <w:sz w:val="20"/>
                <w:szCs w:val="20"/>
              </w:rPr>
              <w:t>aj</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61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3"/>
                <w:position w:val="-1"/>
                <w:sz w:val="20"/>
                <w:szCs w:val="20"/>
              </w:rPr>
              <w:t>i</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w:t>
            </w:r>
            <w:r w:rsidRPr="00537112">
              <w:rPr>
                <w:rFonts w:cs="Verdana"/>
                <w:position w:val="-1"/>
                <w:sz w:val="20"/>
                <w:szCs w:val="20"/>
              </w:rPr>
              <w:t>aj</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62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n</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w:t>
            </w:r>
            <w:r w:rsidRPr="00537112">
              <w:rPr>
                <w:rFonts w:cs="Verdana"/>
                <w:position w:val="-1"/>
                <w:sz w:val="20"/>
                <w:szCs w:val="20"/>
              </w:rPr>
              <w:t>aj</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63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position w:val="-1"/>
                <w:sz w:val="20"/>
                <w:szCs w:val="20"/>
              </w:rPr>
              <w:t>a</w:t>
            </w:r>
            <w:r w:rsidRPr="00537112">
              <w:rPr>
                <w:rFonts w:cs="Verdana"/>
                <w:spacing w:val="-4"/>
                <w:position w:val="-1"/>
                <w:sz w:val="20"/>
                <w:szCs w:val="20"/>
              </w:rPr>
              <w:t xml:space="preserve"> </w:t>
            </w: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w:t>
            </w:r>
            <w:r w:rsidRPr="00537112">
              <w:rPr>
                <w:rFonts w:cs="Verdana"/>
                <w:position w:val="-1"/>
                <w:sz w:val="20"/>
                <w:szCs w:val="20"/>
              </w:rPr>
              <w:t>aj</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64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w:t>
            </w:r>
            <w:r w:rsidRPr="00537112">
              <w:rPr>
                <w:rFonts w:cs="Verdana"/>
                <w:position w:val="-1"/>
                <w:sz w:val="20"/>
                <w:szCs w:val="20"/>
              </w:rPr>
              <w:t>aj</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60" w:lineRule="exact"/>
              <w:jc w:val="left"/>
              <w:textAlignment w:val="auto"/>
              <w:rPr>
                <w:rFonts w:ascii="Times New Roman" w:hAnsi="Times New Roman"/>
                <w:sz w:val="16"/>
                <w:szCs w:val="16"/>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52</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 w:line="160" w:lineRule="exact"/>
              <w:jc w:val="left"/>
              <w:textAlignment w:val="auto"/>
              <w:rPr>
                <w:rFonts w:ascii="Times New Roman" w:hAnsi="Times New Roman"/>
                <w:sz w:val="16"/>
                <w:szCs w:val="16"/>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Pa</w:t>
            </w:r>
            <w:r w:rsidRPr="00537112">
              <w:rPr>
                <w:rFonts w:cs="Verdana"/>
                <w:spacing w:val="1"/>
                <w:sz w:val="20"/>
                <w:szCs w:val="20"/>
              </w:rPr>
              <w:t>t</w:t>
            </w:r>
            <w:r w:rsidRPr="00537112">
              <w:rPr>
                <w:rFonts w:cs="Verdana"/>
                <w:spacing w:val="-1"/>
                <w:sz w:val="20"/>
                <w:szCs w:val="20"/>
              </w:rPr>
              <w:t>roc</w:t>
            </w:r>
            <w:r w:rsidRPr="00537112">
              <w:rPr>
                <w:rFonts w:cs="Verdana"/>
                <w:spacing w:val="3"/>
                <w:sz w:val="20"/>
                <w:szCs w:val="20"/>
              </w:rPr>
              <w:t>i</w:t>
            </w:r>
            <w:r w:rsidRPr="00537112">
              <w:rPr>
                <w:rFonts w:cs="Verdana"/>
                <w:spacing w:val="1"/>
                <w:sz w:val="20"/>
                <w:szCs w:val="20"/>
              </w:rPr>
              <w:t>n</w:t>
            </w:r>
            <w:r w:rsidRPr="00537112">
              <w:rPr>
                <w:rFonts w:cs="Verdana"/>
                <w:spacing w:val="3"/>
                <w:sz w:val="20"/>
                <w:szCs w:val="20"/>
              </w:rPr>
              <w:t>i</w:t>
            </w:r>
            <w:r w:rsidRPr="00537112">
              <w:rPr>
                <w:rFonts w:cs="Verdana"/>
                <w:sz w:val="20"/>
                <w:szCs w:val="20"/>
              </w:rPr>
              <w:t>o</w:t>
            </w:r>
            <w:r w:rsidRPr="00537112">
              <w:rPr>
                <w:rFonts w:cs="Verdana"/>
                <w:spacing w:val="-12"/>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65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position w:val="-1"/>
                <w:sz w:val="20"/>
                <w:szCs w:val="20"/>
              </w:rPr>
              <w:t>a</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66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spacing w:val="-1"/>
                <w:position w:val="-1"/>
                <w:sz w:val="20"/>
                <w:szCs w:val="20"/>
              </w:rPr>
              <w:t>of</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67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gu</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68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3"/>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69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70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dg</w:t>
            </w:r>
            <w:r w:rsidRPr="00537112">
              <w:rPr>
                <w:rFonts w:cs="Verdana"/>
                <w:position w:val="-1"/>
                <w:sz w:val="20"/>
                <w:szCs w:val="20"/>
              </w:rPr>
              <w:t>ar</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71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r</w:t>
            </w:r>
            <w:r w:rsidRPr="00537112">
              <w:rPr>
                <w:rFonts w:cs="Verdana"/>
                <w:spacing w:val="1"/>
                <w:position w:val="-1"/>
                <w:sz w:val="20"/>
                <w:szCs w:val="20"/>
              </w:rPr>
              <w:t>m</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72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osef</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73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53</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F</w:t>
            </w:r>
            <w:r w:rsidRPr="00537112">
              <w:rPr>
                <w:rFonts w:cs="Verdana"/>
                <w:spacing w:val="-1"/>
                <w:sz w:val="20"/>
                <w:szCs w:val="20"/>
              </w:rPr>
              <w:t>é</w:t>
            </w:r>
            <w:r w:rsidRPr="00537112">
              <w:rPr>
                <w:rFonts w:cs="Verdana"/>
                <w:spacing w:val="3"/>
                <w:sz w:val="20"/>
                <w:szCs w:val="20"/>
              </w:rPr>
              <w:t>li</w:t>
            </w:r>
            <w:r w:rsidRPr="00537112">
              <w:rPr>
                <w:rFonts w:cs="Verdana"/>
                <w:sz w:val="20"/>
                <w:szCs w:val="20"/>
              </w:rPr>
              <w:t>x</w:t>
            </w:r>
            <w:r w:rsidRPr="00537112">
              <w:rPr>
                <w:rFonts w:cs="Verdana"/>
                <w:spacing w:val="-6"/>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74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C</w:t>
            </w:r>
            <w:r w:rsidRPr="00537112">
              <w:rPr>
                <w:rFonts w:cs="Verdana"/>
                <w:spacing w:val="-1"/>
                <w:position w:val="-1"/>
                <w:sz w:val="20"/>
                <w:szCs w:val="20"/>
              </w:rPr>
              <w:t>or</w:t>
            </w:r>
            <w:r w:rsidRPr="00537112">
              <w:rPr>
                <w:rFonts w:cs="Verdana"/>
                <w:spacing w:val="1"/>
                <w:position w:val="-1"/>
                <w:sz w:val="20"/>
                <w:szCs w:val="20"/>
              </w:rPr>
              <w:t>t</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75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j</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76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3"/>
                <w:position w:val="-1"/>
                <w:sz w:val="20"/>
                <w:szCs w:val="20"/>
              </w:rPr>
              <w:t>li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77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w:t>
            </w:r>
            <w:r w:rsidRPr="00537112">
              <w:rPr>
                <w:rFonts w:cs="Verdana"/>
                <w:spacing w:val="3"/>
                <w:position w:val="-1"/>
                <w:sz w:val="20"/>
                <w:szCs w:val="20"/>
              </w:rPr>
              <w:t>l</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L</w:t>
            </w:r>
            <w:r w:rsidRPr="00537112">
              <w:rPr>
                <w:rFonts w:cs="Verdana"/>
                <w:spacing w:val="1"/>
                <w:position w:val="-1"/>
                <w:sz w:val="20"/>
                <w:szCs w:val="20"/>
              </w:rPr>
              <w:t>u</w:t>
            </w:r>
            <w:r w:rsidRPr="00537112">
              <w:rPr>
                <w:rFonts w:cs="Verdana"/>
                <w:position w:val="-1"/>
                <w:sz w:val="20"/>
                <w:szCs w:val="20"/>
              </w:rPr>
              <w:t>z</w:t>
            </w:r>
            <w:r w:rsidRPr="00537112">
              <w:rPr>
                <w:rFonts w:cs="Verdana"/>
                <w:spacing w:val="-3"/>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78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i</w:t>
            </w:r>
            <w:r w:rsidRPr="00537112">
              <w:rPr>
                <w:rFonts w:cs="Verdana"/>
                <w:spacing w:val="1"/>
                <w:position w:val="-1"/>
                <w:sz w:val="20"/>
                <w:szCs w:val="20"/>
              </w:rPr>
              <w:t>d</w:t>
            </w:r>
            <w:r w:rsidRPr="00537112">
              <w:rPr>
                <w:rFonts w:cs="Verdana"/>
                <w:spacing w:val="-1"/>
                <w:position w:val="-1"/>
                <w:sz w:val="20"/>
                <w:szCs w:val="20"/>
              </w:rPr>
              <w:t>e</w:t>
            </w:r>
            <w:r w:rsidRPr="00537112">
              <w:rPr>
                <w:rFonts w:cs="Verdana"/>
                <w:spacing w:val="3"/>
                <w:position w:val="-1"/>
                <w:sz w:val="20"/>
                <w:szCs w:val="20"/>
              </w:rPr>
              <w:t>li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z</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79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dg</w:t>
            </w:r>
            <w:r w:rsidRPr="00537112">
              <w:rPr>
                <w:rFonts w:cs="Verdana"/>
                <w:position w:val="-1"/>
                <w:sz w:val="20"/>
                <w:szCs w:val="20"/>
              </w:rPr>
              <w:t>ar</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y</w:t>
            </w:r>
            <w:r w:rsidRPr="00537112">
              <w:rPr>
                <w:rFonts w:cs="Verdana"/>
                <w:spacing w:val="-2"/>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80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r</w:t>
            </w:r>
            <w:r w:rsidRPr="00537112">
              <w:rPr>
                <w:rFonts w:cs="Verdana"/>
                <w:spacing w:val="3"/>
                <w:position w:val="-1"/>
                <w:sz w:val="20"/>
                <w:szCs w:val="20"/>
              </w:rPr>
              <w:t>l</w:t>
            </w:r>
            <w:r w:rsidRPr="00537112">
              <w:rPr>
                <w:rFonts w:cs="Verdana"/>
                <w:spacing w:val="1"/>
                <w:position w:val="-1"/>
                <w:sz w:val="20"/>
                <w:szCs w:val="20"/>
              </w:rPr>
              <w:t>ub</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Ma</w:t>
            </w:r>
            <w:r w:rsidRPr="00537112">
              <w:rPr>
                <w:rFonts w:cs="Verdana"/>
                <w:spacing w:val="1"/>
                <w:position w:val="-1"/>
                <w:sz w:val="20"/>
                <w:szCs w:val="20"/>
              </w:rPr>
              <w:t>gd</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81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Lore</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E</w:t>
            </w:r>
            <w:r w:rsidRPr="00537112">
              <w:rPr>
                <w:rFonts w:cs="Verdana"/>
                <w:spacing w:val="1"/>
                <w:position w:val="-1"/>
                <w:sz w:val="20"/>
                <w:szCs w:val="20"/>
              </w:rPr>
              <w:t>ug</w:t>
            </w: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54</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os</w:t>
            </w:r>
            <w:r w:rsidRPr="00537112">
              <w:rPr>
                <w:rFonts w:cs="Verdana"/>
                <w:sz w:val="20"/>
                <w:szCs w:val="20"/>
              </w:rPr>
              <w:t>é</w:t>
            </w:r>
            <w:r w:rsidRPr="00537112">
              <w:rPr>
                <w:rFonts w:cs="Verdana"/>
                <w:spacing w:val="-6"/>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m</w:t>
            </w:r>
            <w:r w:rsidRPr="00537112">
              <w:rPr>
                <w:rFonts w:cs="Verdana"/>
                <w:spacing w:val="-1"/>
                <w:sz w:val="20"/>
                <w:szCs w:val="20"/>
              </w:rPr>
              <w:t>e</w:t>
            </w:r>
            <w:r w:rsidRPr="00537112">
              <w:rPr>
                <w:rFonts w:cs="Verdana"/>
                <w:spacing w:val="1"/>
                <w:sz w:val="20"/>
                <w:szCs w:val="20"/>
              </w:rPr>
              <w:t>t</w:t>
            </w:r>
            <w:r w:rsidRPr="00537112">
              <w:rPr>
                <w:rFonts w:cs="Verdana"/>
                <w:spacing w:val="-1"/>
                <w:sz w:val="20"/>
                <w:szCs w:val="20"/>
              </w:rPr>
              <w:t>r</w:t>
            </w:r>
            <w:r w:rsidRPr="00537112">
              <w:rPr>
                <w:rFonts w:cs="Verdana"/>
                <w:spacing w:val="3"/>
                <w:sz w:val="20"/>
                <w:szCs w:val="20"/>
              </w:rPr>
              <w:t>i</w:t>
            </w:r>
            <w:r w:rsidRPr="00537112">
              <w:rPr>
                <w:rFonts w:cs="Verdana"/>
                <w:sz w:val="20"/>
                <w:szCs w:val="20"/>
              </w:rPr>
              <w:t>o</w:t>
            </w:r>
            <w:r w:rsidRPr="00537112">
              <w:rPr>
                <w:rFonts w:cs="Verdana"/>
                <w:spacing w:val="-11"/>
                <w:sz w:val="20"/>
                <w:szCs w:val="20"/>
              </w:rPr>
              <w:t xml:space="preserve"> </w:t>
            </w:r>
            <w:r w:rsidRPr="00537112">
              <w:rPr>
                <w:rFonts w:cs="Verdana"/>
                <w:sz w:val="20"/>
                <w:szCs w:val="20"/>
              </w:rPr>
              <w:t>Ca</w:t>
            </w:r>
            <w:r w:rsidRPr="00537112">
              <w:rPr>
                <w:rFonts w:cs="Verdana"/>
                <w:spacing w:val="1"/>
                <w:sz w:val="20"/>
                <w:szCs w:val="20"/>
              </w:rPr>
              <w:t>hu</w:t>
            </w:r>
            <w:r w:rsidRPr="00537112">
              <w:rPr>
                <w:rFonts w:cs="Verdana"/>
                <w:spacing w:val="-1"/>
                <w:sz w:val="20"/>
                <w:szCs w:val="20"/>
              </w:rPr>
              <w:t>e</w:t>
            </w:r>
            <w:r w:rsidRPr="00537112">
              <w:rPr>
                <w:rFonts w:cs="Verdana"/>
                <w:sz w:val="20"/>
                <w:szCs w:val="20"/>
              </w:rPr>
              <w:t>c</w:t>
            </w:r>
            <w:r w:rsidRPr="00537112">
              <w:rPr>
                <w:rFonts w:cs="Verdana"/>
                <w:spacing w:val="-8"/>
                <w:sz w:val="20"/>
                <w:szCs w:val="20"/>
              </w:rPr>
              <w:t xml:space="preserve"> </w:t>
            </w:r>
            <w:r w:rsidRPr="00537112">
              <w:rPr>
                <w:rFonts w:cs="Verdana"/>
                <w:spacing w:val="1"/>
                <w:sz w:val="20"/>
                <w:szCs w:val="20"/>
              </w:rPr>
              <w:t>J</w:t>
            </w:r>
            <w:r w:rsidRPr="00537112">
              <w:rPr>
                <w:rFonts w:cs="Verdana"/>
                <w:spacing w:val="-1"/>
                <w:sz w:val="20"/>
                <w:szCs w:val="20"/>
              </w:rPr>
              <w:t>eró</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m</w:t>
            </w:r>
            <w:r w:rsidRPr="00537112">
              <w:rPr>
                <w:rFonts w:cs="Verdana"/>
                <w:sz w:val="20"/>
                <w:szCs w:val="20"/>
              </w:rPr>
              <w:t>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82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Es</w:t>
            </w:r>
            <w:r w:rsidRPr="00537112">
              <w:rPr>
                <w:rFonts w:cs="Verdana"/>
                <w:spacing w:val="1"/>
                <w:position w:val="-1"/>
                <w:sz w:val="20"/>
                <w:szCs w:val="20"/>
              </w:rPr>
              <w:t>t</w:t>
            </w:r>
            <w:r w:rsidRPr="00537112">
              <w:rPr>
                <w:rFonts w:cs="Verdana"/>
                <w:spacing w:val="-1"/>
                <w:position w:val="-1"/>
                <w:sz w:val="20"/>
                <w:szCs w:val="20"/>
              </w:rPr>
              <w:t>éf</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ecó</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83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b</w:t>
            </w:r>
            <w:r w:rsidRPr="00537112">
              <w:rPr>
                <w:rFonts w:cs="Verdana"/>
                <w:spacing w:val="3"/>
                <w:position w:val="-1"/>
                <w:sz w:val="20"/>
                <w:szCs w:val="20"/>
              </w:rPr>
              <w:t>l</w:t>
            </w:r>
            <w:r w:rsidRPr="00537112">
              <w:rPr>
                <w:rFonts w:cs="Verdana"/>
                <w:position w:val="-1"/>
                <w:sz w:val="20"/>
                <w:szCs w:val="20"/>
              </w:rPr>
              <w:t>o</w:t>
            </w:r>
            <w:r w:rsidRPr="00537112">
              <w:rPr>
                <w:rFonts w:cs="Verdana"/>
                <w:spacing w:val="-7"/>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84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gu</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85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n</w:t>
            </w:r>
            <w:r w:rsidRPr="00537112">
              <w:rPr>
                <w:rFonts w:cs="Verdana"/>
                <w:spacing w:val="-1"/>
                <w:position w:val="-1"/>
                <w:sz w:val="20"/>
                <w:szCs w:val="20"/>
              </w:rPr>
              <w:t>oce</w:t>
            </w:r>
            <w:r w:rsidRPr="00537112">
              <w:rPr>
                <w:rFonts w:cs="Verdana"/>
                <w:spacing w:val="1"/>
                <w:position w:val="-1"/>
                <w:sz w:val="20"/>
                <w:szCs w:val="20"/>
              </w:rPr>
              <w:t>nt</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86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position w:val="-1"/>
                <w:sz w:val="20"/>
                <w:szCs w:val="20"/>
              </w:rPr>
              <w:t>a</w:t>
            </w:r>
            <w:r w:rsidRPr="00537112">
              <w:rPr>
                <w:rFonts w:cs="Verdana"/>
                <w:spacing w:val="1"/>
                <w:position w:val="-1"/>
                <w:sz w:val="20"/>
                <w:szCs w:val="20"/>
              </w:rPr>
              <w:t>z</w:t>
            </w:r>
            <w:r w:rsidRPr="00537112">
              <w:rPr>
                <w:rFonts w:cs="Verdana"/>
                <w:position w:val="-1"/>
                <w:sz w:val="20"/>
                <w:szCs w:val="20"/>
              </w:rPr>
              <w:t>a</w:t>
            </w:r>
            <w:r w:rsidRPr="00537112">
              <w:rPr>
                <w:rFonts w:cs="Verdana"/>
                <w:spacing w:val="-1"/>
                <w:position w:val="-1"/>
                <w:sz w:val="20"/>
                <w:szCs w:val="20"/>
              </w:rPr>
              <w:t>r</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ecóc</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55</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lang w:val="pt-BR"/>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lang w:val="pt-BR"/>
              </w:rPr>
            </w:pPr>
          </w:p>
          <w:p w:rsidR="00537112" w:rsidRPr="00537112" w:rsidRDefault="00537112" w:rsidP="00537112">
            <w:pPr>
              <w:autoSpaceDE w:val="0"/>
              <w:autoSpaceDN w:val="0"/>
              <w:spacing w:line="240" w:lineRule="auto"/>
              <w:ind w:right="-20"/>
              <w:jc w:val="left"/>
              <w:textAlignment w:val="auto"/>
              <w:rPr>
                <w:rFonts w:ascii="Times New Roman" w:hAnsi="Times New Roman"/>
                <w:lang w:val="pt-BR"/>
              </w:rPr>
            </w:pPr>
            <w:r w:rsidRPr="00537112">
              <w:rPr>
                <w:rFonts w:cs="Verdana"/>
                <w:spacing w:val="-1"/>
                <w:sz w:val="20"/>
                <w:szCs w:val="20"/>
                <w:lang w:val="pt-BR"/>
              </w:rPr>
              <w:t>Gre</w:t>
            </w:r>
            <w:r w:rsidRPr="00537112">
              <w:rPr>
                <w:rFonts w:cs="Verdana"/>
                <w:spacing w:val="1"/>
                <w:sz w:val="20"/>
                <w:szCs w:val="20"/>
                <w:lang w:val="pt-BR"/>
              </w:rPr>
              <w:t>g</w:t>
            </w:r>
            <w:r w:rsidRPr="00537112">
              <w:rPr>
                <w:rFonts w:cs="Verdana"/>
                <w:spacing w:val="-1"/>
                <w:sz w:val="20"/>
                <w:szCs w:val="20"/>
                <w:lang w:val="pt-BR"/>
              </w:rPr>
              <w:t>or</w:t>
            </w:r>
            <w:r w:rsidRPr="00537112">
              <w:rPr>
                <w:rFonts w:cs="Verdana"/>
                <w:spacing w:val="3"/>
                <w:sz w:val="20"/>
                <w:szCs w:val="20"/>
                <w:lang w:val="pt-BR"/>
              </w:rPr>
              <w:t>i</w:t>
            </w:r>
            <w:r w:rsidRPr="00537112">
              <w:rPr>
                <w:rFonts w:cs="Verdana"/>
                <w:sz w:val="20"/>
                <w:szCs w:val="20"/>
                <w:lang w:val="pt-BR"/>
              </w:rPr>
              <w:t>a</w:t>
            </w:r>
            <w:r w:rsidRPr="00537112">
              <w:rPr>
                <w:rFonts w:cs="Verdana"/>
                <w:spacing w:val="-9"/>
                <w:sz w:val="20"/>
                <w:szCs w:val="20"/>
                <w:lang w:val="pt-BR"/>
              </w:rPr>
              <w:t xml:space="preserve"> </w:t>
            </w:r>
            <w:r w:rsidRPr="00537112">
              <w:rPr>
                <w:rFonts w:cs="Verdana"/>
                <w:spacing w:val="1"/>
                <w:sz w:val="20"/>
                <w:szCs w:val="20"/>
                <w:lang w:val="pt-BR"/>
              </w:rPr>
              <w:t>V</w:t>
            </w:r>
            <w:r w:rsidRPr="00537112">
              <w:rPr>
                <w:rFonts w:cs="Verdana"/>
                <w:sz w:val="20"/>
                <w:szCs w:val="20"/>
                <w:lang w:val="pt-BR"/>
              </w:rPr>
              <w:t>a</w:t>
            </w:r>
            <w:r w:rsidRPr="00537112">
              <w:rPr>
                <w:rFonts w:cs="Verdana"/>
                <w:spacing w:val="3"/>
                <w:sz w:val="20"/>
                <w:szCs w:val="20"/>
                <w:lang w:val="pt-BR"/>
              </w:rPr>
              <w:t>l</w:t>
            </w:r>
            <w:r w:rsidRPr="00537112">
              <w:rPr>
                <w:rFonts w:cs="Verdana"/>
                <w:spacing w:val="-1"/>
                <w:sz w:val="20"/>
                <w:szCs w:val="20"/>
                <w:lang w:val="pt-BR"/>
              </w:rPr>
              <w:t>e</w:t>
            </w:r>
            <w:r w:rsidRPr="00537112">
              <w:rPr>
                <w:rFonts w:cs="Verdana"/>
                <w:sz w:val="20"/>
                <w:szCs w:val="20"/>
                <w:lang w:val="pt-BR"/>
              </w:rPr>
              <w:t>y</w:t>
            </w:r>
            <w:r w:rsidRPr="00537112">
              <w:rPr>
                <w:rFonts w:cs="Verdana"/>
                <w:spacing w:val="-6"/>
                <w:sz w:val="20"/>
                <w:szCs w:val="20"/>
                <w:lang w:val="pt-BR"/>
              </w:rPr>
              <w:t xml:space="preserve"> </w:t>
            </w:r>
            <w:r w:rsidRPr="00537112">
              <w:rPr>
                <w:rFonts w:cs="Verdana"/>
                <w:spacing w:val="-2"/>
                <w:sz w:val="20"/>
                <w:szCs w:val="20"/>
                <w:lang w:val="pt-BR"/>
              </w:rPr>
              <w:t>I</w:t>
            </w:r>
            <w:r w:rsidRPr="00537112">
              <w:rPr>
                <w:rFonts w:cs="Verdana"/>
                <w:sz w:val="20"/>
                <w:szCs w:val="20"/>
                <w:lang w:val="pt-BR"/>
              </w:rPr>
              <w:t>x</w:t>
            </w:r>
            <w:r w:rsidRPr="00537112">
              <w:rPr>
                <w:rFonts w:cs="Verdana"/>
                <w:spacing w:val="1"/>
                <w:sz w:val="20"/>
                <w:szCs w:val="20"/>
                <w:lang w:val="pt-BR"/>
              </w:rPr>
              <w:t>t</w:t>
            </w:r>
            <w:r w:rsidRPr="00537112">
              <w:rPr>
                <w:rFonts w:cs="Verdana"/>
                <w:spacing w:val="-1"/>
                <w:sz w:val="20"/>
                <w:szCs w:val="20"/>
                <w:lang w:val="pt-BR"/>
              </w:rPr>
              <w:t>eco</w:t>
            </w:r>
            <w:r w:rsidRPr="00537112">
              <w:rPr>
                <w:rFonts w:cs="Verdana"/>
                <w:sz w:val="20"/>
                <w:szCs w:val="20"/>
                <w:lang w:val="pt-BR"/>
              </w:rPr>
              <w:t>c</w:t>
            </w:r>
            <w:r w:rsidRPr="00537112">
              <w:rPr>
                <w:rFonts w:cs="Verdana"/>
                <w:spacing w:val="-8"/>
                <w:sz w:val="20"/>
                <w:szCs w:val="20"/>
                <w:lang w:val="pt-BR"/>
              </w:rPr>
              <w:t xml:space="preserve"> </w:t>
            </w:r>
            <w:r w:rsidRPr="00537112">
              <w:rPr>
                <w:rFonts w:cs="Verdana"/>
                <w:spacing w:val="1"/>
                <w:sz w:val="20"/>
                <w:szCs w:val="20"/>
                <w:lang w:val="pt-BR"/>
              </w:rPr>
              <w:t>(</w:t>
            </w:r>
            <w:r w:rsidRPr="00537112">
              <w:rPr>
                <w:rFonts w:cs="Verdana"/>
                <w:sz w:val="20"/>
                <w:szCs w:val="20"/>
                <w:lang w:val="pt-BR"/>
              </w:rPr>
              <w:t>o</w:t>
            </w:r>
            <w:r w:rsidRPr="00537112">
              <w:rPr>
                <w:rFonts w:cs="Verdana"/>
                <w:spacing w:val="-4"/>
                <w:sz w:val="20"/>
                <w:szCs w:val="20"/>
                <w:lang w:val="pt-BR"/>
              </w:rPr>
              <w:t xml:space="preserve"> </w:t>
            </w:r>
            <w:r w:rsidRPr="00537112">
              <w:rPr>
                <w:rFonts w:cs="Verdana"/>
                <w:sz w:val="20"/>
                <w:szCs w:val="20"/>
                <w:lang w:val="pt-BR"/>
              </w:rPr>
              <w:t>Yx</w:t>
            </w:r>
            <w:r w:rsidRPr="00537112">
              <w:rPr>
                <w:rFonts w:cs="Verdana"/>
                <w:spacing w:val="1"/>
                <w:sz w:val="20"/>
                <w:szCs w:val="20"/>
                <w:lang w:val="pt-BR"/>
              </w:rPr>
              <w:t>t</w:t>
            </w:r>
            <w:r w:rsidRPr="00537112">
              <w:rPr>
                <w:rFonts w:cs="Verdana"/>
                <w:spacing w:val="-1"/>
                <w:sz w:val="20"/>
                <w:szCs w:val="20"/>
                <w:lang w:val="pt-BR"/>
              </w:rPr>
              <w:t>ecoc</w:t>
            </w:r>
            <w:r w:rsidRPr="00537112">
              <w:rPr>
                <w:rFonts w:cs="Verdana"/>
                <w:sz w:val="20"/>
                <w:szCs w:val="20"/>
                <w:lang w:val="pt-BR"/>
              </w:rPr>
              <w:t>)</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87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3"/>
                <w:position w:val="-1"/>
                <w:sz w:val="20"/>
                <w:szCs w:val="20"/>
              </w:rPr>
              <w:t>i</w:t>
            </w:r>
            <w:r w:rsidRPr="00537112">
              <w:rPr>
                <w:rFonts w:cs="Verdana"/>
                <w:spacing w:val="1"/>
                <w:position w:val="-1"/>
                <w:sz w:val="20"/>
                <w:szCs w:val="20"/>
              </w:rPr>
              <w:t>m</w:t>
            </w:r>
            <w:r w:rsidRPr="00537112">
              <w:rPr>
                <w:rFonts w:cs="Verdana"/>
                <w:spacing w:val="-1"/>
                <w:position w:val="-1"/>
                <w:sz w:val="20"/>
                <w:szCs w:val="20"/>
              </w:rPr>
              <w:t>o</w:t>
            </w:r>
            <w:r w:rsidRPr="00537112">
              <w:rPr>
                <w:rFonts w:cs="Verdana"/>
                <w:spacing w:val="1"/>
                <w:position w:val="-1"/>
                <w:sz w:val="20"/>
                <w:szCs w:val="20"/>
              </w:rPr>
              <w:t>t</w:t>
            </w:r>
            <w:r w:rsidRPr="00537112">
              <w:rPr>
                <w:rFonts w:cs="Verdana"/>
                <w:spacing w:val="-1"/>
                <w:position w:val="-1"/>
                <w:sz w:val="20"/>
                <w:szCs w:val="20"/>
              </w:rPr>
              <w:t>e</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j</w:t>
            </w:r>
            <w:r w:rsidRPr="00537112">
              <w:rPr>
                <w:rFonts w:cs="Verdana"/>
                <w:position w:val="-1"/>
                <w:sz w:val="20"/>
                <w:szCs w:val="20"/>
              </w:rPr>
              <w:t>as</w:t>
            </w:r>
            <w:r w:rsidRPr="00537112">
              <w:rPr>
                <w:rFonts w:cs="Verdana"/>
                <w:spacing w:val="-7"/>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es</w:t>
            </w:r>
            <w:r w:rsidRPr="00537112">
              <w:rPr>
                <w:rFonts w:cs="Verdana"/>
                <w:spacing w:val="1"/>
                <w:position w:val="-1"/>
                <w:sz w:val="20"/>
                <w:szCs w:val="20"/>
              </w:rPr>
              <w:t>p</w:t>
            </w:r>
            <w:r w:rsidRPr="00537112">
              <w:rPr>
                <w:rFonts w:cs="Verdana"/>
                <w:spacing w:val="-1"/>
                <w:position w:val="-1"/>
                <w:sz w:val="20"/>
                <w:szCs w:val="20"/>
              </w:rPr>
              <w:t>oso</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88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ás</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89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3"/>
                <w:position w:val="-1"/>
                <w:sz w:val="20"/>
                <w:szCs w:val="20"/>
              </w:rPr>
              <w:t>i</w:t>
            </w:r>
            <w:r w:rsidRPr="00537112">
              <w:rPr>
                <w:rFonts w:cs="Verdana"/>
                <w:spacing w:val="1"/>
                <w:position w:val="-1"/>
                <w:sz w:val="20"/>
                <w:szCs w:val="20"/>
              </w:rPr>
              <w:t>m</w:t>
            </w:r>
            <w:r w:rsidRPr="00537112">
              <w:rPr>
                <w:rFonts w:cs="Verdana"/>
                <w:spacing w:val="-1"/>
                <w:position w:val="-1"/>
                <w:sz w:val="20"/>
                <w:szCs w:val="20"/>
              </w:rPr>
              <w:t>o</w:t>
            </w:r>
            <w:r w:rsidRPr="00537112">
              <w:rPr>
                <w:rFonts w:cs="Verdana"/>
                <w:spacing w:val="1"/>
                <w:position w:val="-1"/>
                <w:sz w:val="20"/>
                <w:szCs w:val="20"/>
              </w:rPr>
              <w:t>t</w:t>
            </w:r>
            <w:r w:rsidRPr="00537112">
              <w:rPr>
                <w:rFonts w:cs="Verdana"/>
                <w:spacing w:val="-1"/>
                <w:position w:val="-1"/>
                <w:sz w:val="20"/>
                <w:szCs w:val="20"/>
              </w:rPr>
              <w:t>e</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j</w:t>
            </w:r>
            <w:r w:rsidRPr="00537112">
              <w:rPr>
                <w:rFonts w:cs="Verdana"/>
                <w:position w:val="-1"/>
                <w:sz w:val="20"/>
                <w:szCs w:val="20"/>
              </w:rPr>
              <w:t>as</w:t>
            </w:r>
            <w:r w:rsidRPr="00537112">
              <w:rPr>
                <w:rFonts w:cs="Verdana"/>
                <w:spacing w:val="-7"/>
                <w:position w:val="-1"/>
                <w:sz w:val="20"/>
                <w:szCs w:val="20"/>
              </w:rPr>
              <w:t xml:space="preserve"> </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j</w:t>
            </w:r>
            <w:r w:rsidRPr="00537112">
              <w:rPr>
                <w:rFonts w:cs="Verdana"/>
                <w:spacing w:val="-1"/>
                <w:position w:val="-1"/>
                <w:sz w:val="20"/>
                <w:szCs w:val="20"/>
              </w:rPr>
              <w:t>o</w:t>
            </w:r>
            <w:r w:rsidRPr="00537112">
              <w:rPr>
                <w:rFonts w:cs="Verdana"/>
                <w:position w:val="-1"/>
                <w:sz w:val="20"/>
                <w:szCs w:val="20"/>
              </w:rPr>
              <w: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90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Máx</w:t>
            </w:r>
            <w:r w:rsidRPr="00537112">
              <w:rPr>
                <w:rFonts w:cs="Verdana"/>
                <w:spacing w:val="3"/>
                <w:position w:val="-1"/>
                <w:sz w:val="20"/>
                <w:szCs w:val="20"/>
              </w:rPr>
              <w:t>i</w:t>
            </w:r>
            <w:r w:rsidRPr="00537112">
              <w:rPr>
                <w:rFonts w:cs="Verdana"/>
                <w:spacing w:val="1"/>
                <w:position w:val="-1"/>
                <w:sz w:val="20"/>
                <w:szCs w:val="20"/>
              </w:rPr>
              <w:t>m</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E</w:t>
            </w:r>
            <w:r w:rsidRPr="00537112">
              <w:rPr>
                <w:rFonts w:cs="Verdana"/>
                <w:spacing w:val="1"/>
                <w:position w:val="-1"/>
                <w:sz w:val="20"/>
                <w:szCs w:val="20"/>
              </w:rPr>
              <w:t>m</w:t>
            </w:r>
            <w:r w:rsidRPr="00537112">
              <w:rPr>
                <w:rFonts w:cs="Verdana"/>
                <w:spacing w:val="3"/>
                <w:position w:val="-1"/>
                <w:sz w:val="20"/>
                <w:szCs w:val="20"/>
              </w:rPr>
              <w:t>ili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91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e</w:t>
            </w:r>
            <w:r w:rsidRPr="00537112">
              <w:rPr>
                <w:rFonts w:cs="Verdana"/>
                <w:spacing w:val="1"/>
                <w:position w:val="-1"/>
                <w:sz w:val="20"/>
                <w:szCs w:val="20"/>
              </w:rPr>
              <w:t>g</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d</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56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S</w:t>
            </w:r>
            <w:r w:rsidRPr="00537112">
              <w:rPr>
                <w:rFonts w:cs="Verdana"/>
                <w:spacing w:val="3"/>
                <w:sz w:val="20"/>
                <w:szCs w:val="20"/>
              </w:rPr>
              <w:t>il</w:t>
            </w:r>
            <w:r w:rsidRPr="00537112">
              <w:rPr>
                <w:rFonts w:cs="Verdana"/>
                <w:sz w:val="20"/>
                <w:szCs w:val="20"/>
              </w:rPr>
              <w:t>v</w:t>
            </w:r>
            <w:r w:rsidRPr="00537112">
              <w:rPr>
                <w:rFonts w:cs="Verdana"/>
                <w:spacing w:val="-1"/>
                <w:sz w:val="20"/>
                <w:szCs w:val="20"/>
              </w:rPr>
              <w:t>es</w:t>
            </w:r>
            <w:r w:rsidRPr="00537112">
              <w:rPr>
                <w:rFonts w:cs="Verdana"/>
                <w:spacing w:val="1"/>
                <w:sz w:val="20"/>
                <w:szCs w:val="20"/>
              </w:rPr>
              <w:t>t</w:t>
            </w:r>
            <w:r w:rsidRPr="00537112">
              <w:rPr>
                <w:rFonts w:cs="Verdana"/>
                <w:spacing w:val="-1"/>
                <w:sz w:val="20"/>
                <w:szCs w:val="20"/>
              </w:rPr>
              <w:t>r</w:t>
            </w:r>
            <w:r w:rsidRPr="00537112">
              <w:rPr>
                <w:rFonts w:cs="Verdana"/>
                <w:sz w:val="20"/>
                <w:szCs w:val="20"/>
              </w:rPr>
              <w:t>e</w:t>
            </w:r>
            <w:r w:rsidRPr="00537112">
              <w:rPr>
                <w:rFonts w:cs="Verdana"/>
                <w:spacing w:val="-11"/>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92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1"/>
                <w:position w:val="-1"/>
                <w:sz w:val="20"/>
                <w:szCs w:val="20"/>
              </w:rPr>
              <w:t>ce</w:t>
            </w:r>
            <w:r w:rsidRPr="00537112">
              <w:rPr>
                <w:rFonts w:cs="Verdana"/>
                <w:spacing w:val="1"/>
                <w:position w:val="-1"/>
                <w:sz w:val="20"/>
                <w:szCs w:val="20"/>
              </w:rPr>
              <w:t>p</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o</w:t>
            </w:r>
            <w:r w:rsidRPr="00537112">
              <w:rPr>
                <w:rFonts w:cs="Verdana"/>
                <w:position w:val="-1"/>
                <w:sz w:val="20"/>
                <w:szCs w:val="20"/>
              </w:rPr>
              <w:t>n</w:t>
            </w:r>
            <w:r w:rsidRPr="00537112">
              <w:rPr>
                <w:rFonts w:cs="Verdana"/>
                <w:spacing w:val="-11"/>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93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94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95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t</w:t>
            </w:r>
            <w:r w:rsidRPr="00537112">
              <w:rPr>
                <w:rFonts w:cs="Verdana"/>
                <w:spacing w:val="-1"/>
                <w:position w:val="-1"/>
                <w:sz w:val="20"/>
                <w:szCs w:val="20"/>
              </w:rPr>
              <w:t>ro</w:t>
            </w:r>
            <w:r w:rsidRPr="00537112">
              <w:rPr>
                <w:rFonts w:cs="Verdana"/>
                <w:spacing w:val="1"/>
                <w:position w:val="-1"/>
                <w:sz w:val="20"/>
                <w:szCs w:val="20"/>
              </w:rPr>
              <w:t>n</w:t>
            </w:r>
            <w:r w:rsidRPr="00537112">
              <w:rPr>
                <w:rFonts w:cs="Verdana"/>
                <w:spacing w:val="3"/>
                <w:position w:val="-1"/>
                <w:sz w:val="20"/>
                <w:szCs w:val="20"/>
              </w:rPr>
              <w:t>il</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96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97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98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rce</w:t>
            </w:r>
            <w:r w:rsidRPr="00537112">
              <w:rPr>
                <w:rFonts w:cs="Verdana"/>
                <w:spacing w:val="3"/>
                <w:position w:val="-1"/>
                <w:sz w:val="20"/>
                <w:szCs w:val="20"/>
              </w:rPr>
              <w:t>l</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2</w:t>
            </w:r>
            <w:r w:rsidRPr="00537112">
              <w:rPr>
                <w:rFonts w:cs="Verdana"/>
                <w:spacing w:val="1"/>
                <w:position w:val="-1"/>
                <w:sz w:val="20"/>
                <w:szCs w:val="20"/>
              </w:rPr>
              <w:t>99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334"/>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9" w:line="280" w:lineRule="exact"/>
              <w:jc w:val="left"/>
              <w:textAlignment w:val="auto"/>
              <w:rPr>
                <w:rFonts w:ascii="Times New Roman" w:hAnsi="Times New Roman"/>
                <w:sz w:val="28"/>
                <w:szCs w:val="28"/>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57</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9" w:line="280" w:lineRule="exact"/>
              <w:jc w:val="left"/>
              <w:textAlignment w:val="auto"/>
              <w:rPr>
                <w:rFonts w:ascii="Times New Roman" w:hAnsi="Times New Roman"/>
                <w:sz w:val="28"/>
                <w:szCs w:val="28"/>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R</w:t>
            </w:r>
            <w:r w:rsidRPr="00537112">
              <w:rPr>
                <w:rFonts w:cs="Verdana"/>
                <w:sz w:val="20"/>
                <w:szCs w:val="20"/>
              </w:rPr>
              <w:t>ay</w:t>
            </w:r>
            <w:r w:rsidRPr="00537112">
              <w:rPr>
                <w:rFonts w:cs="Verdana"/>
                <w:spacing w:val="1"/>
                <w:sz w:val="20"/>
                <w:szCs w:val="20"/>
              </w:rPr>
              <w:t>mund</w:t>
            </w:r>
            <w:r w:rsidRPr="00537112">
              <w:rPr>
                <w:rFonts w:cs="Verdana"/>
                <w:sz w:val="20"/>
                <w:szCs w:val="20"/>
              </w:rPr>
              <w:t>a</w:t>
            </w:r>
            <w:r w:rsidRPr="00537112">
              <w:rPr>
                <w:rFonts w:cs="Verdana"/>
                <w:spacing w:val="-11"/>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pacing w:val="-1"/>
                <w:sz w:val="20"/>
                <w:szCs w:val="20"/>
              </w:rPr>
              <w:t>c</w:t>
            </w:r>
            <w:r w:rsidRPr="00537112">
              <w:rPr>
                <w:rFonts w:cs="Verdana"/>
                <w:sz w:val="20"/>
                <w:szCs w:val="20"/>
              </w:rPr>
              <w:t>al</w:t>
            </w:r>
            <w:r w:rsidRPr="00537112">
              <w:rPr>
                <w:rFonts w:cs="Verdana"/>
                <w:spacing w:val="-3"/>
                <w:sz w:val="20"/>
                <w:szCs w:val="20"/>
              </w:rPr>
              <w:t xml:space="preserve"> </w:t>
            </w:r>
            <w:r w:rsidRPr="00537112">
              <w:rPr>
                <w:rFonts w:cs="Verdana"/>
                <w:sz w:val="20"/>
                <w:szCs w:val="20"/>
              </w:rPr>
              <w:t>C</w:t>
            </w:r>
            <w:r w:rsidRPr="00537112">
              <w:rPr>
                <w:rFonts w:cs="Verdana"/>
                <w:spacing w:val="-1"/>
                <w:sz w:val="20"/>
                <w:szCs w:val="20"/>
              </w:rPr>
              <w:t>or</w:t>
            </w:r>
            <w:r w:rsidRPr="00537112">
              <w:rPr>
                <w:rFonts w:cs="Verdana"/>
                <w:sz w:val="20"/>
                <w:szCs w:val="20"/>
              </w:rPr>
              <w:t>a</w:t>
            </w:r>
            <w:r w:rsidRPr="00537112">
              <w:rPr>
                <w:rFonts w:cs="Verdana"/>
                <w:spacing w:val="1"/>
                <w:sz w:val="20"/>
                <w:szCs w:val="20"/>
              </w:rPr>
              <w:t>z</w:t>
            </w:r>
            <w:r w:rsidRPr="00537112">
              <w:rPr>
                <w:rFonts w:cs="Verdana"/>
                <w:spacing w:val="-1"/>
                <w:sz w:val="20"/>
                <w:szCs w:val="20"/>
              </w:rPr>
              <w:t>ó</w:t>
            </w:r>
            <w:r w:rsidRPr="00537112">
              <w:rPr>
                <w:rFonts w:cs="Verdana"/>
                <w:sz w:val="20"/>
                <w:szCs w:val="20"/>
              </w:rPr>
              <w:t>n</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33" w:line="240" w:lineRule="auto"/>
              <w:ind w:right="-20"/>
              <w:jc w:val="left"/>
              <w:textAlignment w:val="auto"/>
              <w:rPr>
                <w:rFonts w:ascii="Times New Roman" w:hAnsi="Times New Roman"/>
              </w:rPr>
            </w:pPr>
            <w:r w:rsidRPr="00537112">
              <w:rPr>
                <w:rFonts w:cs="Verdana"/>
                <w:sz w:val="20"/>
                <w:szCs w:val="20"/>
              </w:rPr>
              <w:t>3</w:t>
            </w:r>
            <w:r w:rsidRPr="00537112">
              <w:rPr>
                <w:rFonts w:cs="Verdana"/>
                <w:spacing w:val="1"/>
                <w:sz w:val="20"/>
                <w:szCs w:val="20"/>
              </w:rPr>
              <w:t>00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33" w:line="240" w:lineRule="auto"/>
              <w:ind w:right="-20"/>
              <w:jc w:val="left"/>
              <w:textAlignment w:val="auto"/>
              <w:rPr>
                <w:rFonts w:ascii="Times New Roman" w:hAnsi="Times New Roman"/>
              </w:rPr>
            </w:pPr>
            <w:r w:rsidRPr="00537112">
              <w:rPr>
                <w:rFonts w:cs="Verdana"/>
                <w:spacing w:val="1"/>
                <w:sz w:val="20"/>
                <w:szCs w:val="20"/>
              </w:rPr>
              <w:t>R</w:t>
            </w:r>
            <w:r w:rsidRPr="00537112">
              <w:rPr>
                <w:rFonts w:cs="Verdana"/>
                <w:sz w:val="20"/>
                <w:szCs w:val="20"/>
              </w:rPr>
              <w:t>a</w:t>
            </w:r>
            <w:r w:rsidRPr="00537112">
              <w:rPr>
                <w:rFonts w:cs="Verdana"/>
                <w:spacing w:val="1"/>
                <w:sz w:val="20"/>
                <w:szCs w:val="20"/>
              </w:rPr>
              <w:t>m</w:t>
            </w:r>
            <w:r w:rsidRPr="00537112">
              <w:rPr>
                <w:rFonts w:cs="Verdana"/>
                <w:spacing w:val="-1"/>
                <w:sz w:val="20"/>
                <w:szCs w:val="20"/>
              </w:rPr>
              <w:t>ó</w:t>
            </w:r>
            <w:r w:rsidRPr="00537112">
              <w:rPr>
                <w:rFonts w:cs="Verdana"/>
                <w:sz w:val="20"/>
                <w:szCs w:val="20"/>
              </w:rPr>
              <w:t>n</w:t>
            </w:r>
            <w:r w:rsidRPr="00537112">
              <w:rPr>
                <w:rFonts w:cs="Verdana"/>
                <w:spacing w:val="-7"/>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p>
        </w:tc>
      </w:tr>
      <w:tr w:rsidR="00537112" w:rsidRPr="00537112" w:rsidTr="00630EEC">
        <w:trPr>
          <w:trHeight w:hRule="exact" w:val="434"/>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33"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33"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83" w:line="240" w:lineRule="auto"/>
              <w:ind w:right="-20"/>
              <w:jc w:val="left"/>
              <w:textAlignment w:val="auto"/>
              <w:rPr>
                <w:rFonts w:ascii="Times New Roman" w:hAnsi="Times New Roman"/>
              </w:rPr>
            </w:pPr>
            <w:r w:rsidRPr="00537112">
              <w:rPr>
                <w:rFonts w:cs="Verdana"/>
                <w:sz w:val="20"/>
                <w:szCs w:val="20"/>
              </w:rPr>
              <w:t>3</w:t>
            </w:r>
            <w:r w:rsidRPr="00537112">
              <w:rPr>
                <w:rFonts w:cs="Verdana"/>
                <w:spacing w:val="1"/>
                <w:sz w:val="20"/>
                <w:szCs w:val="20"/>
              </w:rPr>
              <w:t>01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83" w:line="240" w:lineRule="auto"/>
              <w:ind w:right="-20"/>
              <w:jc w:val="left"/>
              <w:textAlignment w:val="auto"/>
              <w:rPr>
                <w:rFonts w:ascii="Times New Roman" w:hAnsi="Times New Roman"/>
              </w:rPr>
            </w:pPr>
            <w:r w:rsidRPr="00537112">
              <w:rPr>
                <w:rFonts w:cs="Verdana"/>
                <w:spacing w:val="-1"/>
                <w:sz w:val="20"/>
                <w:szCs w:val="20"/>
              </w:rPr>
              <w:t>Gre</w:t>
            </w:r>
            <w:r w:rsidRPr="00537112">
              <w:rPr>
                <w:rFonts w:cs="Verdana"/>
                <w:spacing w:val="1"/>
                <w:sz w:val="20"/>
                <w:szCs w:val="20"/>
              </w:rPr>
              <w:t>g</w:t>
            </w:r>
            <w:r w:rsidRPr="00537112">
              <w:rPr>
                <w:rFonts w:cs="Verdana"/>
                <w:spacing w:val="-1"/>
                <w:sz w:val="20"/>
                <w:szCs w:val="20"/>
              </w:rPr>
              <w:t>or</w:t>
            </w:r>
            <w:r w:rsidRPr="00537112">
              <w:rPr>
                <w:rFonts w:cs="Verdana"/>
                <w:spacing w:val="3"/>
                <w:sz w:val="20"/>
                <w:szCs w:val="20"/>
              </w:rPr>
              <w:t>i</w:t>
            </w:r>
            <w:r w:rsidRPr="00537112">
              <w:rPr>
                <w:rFonts w:cs="Verdana"/>
                <w:sz w:val="20"/>
                <w:szCs w:val="20"/>
              </w:rPr>
              <w:t>a</w:t>
            </w:r>
            <w:r w:rsidRPr="00537112">
              <w:rPr>
                <w:rFonts w:cs="Verdana"/>
                <w:spacing w:val="-9"/>
                <w:sz w:val="20"/>
                <w:szCs w:val="20"/>
              </w:rPr>
              <w:t xml:space="preserve"> </w:t>
            </w:r>
            <w:r w:rsidRPr="00537112">
              <w:rPr>
                <w:rFonts w:cs="Verdana"/>
                <w:sz w:val="20"/>
                <w:szCs w:val="20"/>
              </w:rPr>
              <w:t>C</w:t>
            </w:r>
            <w:r w:rsidRPr="00537112">
              <w:rPr>
                <w:rFonts w:cs="Verdana"/>
                <w:spacing w:val="-1"/>
                <w:sz w:val="20"/>
                <w:szCs w:val="20"/>
              </w:rPr>
              <w:t>or</w:t>
            </w:r>
            <w:r w:rsidRPr="00537112">
              <w:rPr>
                <w:rFonts w:cs="Verdana"/>
                <w:sz w:val="20"/>
                <w:szCs w:val="20"/>
              </w:rPr>
              <w:t>a</w:t>
            </w:r>
            <w:r w:rsidRPr="00537112">
              <w:rPr>
                <w:rFonts w:cs="Verdana"/>
                <w:spacing w:val="1"/>
                <w:sz w:val="20"/>
                <w:szCs w:val="20"/>
              </w:rPr>
              <w:t>z</w:t>
            </w:r>
            <w:r w:rsidRPr="00537112">
              <w:rPr>
                <w:rFonts w:cs="Verdana"/>
                <w:spacing w:val="-1"/>
                <w:sz w:val="20"/>
                <w:szCs w:val="20"/>
              </w:rPr>
              <w:t>ón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83"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83"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02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Ba</w:t>
            </w:r>
            <w:r w:rsidRPr="00537112">
              <w:rPr>
                <w:rFonts w:cs="Verdana"/>
                <w:spacing w:val="3"/>
                <w:position w:val="-1"/>
                <w:sz w:val="20"/>
                <w:szCs w:val="20"/>
              </w:rPr>
              <w:t>l</w:t>
            </w:r>
            <w:r w:rsidRPr="00537112">
              <w:rPr>
                <w:rFonts w:cs="Verdana"/>
                <w:spacing w:val="1"/>
                <w:position w:val="-1"/>
                <w:sz w:val="20"/>
                <w:szCs w:val="20"/>
              </w:rPr>
              <w:t>b</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or</w:t>
            </w:r>
            <w:r w:rsidRPr="00537112">
              <w:rPr>
                <w:rFonts w:cs="Verdana"/>
                <w:position w:val="-1"/>
                <w:sz w:val="20"/>
                <w:szCs w:val="20"/>
              </w:rPr>
              <w:t>a</w:t>
            </w:r>
            <w:r w:rsidRPr="00537112">
              <w:rPr>
                <w:rFonts w:cs="Verdana"/>
                <w:spacing w:val="1"/>
                <w:position w:val="-1"/>
                <w:sz w:val="20"/>
                <w:szCs w:val="20"/>
              </w:rPr>
              <w:t>z</w:t>
            </w:r>
            <w:r w:rsidRPr="00537112">
              <w:rPr>
                <w:rFonts w:cs="Verdana"/>
                <w:spacing w:val="-1"/>
                <w:position w:val="-1"/>
                <w:sz w:val="20"/>
                <w:szCs w:val="20"/>
              </w:rPr>
              <w:t>ó</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03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position w:val="-1"/>
                <w:sz w:val="20"/>
                <w:szCs w:val="20"/>
              </w:rPr>
              <w:t>o</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or</w:t>
            </w:r>
            <w:r w:rsidRPr="00537112">
              <w:rPr>
                <w:rFonts w:cs="Verdana"/>
                <w:position w:val="-1"/>
                <w:sz w:val="20"/>
                <w:szCs w:val="20"/>
              </w:rPr>
              <w:t>a</w:t>
            </w:r>
            <w:r w:rsidRPr="00537112">
              <w:rPr>
                <w:rFonts w:cs="Verdana"/>
                <w:spacing w:val="1"/>
                <w:position w:val="-1"/>
                <w:sz w:val="20"/>
                <w:szCs w:val="20"/>
              </w:rPr>
              <w:t>z</w:t>
            </w:r>
            <w:r w:rsidRPr="00537112">
              <w:rPr>
                <w:rFonts w:cs="Verdana"/>
                <w:spacing w:val="-1"/>
                <w:position w:val="-1"/>
                <w:sz w:val="20"/>
                <w:szCs w:val="20"/>
              </w:rPr>
              <w:t>ó</w:t>
            </w:r>
            <w:r w:rsidRPr="00537112">
              <w:rPr>
                <w:rFonts w:cs="Verdana"/>
                <w:position w:val="-1"/>
                <w:sz w:val="20"/>
                <w:szCs w:val="20"/>
              </w:rPr>
              <w:t>n</w:t>
            </w:r>
            <w:r w:rsidRPr="00537112">
              <w:rPr>
                <w:rFonts w:cs="Verdana"/>
                <w:spacing w:val="-8"/>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w:t>
            </w:r>
            <w:r w:rsidRPr="00537112">
              <w:rPr>
                <w:rFonts w:cs="Verdana"/>
                <w:position w:val="-1"/>
                <w:sz w:val="20"/>
                <w:szCs w:val="20"/>
              </w:rPr>
              <w:t>o</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pgSz w:w="12260" w:h="15840"/>
          <w:pgMar w:top="760" w:right="900" w:bottom="280" w:left="900" w:header="493" w:footer="0" w:gutter="0"/>
          <w:cols w:space="720"/>
          <w:noEndnote/>
        </w:sectPr>
      </w:pPr>
    </w:p>
    <w:p w:rsidR="00537112" w:rsidRPr="00537112" w:rsidRDefault="00537112" w:rsidP="00537112">
      <w:pPr>
        <w:autoSpaceDE w:val="0"/>
        <w:autoSpaceDN w:val="0"/>
        <w:spacing w:before="16" w:line="280" w:lineRule="exact"/>
        <w:jc w:val="left"/>
        <w:textAlignment w:val="auto"/>
        <w:rPr>
          <w:rFonts w:ascii="Times New Roman" w:hAnsi="Times New Roman"/>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772"/>
        <w:gridCol w:w="4496"/>
      </w:tblGrid>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58</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0"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cs="Verdana"/>
                <w:sz w:val="20"/>
                <w:szCs w:val="20"/>
              </w:rPr>
            </w:pPr>
            <w:r w:rsidRPr="00537112">
              <w:rPr>
                <w:rFonts w:cs="Verdana"/>
                <w:sz w:val="20"/>
                <w:szCs w:val="20"/>
              </w:rPr>
              <w:t>D</w:t>
            </w:r>
            <w:r w:rsidRPr="00537112">
              <w:rPr>
                <w:rFonts w:cs="Verdana"/>
                <w:spacing w:val="-1"/>
                <w:sz w:val="20"/>
                <w:szCs w:val="20"/>
              </w:rPr>
              <w:t>o</w:t>
            </w:r>
            <w:r w:rsidRPr="00537112">
              <w:rPr>
                <w:rFonts w:cs="Verdana"/>
                <w:spacing w:val="1"/>
                <w:sz w:val="20"/>
                <w:szCs w:val="20"/>
              </w:rPr>
              <w:t>m</w:t>
            </w:r>
            <w:r w:rsidRPr="00537112">
              <w:rPr>
                <w:rFonts w:cs="Verdana"/>
                <w:spacing w:val="3"/>
                <w:sz w:val="20"/>
                <w:szCs w:val="20"/>
              </w:rPr>
              <w:t>i</w:t>
            </w:r>
            <w:r w:rsidRPr="00537112">
              <w:rPr>
                <w:rFonts w:cs="Verdana"/>
                <w:spacing w:val="1"/>
                <w:sz w:val="20"/>
                <w:szCs w:val="20"/>
              </w:rPr>
              <w:t>ng</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R</w:t>
            </w:r>
            <w:r w:rsidRPr="00537112">
              <w:rPr>
                <w:rFonts w:cs="Verdana"/>
                <w:spacing w:val="-1"/>
                <w:sz w:val="20"/>
                <w:szCs w:val="20"/>
              </w:rPr>
              <w:t>e</w:t>
            </w:r>
            <w:r w:rsidRPr="00537112">
              <w:rPr>
                <w:rFonts w:cs="Verdana"/>
                <w:sz w:val="20"/>
                <w:szCs w:val="20"/>
              </w:rPr>
              <w:t>y</w:t>
            </w:r>
            <w:r w:rsidRPr="00537112">
              <w:rPr>
                <w:rFonts w:cs="Verdana"/>
                <w:spacing w:val="-1"/>
                <w:sz w:val="20"/>
                <w:szCs w:val="20"/>
              </w:rPr>
              <w:t>e</w:t>
            </w:r>
            <w:r w:rsidRPr="00537112">
              <w:rPr>
                <w:rFonts w:cs="Verdana"/>
                <w:sz w:val="20"/>
                <w:szCs w:val="20"/>
              </w:rPr>
              <w:t>s</w:t>
            </w:r>
            <w:r w:rsidRPr="00537112">
              <w:rPr>
                <w:rFonts w:cs="Verdana"/>
                <w:spacing w:val="-7"/>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w:t>
            </w:r>
            <w:r w:rsidRPr="00537112">
              <w:rPr>
                <w:rFonts w:cs="Verdana"/>
                <w:sz w:val="20"/>
                <w:szCs w:val="20"/>
              </w:rPr>
              <w:t>o</w:t>
            </w:r>
            <w:r w:rsidRPr="00537112">
              <w:rPr>
                <w:rFonts w:cs="Verdana"/>
                <w:spacing w:val="-4"/>
                <w:sz w:val="20"/>
                <w:szCs w:val="20"/>
              </w:rPr>
              <w:t xml:space="preserve"> </w:t>
            </w:r>
            <w:r w:rsidRPr="00537112">
              <w:rPr>
                <w:rFonts w:cs="Verdana"/>
                <w:sz w:val="20"/>
                <w:szCs w:val="20"/>
              </w:rPr>
              <w:t>D</w:t>
            </w:r>
            <w:r w:rsidRPr="00537112">
              <w:rPr>
                <w:rFonts w:cs="Verdana"/>
                <w:spacing w:val="-1"/>
                <w:sz w:val="20"/>
                <w:szCs w:val="20"/>
              </w:rPr>
              <w:t>o</w:t>
            </w:r>
            <w:r w:rsidRPr="00537112">
              <w:rPr>
                <w:rFonts w:cs="Verdana"/>
                <w:spacing w:val="1"/>
                <w:sz w:val="20"/>
                <w:szCs w:val="20"/>
              </w:rPr>
              <w:t>m</w:t>
            </w:r>
            <w:r w:rsidRPr="00537112">
              <w:rPr>
                <w:rFonts w:cs="Verdana"/>
                <w:spacing w:val="3"/>
                <w:sz w:val="20"/>
                <w:szCs w:val="20"/>
              </w:rPr>
              <w:t>i</w:t>
            </w:r>
            <w:r w:rsidRPr="00537112">
              <w:rPr>
                <w:rFonts w:cs="Verdana"/>
                <w:spacing w:val="1"/>
                <w:sz w:val="20"/>
                <w:szCs w:val="20"/>
              </w:rPr>
              <w:t>ng</w:t>
            </w:r>
            <w:r w:rsidRPr="00537112">
              <w:rPr>
                <w:rFonts w:cs="Verdana"/>
                <w:sz w:val="20"/>
                <w:szCs w:val="20"/>
              </w:rPr>
              <w:t>o</w:t>
            </w:r>
          </w:p>
          <w:p w:rsidR="00537112" w:rsidRPr="00537112" w:rsidRDefault="00537112" w:rsidP="00537112">
            <w:pPr>
              <w:autoSpaceDE w:val="0"/>
              <w:autoSpaceDN w:val="0"/>
              <w:spacing w:before="16" w:line="240" w:lineRule="auto"/>
              <w:ind w:right="-20"/>
              <w:jc w:val="left"/>
              <w:textAlignment w:val="auto"/>
              <w:rPr>
                <w:rFonts w:ascii="Times New Roman" w:hAnsi="Times New Roman"/>
              </w:rPr>
            </w:pP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R</w:t>
            </w:r>
            <w:r w:rsidRPr="00537112">
              <w:rPr>
                <w:rFonts w:cs="Verdana"/>
                <w:spacing w:val="-1"/>
                <w:sz w:val="20"/>
                <w:szCs w:val="20"/>
              </w:rPr>
              <w:t>e</w:t>
            </w:r>
            <w:r w:rsidRPr="00537112">
              <w:rPr>
                <w:rFonts w:cs="Verdana"/>
                <w:sz w:val="20"/>
                <w:szCs w:val="20"/>
              </w:rPr>
              <w:t>y</w:t>
            </w:r>
            <w:r w:rsidRPr="00537112">
              <w:rPr>
                <w:rFonts w:cs="Verdana"/>
                <w:spacing w:val="-1"/>
                <w:sz w:val="20"/>
                <w:szCs w:val="20"/>
              </w:rPr>
              <w:t>es</w:t>
            </w:r>
            <w:r w:rsidRPr="00537112">
              <w:rPr>
                <w:rFonts w:cs="Verdana"/>
                <w:sz w:val="20"/>
                <w:szCs w:val="20"/>
              </w:rPr>
              <w:t>)</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04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T</w:t>
            </w:r>
            <w:r w:rsidRPr="00537112">
              <w:rPr>
                <w:rFonts w:cs="Verdana"/>
                <w:spacing w:val="1"/>
                <w:position w:val="-1"/>
                <w:sz w:val="20"/>
                <w:szCs w:val="20"/>
              </w:rPr>
              <w:t>ú</w:t>
            </w:r>
            <w:r w:rsidRPr="00537112">
              <w:rPr>
                <w:rFonts w:cs="Verdana"/>
                <w:position w:val="-1"/>
                <w:sz w:val="20"/>
                <w:szCs w:val="20"/>
              </w:rPr>
              <w:t>m</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05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And</w:t>
            </w:r>
            <w:r w:rsidRPr="00537112">
              <w:rPr>
                <w:rFonts w:cs="Verdana"/>
                <w:spacing w:val="-1"/>
                <w:position w:val="-1"/>
                <w:sz w:val="20"/>
                <w:szCs w:val="20"/>
              </w:rPr>
              <w:t>ré</w:t>
            </w:r>
            <w:r w:rsidRPr="00537112">
              <w:rPr>
                <w:rFonts w:cs="Verdana"/>
                <w:position w:val="-1"/>
                <w:sz w:val="20"/>
                <w:szCs w:val="20"/>
              </w:rPr>
              <w:t>s</w:t>
            </w:r>
            <w:r w:rsidRPr="00537112">
              <w:rPr>
                <w:rFonts w:cs="Verdana"/>
                <w:spacing w:val="-8"/>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06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g</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07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c</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08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09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T</w:t>
            </w:r>
            <w:r w:rsidRPr="00537112">
              <w:rPr>
                <w:rFonts w:cs="Verdana"/>
                <w:spacing w:val="-1"/>
                <w:sz w:val="20"/>
                <w:szCs w:val="20"/>
              </w:rPr>
              <w:t>or</w:t>
            </w:r>
            <w:r w:rsidRPr="00537112">
              <w:rPr>
                <w:rFonts w:cs="Verdana"/>
                <w:spacing w:val="3"/>
                <w:sz w:val="20"/>
                <w:szCs w:val="20"/>
              </w:rPr>
              <w:t>i</w:t>
            </w:r>
            <w:r w:rsidRPr="00537112">
              <w:rPr>
                <w:rFonts w:cs="Verdana"/>
                <w:spacing w:val="1"/>
                <w:sz w:val="20"/>
                <w:szCs w:val="20"/>
              </w:rPr>
              <w:t>b</w:t>
            </w:r>
            <w:r w:rsidRPr="00537112">
              <w:rPr>
                <w:rFonts w:cs="Verdana"/>
                <w:spacing w:val="3"/>
                <w:sz w:val="20"/>
                <w:szCs w:val="20"/>
              </w:rPr>
              <w:t>i</w:t>
            </w:r>
            <w:r w:rsidRPr="00537112">
              <w:rPr>
                <w:rFonts w:cs="Verdana"/>
                <w:sz w:val="20"/>
                <w:szCs w:val="20"/>
              </w:rPr>
              <w:t>a</w:t>
            </w:r>
            <w:r w:rsidRPr="00537112">
              <w:rPr>
                <w:rFonts w:cs="Verdana"/>
                <w:spacing w:val="-7"/>
                <w:sz w:val="20"/>
                <w:szCs w:val="20"/>
              </w:rPr>
              <w:t xml:space="preserve"> </w:t>
            </w:r>
            <w:r w:rsidRPr="00537112">
              <w:rPr>
                <w:rFonts w:cs="Verdana"/>
                <w:spacing w:val="1"/>
                <w:sz w:val="20"/>
                <w:szCs w:val="20"/>
              </w:rPr>
              <w:t>R</w:t>
            </w:r>
            <w:r w:rsidRPr="00537112">
              <w:rPr>
                <w:rFonts w:cs="Verdana"/>
                <w:spacing w:val="-1"/>
                <w:sz w:val="20"/>
                <w:szCs w:val="20"/>
              </w:rPr>
              <w:t>e</w:t>
            </w:r>
            <w:r w:rsidRPr="00537112">
              <w:rPr>
                <w:rFonts w:cs="Verdana"/>
                <w:sz w:val="20"/>
                <w:szCs w:val="20"/>
              </w:rPr>
              <w:t>y</w:t>
            </w:r>
            <w:r w:rsidRPr="00537112">
              <w:rPr>
                <w:rFonts w:cs="Verdana"/>
                <w:spacing w:val="-1"/>
                <w:sz w:val="20"/>
                <w:szCs w:val="20"/>
              </w:rPr>
              <w:t>e</w:t>
            </w:r>
            <w:r w:rsidRPr="00537112">
              <w:rPr>
                <w:rFonts w:cs="Verdana"/>
                <w:sz w:val="20"/>
                <w:szCs w:val="20"/>
              </w:rPr>
              <w:t>s</w:t>
            </w:r>
            <w:r w:rsidRPr="00537112">
              <w:rPr>
                <w:rFonts w:cs="Verdana"/>
                <w:spacing w:val="-7"/>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m</w:t>
            </w:r>
            <w:r w:rsidRPr="00537112">
              <w:rPr>
                <w:rFonts w:cs="Verdana"/>
                <w:sz w:val="20"/>
                <w:szCs w:val="20"/>
              </w:rPr>
              <w:t>án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3" w:line="280" w:lineRule="exact"/>
              <w:jc w:val="left"/>
              <w:textAlignment w:val="auto"/>
              <w:rPr>
                <w:rFonts w:ascii="Times New Roman" w:hAnsi="Times New Roman"/>
                <w:sz w:val="28"/>
                <w:szCs w:val="28"/>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59</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4" w:line="280" w:lineRule="exact"/>
              <w:jc w:val="left"/>
              <w:textAlignment w:val="auto"/>
              <w:rPr>
                <w:rFonts w:ascii="Times New Roman" w:hAnsi="Times New Roman"/>
                <w:sz w:val="28"/>
                <w:szCs w:val="28"/>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E</w:t>
            </w:r>
            <w:r w:rsidRPr="00537112">
              <w:rPr>
                <w:rFonts w:cs="Verdana"/>
                <w:spacing w:val="3"/>
                <w:sz w:val="20"/>
                <w:szCs w:val="20"/>
              </w:rPr>
              <w:t>lí</w:t>
            </w:r>
            <w:r w:rsidRPr="00537112">
              <w:rPr>
                <w:rFonts w:cs="Verdana"/>
                <w:sz w:val="20"/>
                <w:szCs w:val="20"/>
              </w:rPr>
              <w:t>as</w:t>
            </w:r>
            <w:r w:rsidRPr="00537112">
              <w:rPr>
                <w:rFonts w:cs="Verdana"/>
                <w:spacing w:val="-6"/>
                <w:sz w:val="20"/>
                <w:szCs w:val="20"/>
              </w:rPr>
              <w:t xml:space="preserve"> </w:t>
            </w:r>
            <w:r w:rsidRPr="00537112">
              <w:rPr>
                <w:rFonts w:cs="Verdana"/>
                <w:sz w:val="20"/>
                <w:szCs w:val="20"/>
              </w:rPr>
              <w:t>M</w:t>
            </w:r>
            <w:r w:rsidRPr="00537112">
              <w:rPr>
                <w:rFonts w:cs="Verdana"/>
                <w:spacing w:val="3"/>
                <w:sz w:val="20"/>
                <w:szCs w:val="20"/>
              </w:rPr>
              <w:t>ili</w:t>
            </w:r>
            <w:r w:rsidRPr="00537112">
              <w:rPr>
                <w:rFonts w:cs="Verdana"/>
                <w:sz w:val="20"/>
                <w:szCs w:val="20"/>
              </w:rPr>
              <w:t>án</w:t>
            </w:r>
            <w:r w:rsidRPr="00537112">
              <w:rPr>
                <w:rFonts w:cs="Verdana"/>
                <w:spacing w:val="-6"/>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á</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10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i</w:t>
            </w:r>
            <w:r w:rsidRPr="00537112">
              <w:rPr>
                <w:rFonts w:cs="Verdana"/>
                <w:spacing w:val="1"/>
                <w:position w:val="-1"/>
                <w:sz w:val="20"/>
                <w:szCs w:val="20"/>
              </w:rPr>
              <w:t>d</w:t>
            </w:r>
            <w:r w:rsidRPr="00537112">
              <w:rPr>
                <w:rFonts w:cs="Verdana"/>
                <w:spacing w:val="-1"/>
                <w:position w:val="-1"/>
                <w:sz w:val="20"/>
                <w:szCs w:val="20"/>
              </w:rPr>
              <w:t>e</w:t>
            </w:r>
            <w:r w:rsidRPr="00537112">
              <w:rPr>
                <w:rFonts w:cs="Verdana"/>
                <w:spacing w:val="3"/>
                <w:position w:val="-1"/>
                <w:sz w:val="20"/>
                <w:szCs w:val="20"/>
              </w:rPr>
              <w:t>li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11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Am</w:t>
            </w:r>
            <w:r w:rsidRPr="00537112">
              <w:rPr>
                <w:rFonts w:cs="Verdana"/>
                <w:spacing w:val="-1"/>
                <w:position w:val="-1"/>
                <w:sz w:val="20"/>
                <w:szCs w:val="20"/>
              </w:rPr>
              <w:t>e</w:t>
            </w:r>
            <w:r w:rsidRPr="00537112">
              <w:rPr>
                <w:rFonts w:cs="Verdana"/>
                <w:spacing w:val="3"/>
                <w:position w:val="-1"/>
                <w:sz w:val="20"/>
                <w:szCs w:val="20"/>
              </w:rPr>
              <w:t>li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re</w:t>
            </w:r>
            <w:r w:rsidRPr="00537112">
              <w:rPr>
                <w:rFonts w:cs="Verdana"/>
                <w:spacing w:val="1"/>
                <w:position w:val="-1"/>
                <w:sz w:val="20"/>
                <w:szCs w:val="20"/>
              </w:rPr>
              <w:t>p</w:t>
            </w:r>
            <w:r w:rsidRPr="00537112">
              <w:rPr>
                <w:rFonts w:cs="Verdana"/>
                <w:spacing w:val="-1"/>
                <w:position w:val="-1"/>
                <w:sz w:val="20"/>
                <w:szCs w:val="20"/>
              </w:rPr>
              <w:t>e</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d</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12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Ta</w:t>
            </w:r>
            <w:r w:rsidRPr="00537112">
              <w:rPr>
                <w:rFonts w:cs="Verdana"/>
                <w:spacing w:val="-1"/>
                <w:position w:val="-1"/>
                <w:sz w:val="20"/>
                <w:szCs w:val="20"/>
              </w:rPr>
              <w:t>rc</w:t>
            </w:r>
            <w:r w:rsidRPr="00537112">
              <w:rPr>
                <w:rFonts w:cs="Verdana"/>
                <w:spacing w:val="3"/>
                <w:position w:val="-1"/>
                <w:sz w:val="20"/>
                <w:szCs w:val="20"/>
              </w:rPr>
              <w:t>il</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13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14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3"/>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an</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15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v</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Ya</w:t>
            </w:r>
            <w:r w:rsidRPr="00537112">
              <w:rPr>
                <w:rFonts w:cs="Verdana"/>
                <w:spacing w:val="1"/>
                <w:position w:val="-1"/>
                <w:sz w:val="20"/>
                <w:szCs w:val="20"/>
              </w:rPr>
              <w:t>n</w:t>
            </w:r>
            <w:r w:rsidRPr="00537112">
              <w:rPr>
                <w:rFonts w:cs="Verdana"/>
                <w:spacing w:val="-1"/>
                <w:position w:val="-1"/>
                <w:sz w:val="20"/>
                <w:szCs w:val="20"/>
              </w:rPr>
              <w:t>e</w:t>
            </w:r>
            <w:r w:rsidRPr="00537112">
              <w:rPr>
                <w:rFonts w:cs="Verdana"/>
                <w:spacing w:val="1"/>
                <w:position w:val="-1"/>
                <w:sz w:val="20"/>
                <w:szCs w:val="20"/>
              </w:rPr>
              <w:t>t</w:t>
            </w:r>
            <w:r w:rsidRPr="00537112">
              <w:rPr>
                <w:rFonts w:cs="Verdana"/>
                <w:position w:val="-1"/>
                <w:sz w:val="20"/>
                <w:szCs w:val="20"/>
              </w:rPr>
              <w:t>h</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an</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16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dg</w:t>
            </w:r>
            <w:r w:rsidRPr="00537112">
              <w:rPr>
                <w:rFonts w:cs="Verdana"/>
                <w:position w:val="-1"/>
                <w:sz w:val="20"/>
                <w:szCs w:val="20"/>
              </w:rPr>
              <w:t>ar</w:t>
            </w:r>
            <w:r w:rsidRPr="00537112">
              <w:rPr>
                <w:rFonts w:cs="Verdana"/>
                <w:spacing w:val="-8"/>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é</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an</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17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Ang</w:t>
            </w:r>
            <w:r w:rsidRPr="00537112">
              <w:rPr>
                <w:rFonts w:cs="Verdana"/>
                <w:spacing w:val="-1"/>
                <w:position w:val="-1"/>
                <w:sz w:val="20"/>
                <w:szCs w:val="20"/>
              </w:rPr>
              <w:t>é</w:t>
            </w:r>
            <w:r w:rsidRPr="00537112">
              <w:rPr>
                <w:rFonts w:cs="Verdana"/>
                <w:spacing w:val="3"/>
                <w:position w:val="-1"/>
                <w:sz w:val="20"/>
                <w:szCs w:val="20"/>
              </w:rPr>
              <w:t>li</w:t>
            </w:r>
            <w:r w:rsidRPr="00537112">
              <w:rPr>
                <w:rFonts w:cs="Verdana"/>
                <w:spacing w:val="-1"/>
                <w:position w:val="-1"/>
                <w:sz w:val="20"/>
                <w:szCs w:val="20"/>
              </w:rPr>
              <w:t>c</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T</w:t>
            </w:r>
            <w:r w:rsidRPr="00537112">
              <w:rPr>
                <w:rFonts w:cs="Verdana"/>
                <w:spacing w:val="-1"/>
                <w:position w:val="-1"/>
                <w:sz w:val="20"/>
                <w:szCs w:val="20"/>
              </w:rPr>
              <w:t>orre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r w:rsidRPr="00537112">
              <w:rPr>
                <w:rFonts w:cs="Verdana"/>
                <w:spacing w:val="-6"/>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re</w:t>
            </w:r>
            <w:r w:rsidRPr="00537112">
              <w:rPr>
                <w:rFonts w:cs="Verdana"/>
                <w:spacing w:val="1"/>
                <w:position w:val="-1"/>
                <w:sz w:val="20"/>
                <w:szCs w:val="20"/>
              </w:rPr>
              <w:t>p</w:t>
            </w:r>
            <w:r w:rsidRPr="00537112">
              <w:rPr>
                <w:rFonts w:cs="Verdana"/>
                <w:spacing w:val="-1"/>
                <w:position w:val="-1"/>
                <w:sz w:val="20"/>
                <w:szCs w:val="20"/>
              </w:rPr>
              <w:t>e</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d</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18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il</w:t>
            </w:r>
            <w:r w:rsidRPr="00537112">
              <w:rPr>
                <w:rFonts w:cs="Verdana"/>
                <w:spacing w:val="1"/>
                <w:position w:val="-1"/>
                <w:sz w:val="20"/>
                <w:szCs w:val="20"/>
              </w:rPr>
              <w:t>m</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T</w:t>
            </w:r>
            <w:r w:rsidRPr="00537112">
              <w:rPr>
                <w:rFonts w:cs="Verdana"/>
                <w:spacing w:val="-1"/>
                <w:position w:val="-1"/>
                <w:sz w:val="20"/>
                <w:szCs w:val="20"/>
              </w:rPr>
              <w:t>orre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r w:rsidRPr="00537112">
              <w:rPr>
                <w:rFonts w:cs="Verdana"/>
                <w:spacing w:val="-6"/>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re</w:t>
            </w:r>
            <w:r w:rsidRPr="00537112">
              <w:rPr>
                <w:rFonts w:cs="Verdana"/>
                <w:spacing w:val="1"/>
                <w:position w:val="-1"/>
                <w:sz w:val="20"/>
                <w:szCs w:val="20"/>
              </w:rPr>
              <w:t>p</w:t>
            </w:r>
            <w:r w:rsidRPr="00537112">
              <w:rPr>
                <w:rFonts w:cs="Verdana"/>
                <w:spacing w:val="-1"/>
                <w:position w:val="-1"/>
                <w:sz w:val="20"/>
                <w:szCs w:val="20"/>
              </w:rPr>
              <w:t>e</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d</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19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o</w:t>
            </w:r>
            <w:r w:rsidRPr="00537112">
              <w:rPr>
                <w:rFonts w:cs="Verdana"/>
                <w:spacing w:val="1"/>
                <w:position w:val="-1"/>
                <w:sz w:val="20"/>
                <w:szCs w:val="20"/>
              </w:rPr>
              <w:t>nz</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T</w:t>
            </w:r>
            <w:r w:rsidRPr="00537112">
              <w:rPr>
                <w:rFonts w:cs="Verdana"/>
                <w:spacing w:val="-1"/>
                <w:position w:val="-1"/>
                <w:sz w:val="20"/>
                <w:szCs w:val="20"/>
              </w:rPr>
              <w:t>orre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r w:rsidRPr="00537112">
              <w:rPr>
                <w:rFonts w:cs="Verdana"/>
                <w:spacing w:val="-6"/>
                <w:position w:val="-1"/>
                <w:sz w:val="20"/>
                <w:szCs w:val="20"/>
              </w:rPr>
              <w:t xml:space="preserve"> </w:t>
            </w:r>
            <w:r w:rsidRPr="00537112">
              <w:rPr>
                <w:rFonts w:cs="Verdana"/>
                <w:spacing w:val="1"/>
                <w:position w:val="-1"/>
                <w:sz w:val="20"/>
                <w:szCs w:val="20"/>
              </w:rPr>
              <w:t>(</w:t>
            </w:r>
            <w:r w:rsidRPr="00537112">
              <w:rPr>
                <w:rFonts w:cs="Verdana"/>
                <w:spacing w:val="-1"/>
                <w:position w:val="-1"/>
                <w:sz w:val="20"/>
                <w:szCs w:val="20"/>
              </w:rPr>
              <w:t>re</w:t>
            </w:r>
            <w:r w:rsidRPr="00537112">
              <w:rPr>
                <w:rFonts w:cs="Verdana"/>
                <w:spacing w:val="1"/>
                <w:position w:val="-1"/>
                <w:sz w:val="20"/>
                <w:szCs w:val="20"/>
              </w:rPr>
              <w:t>p</w:t>
            </w:r>
            <w:r w:rsidRPr="00537112">
              <w:rPr>
                <w:rFonts w:cs="Verdana"/>
                <w:spacing w:val="-1"/>
                <w:position w:val="-1"/>
                <w:sz w:val="20"/>
                <w:szCs w:val="20"/>
              </w:rPr>
              <w:t>e</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d</w:t>
            </w:r>
            <w:r w:rsidRPr="00537112">
              <w:rPr>
                <w:rFonts w:cs="Verdana"/>
                <w:spacing w:val="-1"/>
                <w:position w:val="-1"/>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60</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Am</w:t>
            </w:r>
            <w:r w:rsidRPr="00537112">
              <w:rPr>
                <w:rFonts w:cs="Verdana"/>
                <w:spacing w:val="-1"/>
                <w:sz w:val="20"/>
                <w:szCs w:val="20"/>
              </w:rPr>
              <w:t>e</w:t>
            </w:r>
            <w:r w:rsidRPr="00537112">
              <w:rPr>
                <w:rFonts w:cs="Verdana"/>
                <w:spacing w:val="3"/>
                <w:sz w:val="20"/>
                <w:szCs w:val="20"/>
              </w:rPr>
              <w:t>li</w:t>
            </w:r>
            <w:r w:rsidRPr="00537112">
              <w:rPr>
                <w:rFonts w:cs="Verdana"/>
                <w:sz w:val="20"/>
                <w:szCs w:val="20"/>
              </w:rPr>
              <w:t>a</w:t>
            </w:r>
            <w:r w:rsidRPr="00537112">
              <w:rPr>
                <w:rFonts w:cs="Verdana"/>
                <w:spacing w:val="-7"/>
                <w:sz w:val="20"/>
                <w:szCs w:val="20"/>
              </w:rPr>
              <w:t xml:space="preserve"> </w:t>
            </w:r>
            <w:r w:rsidRPr="00537112">
              <w:rPr>
                <w:rFonts w:cs="Verdana"/>
                <w:sz w:val="20"/>
                <w:szCs w:val="20"/>
              </w:rPr>
              <w:t>M</w:t>
            </w:r>
            <w:r w:rsidRPr="00537112">
              <w:rPr>
                <w:rFonts w:cs="Verdana"/>
                <w:spacing w:val="3"/>
                <w:sz w:val="20"/>
                <w:szCs w:val="20"/>
              </w:rPr>
              <w:t>ili</w:t>
            </w:r>
            <w:r w:rsidRPr="00537112">
              <w:rPr>
                <w:rFonts w:cs="Verdana"/>
                <w:sz w:val="20"/>
                <w:szCs w:val="20"/>
              </w:rPr>
              <w:t>án</w:t>
            </w:r>
            <w:r w:rsidRPr="00537112">
              <w:rPr>
                <w:rFonts w:cs="Verdana"/>
                <w:spacing w:val="-6"/>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s</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20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T</w:t>
            </w:r>
            <w:r w:rsidRPr="00537112">
              <w:rPr>
                <w:rFonts w:cs="Verdana"/>
                <w:spacing w:val="-1"/>
                <w:position w:val="-1"/>
                <w:sz w:val="20"/>
                <w:szCs w:val="20"/>
              </w:rPr>
              <w:t>orre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21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Ang</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c</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T</w:t>
            </w:r>
            <w:r w:rsidRPr="00537112">
              <w:rPr>
                <w:rFonts w:cs="Verdana"/>
                <w:spacing w:val="-1"/>
                <w:position w:val="-1"/>
                <w:sz w:val="20"/>
                <w:szCs w:val="20"/>
              </w:rPr>
              <w:t>orre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22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il</w:t>
            </w:r>
            <w:r w:rsidRPr="00537112">
              <w:rPr>
                <w:rFonts w:cs="Verdana"/>
                <w:spacing w:val="1"/>
                <w:position w:val="-1"/>
                <w:sz w:val="20"/>
                <w:szCs w:val="20"/>
              </w:rPr>
              <w:t>m</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T</w:t>
            </w:r>
            <w:r w:rsidRPr="00537112">
              <w:rPr>
                <w:rFonts w:cs="Verdana"/>
                <w:spacing w:val="-1"/>
                <w:position w:val="-1"/>
                <w:sz w:val="20"/>
                <w:szCs w:val="20"/>
              </w:rPr>
              <w:t>orre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23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o</w:t>
            </w:r>
            <w:r w:rsidRPr="00537112">
              <w:rPr>
                <w:rFonts w:cs="Verdana"/>
                <w:spacing w:val="1"/>
                <w:position w:val="-1"/>
                <w:sz w:val="20"/>
                <w:szCs w:val="20"/>
              </w:rPr>
              <w:t>nz</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T</w:t>
            </w:r>
            <w:r w:rsidRPr="00537112">
              <w:rPr>
                <w:rFonts w:cs="Verdana"/>
                <w:spacing w:val="-1"/>
                <w:position w:val="-1"/>
                <w:sz w:val="20"/>
                <w:szCs w:val="20"/>
              </w:rPr>
              <w:t>orre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61</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w:t>
            </w:r>
            <w:r w:rsidRPr="00537112">
              <w:rPr>
                <w:rFonts w:cs="Verdana"/>
                <w:spacing w:val="-1"/>
                <w:sz w:val="20"/>
                <w:szCs w:val="20"/>
              </w:rPr>
              <w:t>e</w:t>
            </w:r>
            <w:r w:rsidRPr="00537112">
              <w:rPr>
                <w:rFonts w:cs="Verdana"/>
                <w:spacing w:val="1"/>
                <w:sz w:val="20"/>
                <w:szCs w:val="20"/>
              </w:rPr>
              <w:t>d</w:t>
            </w:r>
            <w:r w:rsidRPr="00537112">
              <w:rPr>
                <w:rFonts w:cs="Verdana"/>
                <w:sz w:val="20"/>
                <w:szCs w:val="20"/>
              </w:rPr>
              <w:t>a</w:t>
            </w:r>
            <w:r w:rsidRPr="00537112">
              <w:rPr>
                <w:rFonts w:cs="Verdana"/>
                <w:spacing w:val="-1"/>
                <w:sz w:val="20"/>
                <w:szCs w:val="20"/>
              </w:rPr>
              <w:t>r</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24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j</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coc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25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1"/>
                <w:position w:val="-1"/>
                <w:sz w:val="20"/>
                <w:szCs w:val="20"/>
              </w:rPr>
              <w:t>ce</w:t>
            </w:r>
            <w:r w:rsidRPr="00537112">
              <w:rPr>
                <w:rFonts w:cs="Verdana"/>
                <w:spacing w:val="1"/>
                <w:position w:val="-1"/>
                <w:sz w:val="20"/>
                <w:szCs w:val="20"/>
              </w:rPr>
              <w:t>p</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ó</w:t>
            </w:r>
            <w:r w:rsidRPr="00537112">
              <w:rPr>
                <w:rFonts w:cs="Verdana"/>
                <w:position w:val="-1"/>
                <w:sz w:val="20"/>
                <w:szCs w:val="20"/>
              </w:rPr>
              <w:t>n</w:t>
            </w:r>
            <w:r w:rsidRPr="00537112">
              <w:rPr>
                <w:rFonts w:cs="Verdana"/>
                <w:spacing w:val="-11"/>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26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g</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L</w:t>
            </w:r>
            <w:r w:rsidRPr="00537112">
              <w:rPr>
                <w:rFonts w:cs="Verdana"/>
                <w:spacing w:val="3"/>
                <w:position w:val="-1"/>
                <w:sz w:val="20"/>
                <w:szCs w:val="20"/>
              </w:rPr>
              <w:t>il</w:t>
            </w:r>
            <w:r w:rsidRPr="00537112">
              <w:rPr>
                <w:rFonts w:cs="Verdana"/>
                <w:position w:val="-1"/>
                <w:sz w:val="20"/>
                <w:szCs w:val="20"/>
              </w:rPr>
              <w:t>i</w:t>
            </w:r>
            <w:r w:rsidRPr="00537112">
              <w:rPr>
                <w:rFonts w:cs="Verdana"/>
                <w:spacing w:val="-1"/>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62</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E</w:t>
            </w:r>
            <w:r w:rsidRPr="00537112">
              <w:rPr>
                <w:rFonts w:cs="Verdana"/>
                <w:spacing w:val="1"/>
                <w:sz w:val="20"/>
                <w:szCs w:val="20"/>
              </w:rPr>
              <w:t>u</w:t>
            </w:r>
            <w:r w:rsidRPr="00537112">
              <w:rPr>
                <w:rFonts w:cs="Verdana"/>
                <w:spacing w:val="-1"/>
                <w:sz w:val="20"/>
                <w:szCs w:val="20"/>
              </w:rPr>
              <w:t>se</w:t>
            </w:r>
            <w:r w:rsidRPr="00537112">
              <w:rPr>
                <w:rFonts w:cs="Verdana"/>
                <w:spacing w:val="1"/>
                <w:sz w:val="20"/>
                <w:szCs w:val="20"/>
              </w:rPr>
              <w:t>b</w:t>
            </w:r>
            <w:r w:rsidRPr="00537112">
              <w:rPr>
                <w:rFonts w:cs="Verdana"/>
                <w:spacing w:val="3"/>
                <w:sz w:val="20"/>
                <w:szCs w:val="20"/>
              </w:rPr>
              <w:t>i</w:t>
            </w:r>
            <w:r w:rsidRPr="00537112">
              <w:rPr>
                <w:rFonts w:cs="Verdana"/>
                <w:sz w:val="20"/>
                <w:szCs w:val="20"/>
              </w:rPr>
              <w:t>a</w:t>
            </w:r>
            <w:r w:rsidRPr="00537112">
              <w:rPr>
                <w:rFonts w:cs="Verdana"/>
                <w:spacing w:val="-8"/>
                <w:sz w:val="20"/>
                <w:szCs w:val="20"/>
              </w:rPr>
              <w:t xml:space="preserve"> </w:t>
            </w:r>
            <w:r w:rsidRPr="00537112">
              <w:rPr>
                <w:rFonts w:cs="Verdana"/>
                <w:spacing w:val="-1"/>
                <w:sz w:val="20"/>
                <w:szCs w:val="20"/>
              </w:rPr>
              <w:t>Gr</w:t>
            </w:r>
            <w:r w:rsidRPr="00537112">
              <w:rPr>
                <w:rFonts w:cs="Verdana"/>
                <w:sz w:val="20"/>
                <w:szCs w:val="20"/>
              </w:rPr>
              <w:t>ave</w:t>
            </w:r>
            <w:r w:rsidRPr="00537112">
              <w:rPr>
                <w:rFonts w:cs="Verdana"/>
                <w:spacing w:val="-8"/>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27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28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ng</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r w:rsidRPr="00537112">
              <w:rPr>
                <w:rFonts w:cs="Verdana"/>
                <w:spacing w:val="-8"/>
                <w:position w:val="-1"/>
                <w:sz w:val="20"/>
                <w:szCs w:val="20"/>
              </w:rPr>
              <w:t xml:space="preserve"> </w:t>
            </w:r>
            <w:r w:rsidRPr="00537112">
              <w:rPr>
                <w:rFonts w:cs="Verdana"/>
                <w:position w:val="-1"/>
                <w:sz w:val="20"/>
                <w:szCs w:val="20"/>
              </w:rPr>
              <w:t>26</w:t>
            </w:r>
            <w:r w:rsidRPr="00537112">
              <w:rPr>
                <w:rFonts w:cs="Verdana"/>
                <w:spacing w:val="1"/>
                <w:position w:val="-1"/>
                <w:sz w:val="20"/>
                <w:szCs w:val="20"/>
              </w:rPr>
              <w:t>07</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4" w:line="280" w:lineRule="exact"/>
              <w:jc w:val="left"/>
              <w:textAlignment w:val="auto"/>
              <w:rPr>
                <w:rFonts w:ascii="Times New Roman" w:hAnsi="Times New Roman"/>
                <w:sz w:val="28"/>
                <w:szCs w:val="28"/>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63</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4" w:line="280" w:lineRule="exact"/>
              <w:jc w:val="left"/>
              <w:textAlignment w:val="auto"/>
              <w:rPr>
                <w:rFonts w:ascii="Times New Roman" w:hAnsi="Times New Roman"/>
                <w:sz w:val="28"/>
                <w:szCs w:val="28"/>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Ju</w:t>
            </w:r>
            <w:r w:rsidRPr="00537112">
              <w:rPr>
                <w:rFonts w:cs="Verdana"/>
                <w:sz w:val="20"/>
                <w:szCs w:val="20"/>
              </w:rPr>
              <w:t>a</w:t>
            </w:r>
            <w:r w:rsidRPr="00537112">
              <w:rPr>
                <w:rFonts w:cs="Verdana"/>
                <w:spacing w:val="1"/>
                <w:sz w:val="20"/>
                <w:szCs w:val="20"/>
              </w:rPr>
              <w:t>n</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r w:rsidRPr="00537112">
              <w:rPr>
                <w:rFonts w:cs="Verdana"/>
                <w:spacing w:val="-6"/>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29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1"/>
                <w:position w:val="-1"/>
                <w:sz w:val="20"/>
                <w:szCs w:val="20"/>
              </w:rPr>
              <w:t>e</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30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u</w:t>
            </w:r>
            <w:r w:rsidRPr="00537112">
              <w:rPr>
                <w:rFonts w:cs="Verdana"/>
                <w:spacing w:val="-1"/>
                <w:position w:val="-1"/>
                <w:sz w:val="20"/>
                <w:szCs w:val="20"/>
              </w:rPr>
              <w:t>se</w:t>
            </w:r>
            <w:r w:rsidRPr="00537112">
              <w:rPr>
                <w:rFonts w:cs="Verdana"/>
                <w:spacing w:val="1"/>
                <w:position w:val="-1"/>
                <w:sz w:val="20"/>
                <w:szCs w:val="20"/>
              </w:rPr>
              <w:t>b</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31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Leó</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32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Er</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nd</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33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34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35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36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í</w:t>
            </w:r>
            <w:r w:rsidRPr="00537112">
              <w:rPr>
                <w:rFonts w:cs="Verdana"/>
                <w:position w:val="-1"/>
                <w:sz w:val="20"/>
                <w:szCs w:val="20"/>
              </w:rPr>
              <w:t>n</w:t>
            </w:r>
            <w:r w:rsidRPr="00537112">
              <w:rPr>
                <w:rFonts w:cs="Verdana"/>
                <w:spacing w:val="-6"/>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37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dg</w:t>
            </w:r>
            <w:r w:rsidRPr="00537112">
              <w:rPr>
                <w:rFonts w:cs="Verdana"/>
                <w:position w:val="-1"/>
                <w:sz w:val="20"/>
                <w:szCs w:val="20"/>
              </w:rPr>
              <w:t>ar</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38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S</w:t>
            </w:r>
            <w:r w:rsidRPr="00537112">
              <w:rPr>
                <w:rFonts w:cs="Verdana"/>
                <w:sz w:val="20"/>
                <w:szCs w:val="20"/>
              </w:rPr>
              <w:t>a</w:t>
            </w:r>
            <w:r w:rsidRPr="00537112">
              <w:rPr>
                <w:rFonts w:cs="Verdana"/>
                <w:spacing w:val="1"/>
                <w:sz w:val="20"/>
                <w:szCs w:val="20"/>
              </w:rPr>
              <w:t>nd</w:t>
            </w:r>
            <w:r w:rsidRPr="00537112">
              <w:rPr>
                <w:rFonts w:cs="Verdana"/>
                <w:spacing w:val="-1"/>
                <w:sz w:val="20"/>
                <w:szCs w:val="20"/>
              </w:rPr>
              <w:t>r</w:t>
            </w:r>
            <w:r w:rsidRPr="00537112">
              <w:rPr>
                <w:rFonts w:cs="Verdana"/>
                <w:sz w:val="20"/>
                <w:szCs w:val="20"/>
              </w:rPr>
              <w:t>a</w:t>
            </w:r>
            <w:r w:rsidRPr="00537112">
              <w:rPr>
                <w:rFonts w:cs="Verdana"/>
                <w:spacing w:val="-7"/>
                <w:sz w:val="20"/>
                <w:szCs w:val="20"/>
              </w:rPr>
              <w:t xml:space="preserve"> </w:t>
            </w:r>
            <w:r w:rsidRPr="00537112">
              <w:rPr>
                <w:rFonts w:cs="Verdana"/>
                <w:sz w:val="20"/>
                <w:szCs w:val="20"/>
              </w:rPr>
              <w:t>Ma</w:t>
            </w:r>
            <w:r w:rsidRPr="00537112">
              <w:rPr>
                <w:rFonts w:cs="Verdana"/>
                <w:spacing w:val="-1"/>
                <w:sz w:val="20"/>
                <w:szCs w:val="20"/>
              </w:rPr>
              <w:t>r</w:t>
            </w:r>
            <w:r w:rsidRPr="00537112">
              <w:rPr>
                <w:rFonts w:cs="Verdana"/>
                <w:spacing w:val="3"/>
                <w:sz w:val="20"/>
                <w:szCs w:val="20"/>
              </w:rPr>
              <w:t>i</w:t>
            </w:r>
            <w:r w:rsidRPr="00537112">
              <w:rPr>
                <w:rFonts w:cs="Verdana"/>
                <w:spacing w:val="1"/>
                <w:sz w:val="20"/>
                <w:szCs w:val="20"/>
              </w:rPr>
              <w:t>b</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r w:rsidRPr="00537112">
              <w:rPr>
                <w:rFonts w:cs="Verdana"/>
                <w:spacing w:val="-6"/>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80"/>
              <w:jc w:val="center"/>
              <w:textAlignment w:val="auto"/>
              <w:rPr>
                <w:rFonts w:ascii="Times New Roman" w:hAnsi="Times New Roman"/>
              </w:rPr>
            </w:pPr>
            <w:r w:rsidRPr="00537112">
              <w:rPr>
                <w:rFonts w:cs="Verdana"/>
                <w:b/>
                <w:bCs/>
                <w:w w:val="99"/>
                <w:sz w:val="20"/>
                <w:szCs w:val="20"/>
              </w:rPr>
              <w:t>64</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V</w:t>
            </w:r>
            <w:r w:rsidRPr="00537112">
              <w:rPr>
                <w:rFonts w:cs="Verdana"/>
                <w:spacing w:val="3"/>
                <w:sz w:val="20"/>
                <w:szCs w:val="20"/>
              </w:rPr>
              <w:t>í</w:t>
            </w:r>
            <w:r w:rsidRPr="00537112">
              <w:rPr>
                <w:rFonts w:cs="Verdana"/>
                <w:spacing w:val="-1"/>
                <w:sz w:val="20"/>
                <w:szCs w:val="20"/>
              </w:rPr>
              <w:t>c</w:t>
            </w:r>
            <w:r w:rsidRPr="00537112">
              <w:rPr>
                <w:rFonts w:cs="Verdana"/>
                <w:spacing w:val="1"/>
                <w:sz w:val="20"/>
                <w:szCs w:val="20"/>
              </w:rPr>
              <w:t>t</w:t>
            </w:r>
            <w:r w:rsidRPr="00537112">
              <w:rPr>
                <w:rFonts w:cs="Verdana"/>
                <w:spacing w:val="-1"/>
                <w:sz w:val="20"/>
                <w:szCs w:val="20"/>
              </w:rPr>
              <w:t>o</w:t>
            </w:r>
            <w:r w:rsidRPr="00537112">
              <w:rPr>
                <w:rFonts w:cs="Verdana"/>
                <w:sz w:val="20"/>
                <w:szCs w:val="20"/>
              </w:rPr>
              <w:t>r</w:t>
            </w:r>
            <w:r w:rsidRPr="00537112">
              <w:rPr>
                <w:rFonts w:cs="Verdana"/>
                <w:spacing w:val="-8"/>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39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ng</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40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w:t>
            </w:r>
            <w:r w:rsidRPr="00537112">
              <w:rPr>
                <w:rFonts w:cs="Verdana"/>
                <w:position w:val="-1"/>
                <w:sz w:val="20"/>
                <w:szCs w:val="20"/>
              </w:rPr>
              <w:t>r</w:t>
            </w:r>
            <w:r w:rsidRPr="00537112">
              <w:rPr>
                <w:rFonts w:cs="Verdana"/>
                <w:spacing w:val="-8"/>
                <w:position w:val="-1"/>
                <w:sz w:val="20"/>
                <w:szCs w:val="20"/>
              </w:rPr>
              <w:t xml:space="preserve"> </w:t>
            </w:r>
            <w:r w:rsidRPr="00537112">
              <w:rPr>
                <w:rFonts w:cs="Verdana"/>
                <w:position w:val="-1"/>
                <w:sz w:val="20"/>
                <w:szCs w:val="20"/>
              </w:rPr>
              <w:t>Cá</w:t>
            </w:r>
            <w:r w:rsidRPr="00537112">
              <w:rPr>
                <w:rFonts w:cs="Verdana"/>
                <w:spacing w:val="-1"/>
                <w:position w:val="-1"/>
                <w:sz w:val="20"/>
                <w:szCs w:val="20"/>
              </w:rPr>
              <w:t>s</w:t>
            </w:r>
            <w:r w:rsidRPr="00537112">
              <w:rPr>
                <w:rFonts w:cs="Verdana"/>
                <w:spacing w:val="1"/>
                <w:position w:val="-1"/>
                <w:sz w:val="20"/>
                <w:szCs w:val="20"/>
              </w:rPr>
              <w:t>tu</w:t>
            </w:r>
            <w:r w:rsidRPr="00537112">
              <w:rPr>
                <w:rFonts w:cs="Verdana"/>
                <w:spacing w:val="3"/>
                <w:position w:val="-1"/>
                <w:sz w:val="20"/>
                <w:szCs w:val="20"/>
              </w:rPr>
              <w:t>l</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41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c</w:t>
            </w:r>
            <w:r w:rsidRPr="00537112">
              <w:rPr>
                <w:rFonts w:cs="Verdana"/>
                <w:position w:val="-1"/>
                <w:sz w:val="20"/>
                <w:szCs w:val="20"/>
              </w:rPr>
              <w:t>a</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ú</w:t>
            </w:r>
            <w:r w:rsidRPr="00537112">
              <w:rPr>
                <w:rFonts w:cs="Verdana"/>
                <w:position w:val="-1"/>
                <w:sz w:val="20"/>
                <w:szCs w:val="20"/>
              </w:rPr>
              <w:t>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42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43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44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efer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ú</w:t>
            </w:r>
            <w:r w:rsidRPr="00537112">
              <w:rPr>
                <w:rFonts w:cs="Verdana"/>
                <w:position w:val="-1"/>
                <w:sz w:val="20"/>
                <w:szCs w:val="20"/>
              </w:rPr>
              <w:t>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45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i</w:t>
            </w:r>
            <w:r w:rsidRPr="00537112">
              <w:rPr>
                <w:rFonts w:cs="Verdana"/>
                <w:spacing w:val="1"/>
                <w:position w:val="-1"/>
                <w:sz w:val="20"/>
                <w:szCs w:val="20"/>
              </w:rPr>
              <w:t>d</w:t>
            </w:r>
            <w:r w:rsidRPr="00537112">
              <w:rPr>
                <w:rFonts w:cs="Verdana"/>
                <w:spacing w:val="-1"/>
                <w:position w:val="-1"/>
                <w:sz w:val="20"/>
                <w:szCs w:val="20"/>
              </w:rPr>
              <w:t>e</w:t>
            </w:r>
            <w:r w:rsidRPr="00537112">
              <w:rPr>
                <w:rFonts w:cs="Verdana"/>
                <w:position w:val="-1"/>
                <w:sz w:val="20"/>
                <w:szCs w:val="20"/>
              </w:rPr>
              <w:t>l</w:t>
            </w:r>
            <w:r w:rsidRPr="00537112">
              <w:rPr>
                <w:rFonts w:cs="Verdana"/>
                <w:spacing w:val="-3"/>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65</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Ju</w:t>
            </w:r>
            <w:r w:rsidRPr="00537112">
              <w:rPr>
                <w:rFonts w:cs="Verdana"/>
                <w:sz w:val="20"/>
                <w:szCs w:val="20"/>
              </w:rPr>
              <w:t>an</w:t>
            </w:r>
            <w:r w:rsidRPr="00537112">
              <w:rPr>
                <w:rFonts w:cs="Verdana"/>
                <w:spacing w:val="-5"/>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Gr</w:t>
            </w:r>
            <w:r w:rsidRPr="00537112">
              <w:rPr>
                <w:rFonts w:cs="Verdana"/>
                <w:sz w:val="20"/>
                <w:szCs w:val="20"/>
              </w:rPr>
              <w:t>ave</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46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Na</w:t>
            </w:r>
            <w:r w:rsidRPr="00537112">
              <w:rPr>
                <w:rFonts w:cs="Verdana"/>
                <w:spacing w:val="1"/>
                <w:position w:val="-1"/>
                <w:sz w:val="20"/>
                <w:szCs w:val="20"/>
              </w:rPr>
              <w:t>t</w:t>
            </w:r>
            <w:r w:rsidRPr="00537112">
              <w:rPr>
                <w:rFonts w:cs="Verdana"/>
                <w:position w:val="-1"/>
                <w:sz w:val="20"/>
                <w:szCs w:val="20"/>
              </w:rPr>
              <w:t>a</w:t>
            </w:r>
            <w:r w:rsidRPr="00537112">
              <w:rPr>
                <w:rFonts w:cs="Verdana"/>
                <w:spacing w:val="3"/>
                <w:position w:val="-1"/>
                <w:sz w:val="20"/>
                <w:szCs w:val="20"/>
              </w:rPr>
              <w:t>li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47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position w:val="-1"/>
                <w:sz w:val="20"/>
                <w:szCs w:val="20"/>
              </w:rPr>
              <w:t>N</w:t>
            </w:r>
            <w:r w:rsidRPr="00537112">
              <w:rPr>
                <w:rFonts w:cs="Verdana"/>
                <w:spacing w:val="3"/>
                <w:position w:val="-1"/>
                <w:sz w:val="20"/>
                <w:szCs w:val="20"/>
              </w:rPr>
              <w:t>i</w:t>
            </w:r>
            <w:r w:rsidRPr="00537112">
              <w:rPr>
                <w:rFonts w:cs="Verdana"/>
                <w:spacing w:val="-1"/>
                <w:position w:val="-1"/>
                <w:sz w:val="20"/>
                <w:szCs w:val="20"/>
              </w:rPr>
              <w:t>co</w:t>
            </w:r>
            <w:r w:rsidRPr="00537112">
              <w:rPr>
                <w:rFonts w:cs="Verdana"/>
                <w:spacing w:val="3"/>
                <w:position w:val="-1"/>
                <w:sz w:val="20"/>
                <w:szCs w:val="20"/>
              </w:rPr>
              <w:t>l</w:t>
            </w:r>
            <w:r w:rsidRPr="00537112">
              <w:rPr>
                <w:rFonts w:cs="Verdana"/>
                <w:position w:val="-1"/>
                <w:sz w:val="20"/>
                <w:szCs w:val="20"/>
              </w:rPr>
              <w:t>as</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48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49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position w:val="-1"/>
                <w:sz w:val="20"/>
                <w:szCs w:val="20"/>
              </w:rPr>
              <w:t>Pa</w:t>
            </w:r>
            <w:r w:rsidRPr="00537112">
              <w:rPr>
                <w:rFonts w:cs="Verdana"/>
                <w:spacing w:val="1"/>
                <w:position w:val="-1"/>
                <w:sz w:val="20"/>
                <w:szCs w:val="20"/>
              </w:rPr>
              <w:t>t</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50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ose</w:t>
            </w:r>
            <w:r w:rsidRPr="00537112">
              <w:rPr>
                <w:rFonts w:cs="Verdana"/>
                <w:spacing w:val="1"/>
                <w:position w:val="-1"/>
                <w:sz w:val="20"/>
                <w:szCs w:val="20"/>
              </w:rPr>
              <w:t>nd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51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348"/>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66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Efr</w:t>
            </w:r>
            <w:r w:rsidRPr="00537112">
              <w:rPr>
                <w:rFonts w:cs="Verdana"/>
                <w:sz w:val="20"/>
                <w:szCs w:val="20"/>
              </w:rPr>
              <w:t>a</w:t>
            </w:r>
            <w:r w:rsidRPr="00537112">
              <w:rPr>
                <w:rFonts w:cs="Verdana"/>
                <w:spacing w:val="3"/>
                <w:sz w:val="20"/>
                <w:szCs w:val="20"/>
              </w:rPr>
              <w:t>í</w:t>
            </w:r>
            <w:r w:rsidRPr="00537112">
              <w:rPr>
                <w:rFonts w:cs="Verdana"/>
                <w:sz w:val="20"/>
                <w:szCs w:val="20"/>
              </w:rPr>
              <w:t>n</w:t>
            </w:r>
            <w:r w:rsidRPr="00537112">
              <w:rPr>
                <w:rFonts w:cs="Verdana"/>
                <w:spacing w:val="-6"/>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w:t>
            </w:r>
            <w:r w:rsidRPr="00537112">
              <w:rPr>
                <w:rFonts w:cs="Verdana"/>
                <w:sz w:val="20"/>
                <w:szCs w:val="20"/>
              </w:rPr>
              <w:t>o</w:t>
            </w:r>
            <w:r w:rsidRPr="00537112">
              <w:rPr>
                <w:rFonts w:cs="Verdana"/>
                <w:spacing w:val="-4"/>
                <w:sz w:val="20"/>
                <w:szCs w:val="20"/>
              </w:rPr>
              <w:t xml:space="preserve"> </w:t>
            </w:r>
            <w:r w:rsidRPr="00537112">
              <w:rPr>
                <w:rFonts w:cs="Verdana"/>
                <w:spacing w:val="-1"/>
                <w:sz w:val="20"/>
                <w:szCs w:val="20"/>
              </w:rPr>
              <w:t>Efr</w:t>
            </w:r>
            <w:r w:rsidRPr="00537112">
              <w:rPr>
                <w:rFonts w:cs="Verdana"/>
                <w:sz w:val="20"/>
                <w:szCs w:val="20"/>
              </w:rPr>
              <w:t>a</w:t>
            </w:r>
            <w:r w:rsidRPr="00537112">
              <w:rPr>
                <w:rFonts w:cs="Verdana"/>
                <w:spacing w:val="3"/>
                <w:sz w:val="20"/>
                <w:szCs w:val="20"/>
              </w:rPr>
              <w:t>í</w:t>
            </w:r>
            <w:r w:rsidRPr="00537112">
              <w:rPr>
                <w:rFonts w:cs="Verdana"/>
                <w:sz w:val="20"/>
                <w:szCs w:val="20"/>
              </w:rPr>
              <w:t>n</w:t>
            </w:r>
            <w:r w:rsidRPr="00537112">
              <w:rPr>
                <w:rFonts w:cs="Verdana"/>
                <w:spacing w:val="-6"/>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d</w:t>
            </w:r>
            <w:r w:rsidRPr="00537112">
              <w:rPr>
                <w:rFonts w:cs="Verdana"/>
                <w:sz w:val="20"/>
                <w:szCs w:val="20"/>
              </w:rPr>
              <w:t>e</w:t>
            </w:r>
            <w:r w:rsidRPr="00537112">
              <w:rPr>
                <w:rFonts w:cs="Verdana"/>
                <w:spacing w:val="-4"/>
                <w:sz w:val="20"/>
                <w:szCs w:val="20"/>
              </w:rPr>
              <w:t xml:space="preserve"> </w:t>
            </w:r>
            <w:r w:rsidRPr="00537112">
              <w:rPr>
                <w:rFonts w:cs="Verdana"/>
                <w:sz w:val="20"/>
                <w:szCs w:val="20"/>
              </w:rPr>
              <w:t>Pa</w:t>
            </w:r>
            <w:r w:rsidRPr="00537112">
              <w:rPr>
                <w:rFonts w:cs="Verdana"/>
                <w:spacing w:val="1"/>
                <w:sz w:val="20"/>
                <w:szCs w:val="20"/>
              </w:rPr>
              <w:t>z</w:t>
            </w:r>
            <w:r w:rsidRPr="00537112">
              <w:rPr>
                <w:rFonts w:cs="Verdana"/>
                <w:sz w:val="20"/>
                <w:szCs w:val="20"/>
              </w:rPr>
              <w:t>)</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40" w:line="240" w:lineRule="auto"/>
              <w:ind w:right="-20"/>
              <w:jc w:val="left"/>
              <w:textAlignment w:val="auto"/>
              <w:rPr>
                <w:rFonts w:ascii="Times New Roman" w:hAnsi="Times New Roman"/>
              </w:rPr>
            </w:pPr>
            <w:r w:rsidRPr="00537112">
              <w:rPr>
                <w:rFonts w:cs="Verdana"/>
                <w:sz w:val="20"/>
                <w:szCs w:val="20"/>
              </w:rPr>
              <w:t>3</w:t>
            </w:r>
            <w:r w:rsidRPr="00537112">
              <w:rPr>
                <w:rFonts w:cs="Verdana"/>
                <w:spacing w:val="1"/>
                <w:sz w:val="20"/>
                <w:szCs w:val="20"/>
              </w:rPr>
              <w:t>52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40" w:line="240" w:lineRule="auto"/>
              <w:ind w:right="-20"/>
              <w:jc w:val="left"/>
              <w:textAlignment w:val="auto"/>
              <w:rPr>
                <w:rFonts w:ascii="Times New Roman" w:hAnsi="Times New Roman"/>
              </w:rPr>
            </w:pPr>
            <w:r w:rsidRPr="00537112">
              <w:rPr>
                <w:rFonts w:cs="Verdana"/>
                <w:spacing w:val="1"/>
                <w:sz w:val="20"/>
                <w:szCs w:val="20"/>
              </w:rPr>
              <w:t>Ad</w:t>
            </w:r>
            <w:r w:rsidRPr="00537112">
              <w:rPr>
                <w:rFonts w:cs="Verdana"/>
                <w:spacing w:val="-1"/>
                <w:sz w:val="20"/>
                <w:szCs w:val="20"/>
              </w:rPr>
              <w:t>r</w:t>
            </w:r>
            <w:r w:rsidRPr="00537112">
              <w:rPr>
                <w:rFonts w:cs="Verdana"/>
                <w:spacing w:val="3"/>
                <w:sz w:val="20"/>
                <w:szCs w:val="20"/>
              </w:rPr>
              <w:t>i</w:t>
            </w:r>
            <w:r w:rsidRPr="00537112">
              <w:rPr>
                <w:rFonts w:cs="Verdana"/>
                <w:sz w:val="20"/>
                <w:szCs w:val="20"/>
              </w:rPr>
              <w:t>án</w:t>
            </w:r>
            <w:r w:rsidRPr="00537112">
              <w:rPr>
                <w:rFonts w:cs="Verdana"/>
                <w:spacing w:val="-6"/>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i</w:t>
            </w:r>
            <w:r w:rsidRPr="00537112">
              <w:rPr>
                <w:rFonts w:cs="Verdana"/>
                <w:sz w:val="20"/>
                <w:szCs w:val="20"/>
              </w:rPr>
              <w:t>a</w:t>
            </w:r>
            <w:r w:rsidRPr="00537112">
              <w:rPr>
                <w:rFonts w:cs="Verdana"/>
                <w:spacing w:val="-6"/>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40"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40"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53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r w:rsidRPr="00537112">
              <w:rPr>
                <w:rFonts w:cs="Verdana"/>
                <w:spacing w:val="-3"/>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54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305"/>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z w:val="20"/>
                <w:szCs w:val="20"/>
              </w:rPr>
              <w:t>3</w:t>
            </w:r>
            <w:r w:rsidRPr="00537112">
              <w:rPr>
                <w:rFonts w:cs="Verdana"/>
                <w:spacing w:val="1"/>
                <w:sz w:val="20"/>
                <w:szCs w:val="20"/>
              </w:rPr>
              <w:t>55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pacing w:val="-1"/>
                <w:sz w:val="20"/>
                <w:szCs w:val="20"/>
              </w:rPr>
              <w:t>H</w:t>
            </w:r>
            <w:r w:rsidRPr="00537112">
              <w:rPr>
                <w:rFonts w:cs="Verdana"/>
                <w:spacing w:val="1"/>
                <w:sz w:val="20"/>
                <w:szCs w:val="20"/>
              </w:rPr>
              <w:t>ug</w:t>
            </w:r>
            <w:r w:rsidRPr="00537112">
              <w:rPr>
                <w:rFonts w:cs="Verdana"/>
                <w:sz w:val="20"/>
                <w:szCs w:val="20"/>
              </w:rPr>
              <w:t>o</w:t>
            </w:r>
            <w:r w:rsidRPr="00537112">
              <w:rPr>
                <w:rFonts w:cs="Verdana"/>
                <w:spacing w:val="-7"/>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i</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d</w:t>
            </w:r>
            <w:r w:rsidRPr="00537112">
              <w:rPr>
                <w:rFonts w:cs="Verdana"/>
                <w:sz w:val="20"/>
                <w:szCs w:val="20"/>
              </w:rPr>
              <w:t>e</w:t>
            </w:r>
            <w:r w:rsidRPr="00537112">
              <w:rPr>
                <w:rFonts w:cs="Verdana"/>
                <w:spacing w:val="-4"/>
                <w:sz w:val="20"/>
                <w:szCs w:val="20"/>
              </w:rPr>
              <w:t xml:space="preserve"> </w:t>
            </w:r>
            <w:r w:rsidRPr="00537112">
              <w:rPr>
                <w:rFonts w:cs="Verdana"/>
                <w:sz w:val="20"/>
                <w:szCs w:val="20"/>
              </w:rPr>
              <w:t>Paz</w:t>
            </w:r>
          </w:p>
        </w:tc>
      </w:tr>
      <w:tr w:rsidR="00537112" w:rsidRPr="00537112" w:rsidTr="00630EEC">
        <w:trPr>
          <w:trHeight w:hRule="exact" w:val="434"/>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83" w:line="240" w:lineRule="auto"/>
              <w:ind w:right="-20"/>
              <w:jc w:val="left"/>
              <w:textAlignment w:val="auto"/>
              <w:rPr>
                <w:rFonts w:ascii="Times New Roman" w:hAnsi="Times New Roman"/>
              </w:rPr>
            </w:pPr>
            <w:r w:rsidRPr="00537112">
              <w:rPr>
                <w:rFonts w:cs="Verdana"/>
                <w:sz w:val="20"/>
                <w:szCs w:val="20"/>
              </w:rPr>
              <w:t>3</w:t>
            </w:r>
            <w:r w:rsidRPr="00537112">
              <w:rPr>
                <w:rFonts w:cs="Verdana"/>
                <w:spacing w:val="1"/>
                <w:sz w:val="20"/>
                <w:szCs w:val="20"/>
              </w:rPr>
              <w:t>56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83"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i</w:t>
            </w:r>
            <w:r w:rsidRPr="00537112">
              <w:rPr>
                <w:rFonts w:cs="Verdana"/>
                <w:sz w:val="20"/>
                <w:szCs w:val="20"/>
              </w:rPr>
              <w:t>a</w:t>
            </w:r>
            <w:r w:rsidRPr="00537112">
              <w:rPr>
                <w:rFonts w:cs="Verdana"/>
                <w:spacing w:val="-5"/>
                <w:sz w:val="20"/>
                <w:szCs w:val="20"/>
              </w:rPr>
              <w:t xml:space="preserve"> </w:t>
            </w:r>
            <w:r w:rsidRPr="00537112">
              <w:rPr>
                <w:rFonts w:cs="Verdana"/>
                <w:sz w:val="20"/>
                <w:szCs w:val="20"/>
              </w:rPr>
              <w:t>C</w:t>
            </w:r>
            <w:r w:rsidRPr="00537112">
              <w:rPr>
                <w:rFonts w:cs="Verdana"/>
                <w:spacing w:val="-1"/>
                <w:sz w:val="20"/>
                <w:szCs w:val="20"/>
              </w:rPr>
              <w:t>o</w:t>
            </w:r>
            <w:r w:rsidRPr="00537112">
              <w:rPr>
                <w:rFonts w:cs="Verdana"/>
                <w:spacing w:val="1"/>
                <w:sz w:val="20"/>
                <w:szCs w:val="20"/>
              </w:rPr>
              <w:t>n</w:t>
            </w:r>
            <w:r w:rsidRPr="00537112">
              <w:rPr>
                <w:rFonts w:cs="Verdana"/>
                <w:spacing w:val="-1"/>
                <w:sz w:val="20"/>
                <w:szCs w:val="20"/>
              </w:rPr>
              <w:t>ce</w:t>
            </w:r>
            <w:r w:rsidRPr="00537112">
              <w:rPr>
                <w:rFonts w:cs="Verdana"/>
                <w:spacing w:val="1"/>
                <w:sz w:val="20"/>
                <w:szCs w:val="20"/>
              </w:rPr>
              <w:t>p</w:t>
            </w:r>
            <w:r w:rsidRPr="00537112">
              <w:rPr>
                <w:rFonts w:cs="Verdana"/>
                <w:spacing w:val="-1"/>
                <w:sz w:val="20"/>
                <w:szCs w:val="20"/>
              </w:rPr>
              <w:t>c</w:t>
            </w:r>
            <w:r w:rsidRPr="00537112">
              <w:rPr>
                <w:rFonts w:cs="Verdana"/>
                <w:spacing w:val="3"/>
                <w:sz w:val="20"/>
                <w:szCs w:val="20"/>
              </w:rPr>
              <w:t>i</w:t>
            </w:r>
            <w:r w:rsidRPr="00537112">
              <w:rPr>
                <w:rFonts w:cs="Verdana"/>
                <w:spacing w:val="-1"/>
                <w:sz w:val="20"/>
                <w:szCs w:val="20"/>
              </w:rPr>
              <w:t>ó</w:t>
            </w:r>
            <w:r w:rsidRPr="00537112">
              <w:rPr>
                <w:rFonts w:cs="Verdana"/>
                <w:sz w:val="20"/>
                <w:szCs w:val="20"/>
              </w:rPr>
              <w:t>n</w:t>
            </w:r>
            <w:r w:rsidRPr="00537112">
              <w:rPr>
                <w:rFonts w:cs="Verdana"/>
                <w:spacing w:val="-11"/>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r w:rsidRPr="00537112">
              <w:rPr>
                <w:rFonts w:cs="Verdana"/>
                <w:spacing w:val="-6"/>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pgSz w:w="12260" w:h="15840"/>
          <w:pgMar w:top="760" w:right="900" w:bottom="280" w:left="900" w:header="493" w:footer="0" w:gutter="0"/>
          <w:cols w:space="720"/>
          <w:noEndnote/>
        </w:sectPr>
      </w:pPr>
    </w:p>
    <w:p w:rsidR="00537112" w:rsidRPr="00537112" w:rsidRDefault="00537112" w:rsidP="00537112">
      <w:pPr>
        <w:autoSpaceDE w:val="0"/>
        <w:autoSpaceDN w:val="0"/>
        <w:spacing w:before="16" w:line="280" w:lineRule="exact"/>
        <w:jc w:val="left"/>
        <w:textAlignment w:val="auto"/>
        <w:rPr>
          <w:rFonts w:ascii="Times New Roman" w:hAnsi="Times New Roman"/>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772"/>
        <w:gridCol w:w="4496"/>
      </w:tblGrid>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67</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Na</w:t>
            </w:r>
            <w:r w:rsidRPr="00537112">
              <w:rPr>
                <w:rFonts w:cs="Verdana"/>
                <w:spacing w:val="1"/>
                <w:sz w:val="20"/>
                <w:szCs w:val="20"/>
              </w:rPr>
              <w:t>p</w:t>
            </w:r>
            <w:r w:rsidRPr="00537112">
              <w:rPr>
                <w:rFonts w:cs="Verdana"/>
                <w:spacing w:val="-1"/>
                <w:sz w:val="20"/>
                <w:szCs w:val="20"/>
              </w:rPr>
              <w:t>o</w:t>
            </w:r>
            <w:r w:rsidRPr="00537112">
              <w:rPr>
                <w:rFonts w:cs="Verdana"/>
                <w:spacing w:val="3"/>
                <w:sz w:val="20"/>
                <w:szCs w:val="20"/>
              </w:rPr>
              <w:t>l</w:t>
            </w:r>
            <w:r w:rsidRPr="00537112">
              <w:rPr>
                <w:rFonts w:cs="Verdana"/>
                <w:spacing w:val="-1"/>
                <w:sz w:val="20"/>
                <w:szCs w:val="20"/>
              </w:rPr>
              <w:t>eó</w:t>
            </w:r>
            <w:r w:rsidRPr="00537112">
              <w:rPr>
                <w:rFonts w:cs="Verdana"/>
                <w:sz w:val="20"/>
                <w:szCs w:val="20"/>
              </w:rPr>
              <w:t>n</w:t>
            </w:r>
            <w:r w:rsidRPr="00537112">
              <w:rPr>
                <w:rFonts w:cs="Verdana"/>
                <w:spacing w:val="-9"/>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r w:rsidRPr="00537112">
              <w:rPr>
                <w:rFonts w:cs="Verdana"/>
                <w:spacing w:val="-6"/>
                <w:sz w:val="20"/>
                <w:szCs w:val="20"/>
              </w:rPr>
              <w:t xml:space="preserve"> </w:t>
            </w:r>
            <w:r w:rsidRPr="00537112">
              <w:rPr>
                <w:rFonts w:cs="Verdana"/>
                <w:sz w:val="20"/>
                <w:szCs w:val="20"/>
              </w:rPr>
              <w:t>De</w:t>
            </w:r>
            <w:r w:rsidRPr="00537112">
              <w:rPr>
                <w:rFonts w:cs="Verdana"/>
                <w:spacing w:val="-5"/>
                <w:sz w:val="20"/>
                <w:szCs w:val="20"/>
              </w:rPr>
              <w:t xml:space="preserve"> </w:t>
            </w:r>
            <w:r w:rsidRPr="00537112">
              <w:rPr>
                <w:rFonts w:cs="Verdana"/>
                <w:sz w:val="20"/>
                <w:szCs w:val="20"/>
              </w:rPr>
              <w:t>Paz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57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2"/>
                <w:sz w:val="20"/>
                <w:szCs w:val="20"/>
              </w:rPr>
              <w:t>I</w:t>
            </w:r>
            <w:r w:rsidRPr="00537112">
              <w:rPr>
                <w:rFonts w:cs="Verdana"/>
                <w:spacing w:val="-1"/>
                <w:sz w:val="20"/>
                <w:szCs w:val="20"/>
              </w:rPr>
              <w:t>s</w:t>
            </w:r>
            <w:r w:rsidRPr="00537112">
              <w:rPr>
                <w:rFonts w:cs="Verdana"/>
                <w:sz w:val="20"/>
                <w:szCs w:val="20"/>
              </w:rPr>
              <w:t>a</w:t>
            </w:r>
            <w:r w:rsidRPr="00537112">
              <w:rPr>
                <w:rFonts w:cs="Verdana"/>
                <w:spacing w:val="1"/>
                <w:sz w:val="20"/>
                <w:szCs w:val="20"/>
              </w:rPr>
              <w:t>b</w:t>
            </w:r>
            <w:r w:rsidRPr="00537112">
              <w:rPr>
                <w:rFonts w:cs="Verdana"/>
                <w:spacing w:val="-1"/>
                <w:sz w:val="20"/>
                <w:szCs w:val="20"/>
              </w:rPr>
              <w:t>e</w:t>
            </w:r>
            <w:r w:rsidRPr="00537112">
              <w:rPr>
                <w:rFonts w:cs="Verdana"/>
                <w:sz w:val="20"/>
                <w:szCs w:val="20"/>
              </w:rPr>
              <w:t>l</w:t>
            </w:r>
            <w:r w:rsidRPr="00537112">
              <w:rPr>
                <w:rFonts w:cs="Verdana"/>
                <w:spacing w:val="-4"/>
                <w:sz w:val="20"/>
                <w:szCs w:val="20"/>
              </w:rPr>
              <w:t xml:space="preserve"> </w:t>
            </w:r>
            <w:r w:rsidRPr="00537112">
              <w:rPr>
                <w:rFonts w:cs="Verdana"/>
                <w:sz w:val="20"/>
                <w:szCs w:val="20"/>
              </w:rPr>
              <w:t>B</w:t>
            </w:r>
            <w:r w:rsidRPr="00537112">
              <w:rPr>
                <w:rFonts w:cs="Verdana"/>
                <w:spacing w:val="-1"/>
                <w:sz w:val="20"/>
                <w:szCs w:val="20"/>
              </w:rPr>
              <w:t>o</w:t>
            </w:r>
            <w:r w:rsidRPr="00537112">
              <w:rPr>
                <w:rFonts w:cs="Verdana"/>
                <w:spacing w:val="3"/>
                <w:sz w:val="20"/>
                <w:szCs w:val="20"/>
              </w:rPr>
              <w:t>l</w:t>
            </w:r>
            <w:r w:rsidRPr="00537112">
              <w:rPr>
                <w:rFonts w:cs="Verdana"/>
                <w:sz w:val="20"/>
                <w:szCs w:val="20"/>
              </w:rPr>
              <w:t>aj</w:t>
            </w:r>
            <w:r w:rsidRPr="00537112">
              <w:rPr>
                <w:rFonts w:cs="Verdana"/>
                <w:spacing w:val="-5"/>
                <w:sz w:val="20"/>
                <w:szCs w:val="20"/>
              </w:rPr>
              <w:t xml:space="preserve"> </w:t>
            </w:r>
            <w:r w:rsidRPr="00537112">
              <w:rPr>
                <w:rFonts w:cs="Verdana"/>
                <w:spacing w:val="-2"/>
                <w:sz w:val="20"/>
                <w:szCs w:val="20"/>
              </w:rPr>
              <w:t>I</w:t>
            </w:r>
            <w:r w:rsidRPr="00537112">
              <w:rPr>
                <w:rFonts w:cs="Verdana"/>
                <w:sz w:val="20"/>
                <w:szCs w:val="20"/>
              </w:rPr>
              <w:t>x</w:t>
            </w:r>
            <w:r w:rsidRPr="00537112">
              <w:rPr>
                <w:rFonts w:cs="Verdana"/>
                <w:spacing w:val="1"/>
                <w:sz w:val="20"/>
                <w:szCs w:val="20"/>
              </w:rPr>
              <w:t>t</w:t>
            </w:r>
            <w:r w:rsidRPr="00537112">
              <w:rPr>
                <w:rFonts w:cs="Verdana"/>
                <w:spacing w:val="-1"/>
                <w:sz w:val="20"/>
                <w:szCs w:val="20"/>
              </w:rPr>
              <w:t>eco</w:t>
            </w:r>
            <w:r w:rsidRPr="00537112">
              <w:rPr>
                <w:rFonts w:cs="Verdana"/>
                <w:sz w:val="20"/>
                <w:szCs w:val="20"/>
              </w:rPr>
              <w:t>c</w:t>
            </w:r>
            <w:r w:rsidRPr="00537112">
              <w:rPr>
                <w:rFonts w:cs="Verdana"/>
                <w:spacing w:val="-8"/>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58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w:t>
            </w:r>
            <w:r w:rsidRPr="00537112">
              <w:rPr>
                <w:rFonts w:cs="Verdana"/>
                <w:spacing w:val="3"/>
                <w:position w:val="-1"/>
                <w:sz w:val="20"/>
                <w:szCs w:val="20"/>
              </w:rPr>
              <w:t>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59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68</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L</w:t>
            </w:r>
            <w:r w:rsidRPr="00537112">
              <w:rPr>
                <w:rFonts w:cs="Verdana"/>
                <w:spacing w:val="1"/>
                <w:sz w:val="20"/>
                <w:szCs w:val="20"/>
              </w:rPr>
              <w:t>u</w:t>
            </w:r>
            <w:r w:rsidRPr="00537112">
              <w:rPr>
                <w:rFonts w:cs="Verdana"/>
                <w:spacing w:val="-1"/>
                <w:sz w:val="20"/>
                <w:szCs w:val="20"/>
              </w:rPr>
              <w:t>c</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60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61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Ad</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62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Héc</w:t>
            </w:r>
            <w:r w:rsidRPr="00537112">
              <w:rPr>
                <w:rFonts w:cs="Verdana"/>
                <w:spacing w:val="1"/>
                <w:position w:val="-1"/>
                <w:sz w:val="20"/>
                <w:szCs w:val="20"/>
              </w:rPr>
              <w:t>t</w:t>
            </w:r>
            <w:r w:rsidRPr="00537112">
              <w:rPr>
                <w:rFonts w:cs="Verdana"/>
                <w:spacing w:val="-1"/>
                <w:position w:val="-1"/>
                <w:sz w:val="20"/>
                <w:szCs w:val="20"/>
              </w:rPr>
              <w:t>o</w:t>
            </w:r>
            <w:r w:rsidRPr="00537112">
              <w:rPr>
                <w:rFonts w:cs="Verdana"/>
                <w:position w:val="-1"/>
                <w:sz w:val="20"/>
                <w:szCs w:val="20"/>
              </w:rPr>
              <w:t>r</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63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s</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64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682"/>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4"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69</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4"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L</w:t>
            </w:r>
            <w:r w:rsidRPr="00537112">
              <w:rPr>
                <w:rFonts w:cs="Verdana"/>
                <w:spacing w:val="1"/>
                <w:sz w:val="20"/>
                <w:szCs w:val="20"/>
              </w:rPr>
              <w:t>u</w:t>
            </w:r>
            <w:r w:rsidRPr="00537112">
              <w:rPr>
                <w:rFonts w:cs="Verdana"/>
                <w:spacing w:val="-1"/>
                <w:sz w:val="20"/>
                <w:szCs w:val="20"/>
              </w:rPr>
              <w:t>c</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a</w:t>
            </w:r>
            <w:r w:rsidRPr="00537112">
              <w:rPr>
                <w:rFonts w:cs="Verdana"/>
                <w:spacing w:val="-8"/>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r w:rsidRPr="00537112">
              <w:rPr>
                <w:rFonts w:cs="Verdana"/>
                <w:spacing w:val="-6"/>
                <w:sz w:val="20"/>
                <w:szCs w:val="20"/>
              </w:rPr>
              <w:t xml:space="preserve"> </w:t>
            </w:r>
            <w:r w:rsidRPr="00537112">
              <w:rPr>
                <w:rFonts w:cs="Verdana"/>
                <w:spacing w:val="-2"/>
                <w:sz w:val="20"/>
                <w:szCs w:val="20"/>
              </w:rPr>
              <w:t>I</w:t>
            </w:r>
            <w:r w:rsidRPr="00537112">
              <w:rPr>
                <w:rFonts w:cs="Verdana"/>
                <w:sz w:val="20"/>
                <w:szCs w:val="20"/>
              </w:rPr>
              <w:t>x</w:t>
            </w:r>
            <w:r w:rsidRPr="00537112">
              <w:rPr>
                <w:rFonts w:cs="Verdana"/>
                <w:spacing w:val="1"/>
                <w:sz w:val="20"/>
                <w:szCs w:val="20"/>
              </w:rPr>
              <w:t>p</w:t>
            </w:r>
            <w:r w:rsidRPr="00537112">
              <w:rPr>
                <w:rFonts w:cs="Verdana"/>
                <w:sz w:val="20"/>
                <w:szCs w:val="20"/>
              </w:rPr>
              <w:t>a</w:t>
            </w:r>
            <w:r w:rsidRPr="00537112">
              <w:rPr>
                <w:rFonts w:cs="Verdana"/>
                <w:spacing w:val="1"/>
                <w:sz w:val="20"/>
                <w:szCs w:val="20"/>
              </w:rPr>
              <w:t>n</w:t>
            </w:r>
            <w:r w:rsidRPr="00537112">
              <w:rPr>
                <w:rFonts w:cs="Verdana"/>
                <w:spacing w:val="-1"/>
                <w:sz w:val="20"/>
                <w:szCs w:val="20"/>
              </w:rPr>
              <w:t>co</w:t>
            </w:r>
            <w:r w:rsidRPr="00537112">
              <w:rPr>
                <w:rFonts w:cs="Verdana"/>
                <w:sz w:val="20"/>
                <w:szCs w:val="20"/>
              </w:rPr>
              <w:t>c</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8"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3</w:t>
            </w:r>
            <w:r w:rsidRPr="00537112">
              <w:rPr>
                <w:rFonts w:cs="Verdana"/>
                <w:spacing w:val="1"/>
                <w:sz w:val="20"/>
                <w:szCs w:val="20"/>
              </w:rPr>
              <w:t>65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8"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Da</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e</w:t>
            </w:r>
            <w:r w:rsidRPr="00537112">
              <w:rPr>
                <w:rFonts w:cs="Verdana"/>
                <w:sz w:val="20"/>
                <w:szCs w:val="20"/>
              </w:rPr>
              <w:t>l</w:t>
            </w:r>
            <w:r w:rsidRPr="00537112">
              <w:rPr>
                <w:rFonts w:cs="Verdana"/>
                <w:spacing w:val="-4"/>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r w:rsidRPr="00537112">
              <w:rPr>
                <w:rFonts w:cs="Verdana"/>
                <w:spacing w:val="-6"/>
                <w:sz w:val="20"/>
                <w:szCs w:val="20"/>
              </w:rPr>
              <w:t xml:space="preserve"> </w:t>
            </w:r>
            <w:r w:rsidRPr="00537112">
              <w:rPr>
                <w:rFonts w:cs="Verdana"/>
                <w:sz w:val="20"/>
                <w:szCs w:val="20"/>
              </w:rPr>
              <w:t>C</w:t>
            </w:r>
            <w:r w:rsidRPr="00537112">
              <w:rPr>
                <w:rFonts w:cs="Verdana"/>
                <w:spacing w:val="1"/>
                <w:sz w:val="20"/>
                <w:szCs w:val="20"/>
              </w:rPr>
              <w:t>u</w:t>
            </w:r>
            <w:r w:rsidRPr="00537112">
              <w:rPr>
                <w:rFonts w:cs="Verdana"/>
                <w:sz w:val="20"/>
                <w:szCs w:val="20"/>
              </w:rPr>
              <w:t>x</w:t>
            </w:r>
            <w:r w:rsidRPr="00537112">
              <w:rPr>
                <w:rFonts w:cs="Verdana"/>
                <w:spacing w:val="1"/>
                <w:sz w:val="20"/>
                <w:szCs w:val="20"/>
              </w:rPr>
              <w:t>úm</w:t>
            </w:r>
          </w:p>
        </w:tc>
      </w:tr>
      <w:tr w:rsidR="00537112" w:rsidRPr="00537112" w:rsidTr="00630EEC">
        <w:trPr>
          <w:trHeight w:hRule="exact" w:val="814"/>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13"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3</w:t>
            </w:r>
            <w:r w:rsidRPr="00537112">
              <w:rPr>
                <w:rFonts w:cs="Verdana"/>
                <w:spacing w:val="1"/>
                <w:sz w:val="20"/>
                <w:szCs w:val="20"/>
              </w:rPr>
              <w:t>66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3"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í</w:t>
            </w:r>
            <w:r w:rsidRPr="00537112">
              <w:rPr>
                <w:rFonts w:cs="Verdana"/>
                <w:sz w:val="20"/>
                <w:szCs w:val="20"/>
              </w:rPr>
              <w:t>a</w:t>
            </w:r>
            <w:r w:rsidRPr="00537112">
              <w:rPr>
                <w:rFonts w:cs="Verdana"/>
                <w:spacing w:val="-5"/>
                <w:sz w:val="20"/>
                <w:szCs w:val="20"/>
              </w:rPr>
              <w:t xml:space="preserve"> </w:t>
            </w:r>
            <w:r w:rsidRPr="00537112">
              <w:rPr>
                <w:rFonts w:cs="Verdana"/>
                <w:sz w:val="20"/>
                <w:szCs w:val="20"/>
              </w:rPr>
              <w:t>C</w:t>
            </w:r>
            <w:r w:rsidRPr="00537112">
              <w:rPr>
                <w:rFonts w:cs="Verdana"/>
                <w:spacing w:val="-1"/>
                <w:sz w:val="20"/>
                <w:szCs w:val="20"/>
              </w:rPr>
              <w:t>o</w:t>
            </w:r>
            <w:r w:rsidRPr="00537112">
              <w:rPr>
                <w:rFonts w:cs="Verdana"/>
                <w:spacing w:val="1"/>
                <w:sz w:val="20"/>
                <w:szCs w:val="20"/>
              </w:rPr>
              <w:t>n</w:t>
            </w:r>
            <w:r w:rsidRPr="00537112">
              <w:rPr>
                <w:rFonts w:cs="Verdana"/>
                <w:spacing w:val="-1"/>
                <w:sz w:val="20"/>
                <w:szCs w:val="20"/>
              </w:rPr>
              <w:t>ce</w:t>
            </w:r>
            <w:r w:rsidRPr="00537112">
              <w:rPr>
                <w:rFonts w:cs="Verdana"/>
                <w:spacing w:val="1"/>
                <w:sz w:val="20"/>
                <w:szCs w:val="20"/>
              </w:rPr>
              <w:t>p</w:t>
            </w:r>
            <w:r w:rsidRPr="00537112">
              <w:rPr>
                <w:rFonts w:cs="Verdana"/>
                <w:spacing w:val="-1"/>
                <w:sz w:val="20"/>
                <w:szCs w:val="20"/>
              </w:rPr>
              <w:t>c</w:t>
            </w:r>
            <w:r w:rsidRPr="00537112">
              <w:rPr>
                <w:rFonts w:cs="Verdana"/>
                <w:spacing w:val="3"/>
                <w:sz w:val="20"/>
                <w:szCs w:val="20"/>
              </w:rPr>
              <w:t>i</w:t>
            </w:r>
            <w:r w:rsidRPr="00537112">
              <w:rPr>
                <w:rFonts w:cs="Verdana"/>
                <w:spacing w:val="-1"/>
                <w:sz w:val="20"/>
                <w:szCs w:val="20"/>
              </w:rPr>
              <w:t>ó</w:t>
            </w:r>
            <w:r w:rsidRPr="00537112">
              <w:rPr>
                <w:rFonts w:cs="Verdana"/>
                <w:sz w:val="20"/>
                <w:szCs w:val="20"/>
              </w:rPr>
              <w:t>n</w:t>
            </w:r>
            <w:r w:rsidRPr="00537112">
              <w:rPr>
                <w:rFonts w:cs="Verdana"/>
                <w:spacing w:val="-11"/>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r w:rsidRPr="00537112">
              <w:rPr>
                <w:rFonts w:cs="Verdana"/>
                <w:spacing w:val="-6"/>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tumul</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20" w:line="280" w:lineRule="exact"/>
              <w:jc w:val="left"/>
              <w:textAlignment w:val="auto"/>
              <w:rPr>
                <w:rFonts w:ascii="Times New Roman" w:hAnsi="Times New Roman"/>
                <w:sz w:val="28"/>
                <w:szCs w:val="28"/>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70</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C</w:t>
            </w:r>
            <w:r w:rsidRPr="00537112">
              <w:rPr>
                <w:rFonts w:cs="Verdana"/>
                <w:spacing w:val="3"/>
                <w:sz w:val="20"/>
                <w:szCs w:val="20"/>
              </w:rPr>
              <w:t>i</w:t>
            </w:r>
            <w:r w:rsidRPr="00537112">
              <w:rPr>
                <w:rFonts w:cs="Verdana"/>
                <w:spacing w:val="-1"/>
                <w:sz w:val="20"/>
                <w:szCs w:val="20"/>
              </w:rPr>
              <w:t>r</w:t>
            </w:r>
            <w:r w:rsidRPr="00537112">
              <w:rPr>
                <w:rFonts w:cs="Verdana"/>
                <w:spacing w:val="3"/>
                <w:sz w:val="20"/>
                <w:szCs w:val="20"/>
              </w:rPr>
              <w:t>i</w:t>
            </w:r>
            <w:r w:rsidRPr="00537112">
              <w:rPr>
                <w:rFonts w:cs="Verdana"/>
                <w:sz w:val="20"/>
                <w:szCs w:val="20"/>
              </w:rPr>
              <w:t>a</w:t>
            </w:r>
            <w:r w:rsidRPr="00537112">
              <w:rPr>
                <w:rFonts w:cs="Verdana"/>
                <w:spacing w:val="-1"/>
                <w:sz w:val="20"/>
                <w:szCs w:val="20"/>
              </w:rPr>
              <w:t>c</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Lo</w:t>
            </w:r>
            <w:r w:rsidRPr="00537112">
              <w:rPr>
                <w:rFonts w:cs="Verdana"/>
                <w:spacing w:val="1"/>
                <w:sz w:val="20"/>
                <w:szCs w:val="20"/>
              </w:rPr>
              <w:t>p</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67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ng</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305"/>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z w:val="20"/>
                <w:szCs w:val="20"/>
              </w:rPr>
              <w:t>3</w:t>
            </w:r>
            <w:r w:rsidRPr="00537112">
              <w:rPr>
                <w:rFonts w:cs="Verdana"/>
                <w:spacing w:val="1"/>
                <w:sz w:val="20"/>
                <w:szCs w:val="20"/>
              </w:rPr>
              <w:t>68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z w:val="20"/>
                <w:szCs w:val="20"/>
              </w:rPr>
              <w:t>P</w:t>
            </w:r>
            <w:r w:rsidRPr="00537112">
              <w:rPr>
                <w:rFonts w:cs="Verdana"/>
                <w:spacing w:val="-1"/>
                <w:sz w:val="20"/>
                <w:szCs w:val="20"/>
              </w:rPr>
              <w:t>e</w:t>
            </w:r>
            <w:r w:rsidRPr="00537112">
              <w:rPr>
                <w:rFonts w:cs="Verdana"/>
                <w:spacing w:val="1"/>
                <w:sz w:val="20"/>
                <w:szCs w:val="20"/>
              </w:rPr>
              <w:t>d</w:t>
            </w:r>
            <w:r w:rsidRPr="00537112">
              <w:rPr>
                <w:rFonts w:cs="Verdana"/>
                <w:spacing w:val="-1"/>
                <w:sz w:val="20"/>
                <w:szCs w:val="20"/>
              </w:rPr>
              <w:t>r</w:t>
            </w:r>
            <w:r w:rsidRPr="00537112">
              <w:rPr>
                <w:rFonts w:cs="Verdana"/>
                <w:sz w:val="20"/>
                <w:szCs w:val="20"/>
              </w:rPr>
              <w:t>o</w:t>
            </w:r>
            <w:r w:rsidRPr="00537112">
              <w:rPr>
                <w:rFonts w:cs="Verdana"/>
                <w:spacing w:val="-8"/>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69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c</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70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spacing w:val="3"/>
                <w:position w:val="-1"/>
                <w:sz w:val="20"/>
                <w:szCs w:val="20"/>
              </w:rPr>
              <w:t>li</w:t>
            </w:r>
            <w:r w:rsidRPr="00537112">
              <w:rPr>
                <w:rFonts w:cs="Verdana"/>
                <w:position w:val="-1"/>
                <w:sz w:val="20"/>
                <w:szCs w:val="20"/>
              </w:rPr>
              <w:t>án</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71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Leo</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72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lang w:val="pt-BR"/>
              </w:rPr>
            </w:pPr>
            <w:r w:rsidRPr="00537112">
              <w:rPr>
                <w:rFonts w:cs="Verdana"/>
                <w:position w:val="-1"/>
                <w:sz w:val="20"/>
                <w:szCs w:val="20"/>
                <w:lang w:val="pt-BR"/>
              </w:rPr>
              <w:t>Ma</w:t>
            </w:r>
            <w:r w:rsidRPr="00537112">
              <w:rPr>
                <w:rFonts w:cs="Verdana"/>
                <w:spacing w:val="1"/>
                <w:position w:val="-1"/>
                <w:sz w:val="20"/>
                <w:szCs w:val="20"/>
                <w:lang w:val="pt-BR"/>
              </w:rPr>
              <w:t>nu</w:t>
            </w:r>
            <w:r w:rsidRPr="00537112">
              <w:rPr>
                <w:rFonts w:cs="Verdana"/>
                <w:spacing w:val="-1"/>
                <w:position w:val="-1"/>
                <w:sz w:val="20"/>
                <w:szCs w:val="20"/>
                <w:lang w:val="pt-BR"/>
              </w:rPr>
              <w:t>e</w:t>
            </w:r>
            <w:r w:rsidRPr="00537112">
              <w:rPr>
                <w:rFonts w:cs="Verdana"/>
                <w:position w:val="-1"/>
                <w:sz w:val="20"/>
                <w:szCs w:val="20"/>
                <w:lang w:val="pt-BR"/>
              </w:rPr>
              <w:t>l</w:t>
            </w:r>
            <w:r w:rsidRPr="00537112">
              <w:rPr>
                <w:rFonts w:cs="Verdana"/>
                <w:spacing w:val="-5"/>
                <w:position w:val="-1"/>
                <w:sz w:val="20"/>
                <w:szCs w:val="20"/>
                <w:lang w:val="pt-BR"/>
              </w:rPr>
              <w:t xml:space="preserve"> </w:t>
            </w:r>
            <w:r w:rsidRPr="00537112">
              <w:rPr>
                <w:rFonts w:cs="Verdana"/>
                <w:spacing w:val="1"/>
                <w:position w:val="-1"/>
                <w:sz w:val="20"/>
                <w:szCs w:val="20"/>
                <w:lang w:val="pt-BR"/>
              </w:rPr>
              <w:t>d</w:t>
            </w:r>
            <w:r w:rsidRPr="00537112">
              <w:rPr>
                <w:rFonts w:cs="Verdana"/>
                <w:position w:val="-1"/>
                <w:sz w:val="20"/>
                <w:szCs w:val="20"/>
                <w:lang w:val="pt-BR"/>
              </w:rPr>
              <w:t>e</w:t>
            </w:r>
            <w:r w:rsidRPr="00537112">
              <w:rPr>
                <w:rFonts w:cs="Verdana"/>
                <w:spacing w:val="-4"/>
                <w:position w:val="-1"/>
                <w:sz w:val="20"/>
                <w:szCs w:val="20"/>
                <w:lang w:val="pt-BR"/>
              </w:rPr>
              <w:t xml:space="preserve"> </w:t>
            </w:r>
            <w:r w:rsidRPr="00537112">
              <w:rPr>
                <w:rFonts w:cs="Verdana"/>
                <w:spacing w:val="1"/>
                <w:position w:val="-1"/>
                <w:sz w:val="20"/>
                <w:szCs w:val="20"/>
                <w:lang w:val="pt-BR"/>
              </w:rPr>
              <w:t>J</w:t>
            </w:r>
            <w:r w:rsidRPr="00537112">
              <w:rPr>
                <w:rFonts w:cs="Verdana"/>
                <w:spacing w:val="-1"/>
                <w:position w:val="-1"/>
                <w:sz w:val="20"/>
                <w:szCs w:val="20"/>
                <w:lang w:val="pt-BR"/>
              </w:rPr>
              <w:t>es</w:t>
            </w:r>
            <w:r w:rsidRPr="00537112">
              <w:rPr>
                <w:rFonts w:cs="Verdana"/>
                <w:spacing w:val="1"/>
                <w:position w:val="-1"/>
                <w:sz w:val="20"/>
                <w:szCs w:val="20"/>
                <w:lang w:val="pt-BR"/>
              </w:rPr>
              <w:t>u</w:t>
            </w:r>
            <w:r w:rsidRPr="00537112">
              <w:rPr>
                <w:rFonts w:cs="Verdana"/>
                <w:position w:val="-1"/>
                <w:sz w:val="20"/>
                <w:szCs w:val="20"/>
                <w:lang w:val="pt-BR"/>
              </w:rPr>
              <w:t>s</w:t>
            </w:r>
            <w:r w:rsidRPr="00537112">
              <w:rPr>
                <w:rFonts w:cs="Verdana"/>
                <w:spacing w:val="-6"/>
                <w:position w:val="-1"/>
                <w:sz w:val="20"/>
                <w:szCs w:val="20"/>
                <w:lang w:val="pt-BR"/>
              </w:rPr>
              <w:t xml:space="preserve"> </w:t>
            </w:r>
            <w:r w:rsidRPr="00537112">
              <w:rPr>
                <w:rFonts w:cs="Verdana"/>
                <w:spacing w:val="-1"/>
                <w:position w:val="-1"/>
                <w:sz w:val="20"/>
                <w:szCs w:val="20"/>
                <w:lang w:val="pt-BR"/>
              </w:rPr>
              <w:t>G</w:t>
            </w:r>
            <w:r w:rsidRPr="00537112">
              <w:rPr>
                <w:rFonts w:cs="Verdana"/>
                <w:position w:val="-1"/>
                <w:sz w:val="20"/>
                <w:szCs w:val="20"/>
                <w:lang w:val="pt-BR"/>
              </w:rPr>
              <w:t>a</w:t>
            </w:r>
            <w:r w:rsidRPr="00537112">
              <w:rPr>
                <w:rFonts w:cs="Verdana"/>
                <w:spacing w:val="3"/>
                <w:position w:val="-1"/>
                <w:sz w:val="20"/>
                <w:szCs w:val="20"/>
                <w:lang w:val="pt-BR"/>
              </w:rPr>
              <w:t>li</w:t>
            </w:r>
            <w:r w:rsidRPr="00537112">
              <w:rPr>
                <w:rFonts w:cs="Verdana"/>
                <w:spacing w:val="-1"/>
                <w:position w:val="-1"/>
                <w:sz w:val="20"/>
                <w:szCs w:val="20"/>
                <w:lang w:val="pt-BR"/>
              </w:rPr>
              <w:t>e</w:t>
            </w:r>
            <w:r w:rsidRPr="00537112">
              <w:rPr>
                <w:rFonts w:cs="Verdana"/>
                <w:spacing w:val="1"/>
                <w:position w:val="-1"/>
                <w:sz w:val="20"/>
                <w:szCs w:val="20"/>
                <w:lang w:val="pt-BR"/>
              </w:rPr>
              <w:t>g</w:t>
            </w:r>
            <w:r w:rsidRPr="00537112">
              <w:rPr>
                <w:rFonts w:cs="Verdana"/>
                <w:position w:val="-1"/>
                <w:sz w:val="20"/>
                <w:szCs w:val="20"/>
                <w:lang w:val="pt-BR"/>
              </w:rPr>
              <w:t>o</w:t>
            </w:r>
            <w:r w:rsidRPr="00537112">
              <w:rPr>
                <w:rFonts w:cs="Verdana"/>
                <w:spacing w:val="-9"/>
                <w:position w:val="-1"/>
                <w:sz w:val="20"/>
                <w:szCs w:val="20"/>
                <w:lang w:val="pt-BR"/>
              </w:rPr>
              <w:t xml:space="preserve"> </w:t>
            </w:r>
            <w:r w:rsidRPr="00537112">
              <w:rPr>
                <w:rFonts w:cs="Verdana"/>
                <w:position w:val="-1"/>
                <w:sz w:val="20"/>
                <w:szCs w:val="20"/>
                <w:lang w:val="pt-BR"/>
              </w:rPr>
              <w:t>M</w:t>
            </w:r>
            <w:r w:rsidRPr="00537112">
              <w:rPr>
                <w:rFonts w:cs="Verdana"/>
                <w:spacing w:val="-1"/>
                <w:position w:val="-1"/>
                <w:sz w:val="20"/>
                <w:szCs w:val="20"/>
                <w:lang w:val="pt-BR"/>
              </w:rPr>
              <w:t>e</w:t>
            </w:r>
            <w:r w:rsidRPr="00537112">
              <w:rPr>
                <w:rFonts w:cs="Verdana"/>
                <w:spacing w:val="1"/>
                <w:position w:val="-1"/>
                <w:sz w:val="20"/>
                <w:szCs w:val="20"/>
                <w:lang w:val="pt-BR"/>
              </w:rPr>
              <w:t>nd</w:t>
            </w:r>
            <w:r w:rsidRPr="00537112">
              <w:rPr>
                <w:rFonts w:cs="Verdana"/>
                <w:spacing w:val="-1"/>
                <w:position w:val="-1"/>
                <w:sz w:val="20"/>
                <w:szCs w:val="20"/>
                <w:lang w:val="pt-BR"/>
              </w:rPr>
              <w:t>o</w:t>
            </w:r>
            <w:r w:rsidRPr="00537112">
              <w:rPr>
                <w:rFonts w:cs="Verdana"/>
                <w:spacing w:val="1"/>
                <w:position w:val="-1"/>
                <w:sz w:val="20"/>
                <w:szCs w:val="20"/>
                <w:lang w:val="pt-BR"/>
              </w:rPr>
              <w:t>z</w:t>
            </w:r>
            <w:r w:rsidRPr="00537112">
              <w:rPr>
                <w:rFonts w:cs="Verdana"/>
                <w:position w:val="-1"/>
                <w:sz w:val="20"/>
                <w:szCs w:val="20"/>
                <w:lang w:val="pt-BR"/>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lang w:val="pt-BR"/>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lang w:val="pt-BR"/>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73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j</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74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1"/>
                <w:sz w:val="20"/>
                <w:szCs w:val="20"/>
              </w:rPr>
              <w:t>t</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E</w:t>
            </w:r>
            <w:r w:rsidRPr="00537112">
              <w:rPr>
                <w:rFonts w:cs="Verdana"/>
                <w:spacing w:val="3"/>
                <w:sz w:val="20"/>
                <w:szCs w:val="20"/>
              </w:rPr>
              <w:t>l</w:t>
            </w:r>
            <w:r w:rsidRPr="00537112">
              <w:rPr>
                <w:rFonts w:cs="Verdana"/>
                <w:spacing w:val="-1"/>
                <w:sz w:val="20"/>
                <w:szCs w:val="20"/>
              </w:rPr>
              <w:t>e</w:t>
            </w:r>
            <w:r w:rsidRPr="00537112">
              <w:rPr>
                <w:rFonts w:cs="Verdana"/>
                <w:spacing w:val="1"/>
                <w:sz w:val="20"/>
                <w:szCs w:val="20"/>
              </w:rPr>
              <w:t>n</w:t>
            </w:r>
            <w:r w:rsidRPr="00537112">
              <w:rPr>
                <w:rFonts w:cs="Verdana"/>
                <w:sz w:val="20"/>
                <w:szCs w:val="20"/>
              </w:rPr>
              <w:t>a</w:t>
            </w:r>
            <w:r w:rsidRPr="00537112">
              <w:rPr>
                <w:rFonts w:cs="Verdana"/>
                <w:spacing w:val="-5"/>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75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F</w:t>
            </w:r>
            <w:r w:rsidRPr="00537112">
              <w:rPr>
                <w:rFonts w:cs="Verdana"/>
                <w:spacing w:val="-1"/>
                <w:sz w:val="20"/>
                <w:szCs w:val="20"/>
              </w:rPr>
              <w:t>r</w:t>
            </w:r>
            <w:r w:rsidRPr="00537112">
              <w:rPr>
                <w:rFonts w:cs="Verdana"/>
                <w:sz w:val="20"/>
                <w:szCs w:val="20"/>
              </w:rPr>
              <w:t>a</w:t>
            </w:r>
            <w:r w:rsidRPr="00537112">
              <w:rPr>
                <w:rFonts w:cs="Verdana"/>
                <w:spacing w:val="1"/>
                <w:sz w:val="20"/>
                <w:szCs w:val="20"/>
              </w:rPr>
              <w:t>n</w:t>
            </w:r>
            <w:r w:rsidRPr="00537112">
              <w:rPr>
                <w:rFonts w:cs="Verdana"/>
                <w:spacing w:val="-1"/>
                <w:sz w:val="20"/>
                <w:szCs w:val="20"/>
              </w:rPr>
              <w:t>c</w:t>
            </w:r>
            <w:r w:rsidRPr="00537112">
              <w:rPr>
                <w:rFonts w:cs="Verdana"/>
                <w:spacing w:val="3"/>
                <w:sz w:val="20"/>
                <w:szCs w:val="20"/>
              </w:rPr>
              <w:t>i</w:t>
            </w:r>
            <w:r w:rsidRPr="00537112">
              <w:rPr>
                <w:rFonts w:cs="Verdana"/>
                <w:spacing w:val="-1"/>
                <w:sz w:val="20"/>
                <w:szCs w:val="20"/>
              </w:rPr>
              <w:t>sc</w:t>
            </w:r>
            <w:r w:rsidRPr="00537112">
              <w:rPr>
                <w:rFonts w:cs="Verdana"/>
                <w:sz w:val="20"/>
                <w:szCs w:val="20"/>
              </w:rPr>
              <w:t>a</w:t>
            </w:r>
            <w:r w:rsidRPr="00537112">
              <w:rPr>
                <w:rFonts w:cs="Verdana"/>
                <w:spacing w:val="-9"/>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76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or</w:t>
            </w:r>
            <w:r w:rsidRPr="00537112">
              <w:rPr>
                <w:rFonts w:cs="Verdana"/>
                <w:spacing w:val="1"/>
                <w:sz w:val="20"/>
                <w:szCs w:val="20"/>
              </w:rPr>
              <w:t>g</w:t>
            </w:r>
            <w:r w:rsidRPr="00537112">
              <w:rPr>
                <w:rFonts w:cs="Verdana"/>
                <w:sz w:val="20"/>
                <w:szCs w:val="20"/>
              </w:rPr>
              <w:t>e</w:t>
            </w:r>
            <w:r w:rsidRPr="00537112">
              <w:rPr>
                <w:rFonts w:cs="Verdana"/>
                <w:spacing w:val="-7"/>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77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Ant</w:t>
            </w:r>
            <w:r w:rsidRPr="00537112">
              <w:rPr>
                <w:rFonts w:cs="Verdana"/>
                <w:spacing w:val="-1"/>
                <w:sz w:val="20"/>
                <w:szCs w:val="20"/>
              </w:rPr>
              <w:t>o</w:t>
            </w:r>
            <w:r w:rsidRPr="00537112">
              <w:rPr>
                <w:rFonts w:cs="Verdana"/>
                <w:spacing w:val="1"/>
                <w:sz w:val="20"/>
                <w:szCs w:val="20"/>
              </w:rPr>
              <w:t>n</w:t>
            </w:r>
            <w:r w:rsidRPr="00537112">
              <w:rPr>
                <w:rFonts w:cs="Verdana"/>
                <w:spacing w:val="3"/>
                <w:sz w:val="20"/>
                <w:szCs w:val="20"/>
              </w:rPr>
              <w:t>i</w:t>
            </w:r>
            <w:r w:rsidRPr="00537112">
              <w:rPr>
                <w:rFonts w:cs="Verdana"/>
                <w:sz w:val="20"/>
                <w:szCs w:val="20"/>
              </w:rPr>
              <w:t>a</w:t>
            </w:r>
            <w:r w:rsidRPr="00537112">
              <w:rPr>
                <w:rFonts w:cs="Verdana"/>
                <w:spacing w:val="-8"/>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78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Ca</w:t>
            </w:r>
            <w:r w:rsidRPr="00537112">
              <w:rPr>
                <w:rFonts w:cs="Verdana"/>
                <w:spacing w:val="-1"/>
                <w:sz w:val="20"/>
                <w:szCs w:val="20"/>
              </w:rPr>
              <w:t>r</w:t>
            </w:r>
            <w:r w:rsidRPr="00537112">
              <w:rPr>
                <w:rFonts w:cs="Verdana"/>
                <w:spacing w:val="1"/>
                <w:sz w:val="20"/>
                <w:szCs w:val="20"/>
              </w:rPr>
              <w:t>m</w:t>
            </w:r>
            <w:r w:rsidRPr="00537112">
              <w:rPr>
                <w:rFonts w:cs="Verdana"/>
                <w:spacing w:val="-1"/>
                <w:sz w:val="20"/>
                <w:szCs w:val="20"/>
              </w:rPr>
              <w:t>e</w:t>
            </w:r>
            <w:r w:rsidRPr="00537112">
              <w:rPr>
                <w:rFonts w:cs="Verdana"/>
                <w:spacing w:val="3"/>
                <w:sz w:val="20"/>
                <w:szCs w:val="20"/>
              </w:rPr>
              <w:t>l</w:t>
            </w:r>
            <w:r w:rsidRPr="00537112">
              <w:rPr>
                <w:rFonts w:cs="Verdana"/>
                <w:sz w:val="20"/>
                <w:szCs w:val="20"/>
              </w:rPr>
              <w:t>a</w:t>
            </w:r>
            <w:r w:rsidRPr="00537112">
              <w:rPr>
                <w:rFonts w:cs="Verdana"/>
                <w:spacing w:val="-8"/>
                <w:sz w:val="20"/>
                <w:szCs w:val="20"/>
              </w:rPr>
              <w:t xml:space="preserve"> </w:t>
            </w:r>
            <w:r w:rsidRPr="00537112">
              <w:rPr>
                <w:rFonts w:cs="Verdana"/>
                <w:spacing w:val="-1"/>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79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os</w:t>
            </w:r>
            <w:r w:rsidRPr="00537112">
              <w:rPr>
                <w:rFonts w:cs="Verdana"/>
                <w:sz w:val="20"/>
                <w:szCs w:val="20"/>
              </w:rPr>
              <w:t>é</w:t>
            </w:r>
            <w:r w:rsidRPr="00537112">
              <w:rPr>
                <w:rFonts w:cs="Verdana"/>
                <w:spacing w:val="-6"/>
                <w:sz w:val="20"/>
                <w:szCs w:val="20"/>
              </w:rPr>
              <w:t xml:space="preserve"> </w:t>
            </w:r>
            <w:r w:rsidRPr="00537112">
              <w:rPr>
                <w:rFonts w:cs="Verdana"/>
                <w:spacing w:val="-1"/>
                <w:sz w:val="20"/>
                <w:szCs w:val="20"/>
              </w:rPr>
              <w:t>L</w:t>
            </w:r>
            <w:r w:rsidRPr="00537112">
              <w:rPr>
                <w:rFonts w:cs="Verdana"/>
                <w:spacing w:val="1"/>
                <w:sz w:val="20"/>
                <w:szCs w:val="20"/>
              </w:rPr>
              <w:t>u</w:t>
            </w:r>
            <w:r w:rsidRPr="00537112">
              <w:rPr>
                <w:rFonts w:cs="Verdana"/>
                <w:spacing w:val="3"/>
                <w:sz w:val="20"/>
                <w:szCs w:val="20"/>
              </w:rPr>
              <w:t>i</w:t>
            </w:r>
            <w:r w:rsidRPr="00537112">
              <w:rPr>
                <w:rFonts w:cs="Verdana"/>
                <w:sz w:val="20"/>
                <w:szCs w:val="20"/>
              </w:rPr>
              <w:t>s</w:t>
            </w:r>
            <w:r w:rsidRPr="00537112">
              <w:rPr>
                <w:rFonts w:cs="Verdana"/>
                <w:spacing w:val="-5"/>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80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V</w:t>
            </w:r>
            <w:r w:rsidRPr="00537112">
              <w:rPr>
                <w:rFonts w:cs="Verdana"/>
                <w:spacing w:val="3"/>
                <w:sz w:val="20"/>
                <w:szCs w:val="20"/>
              </w:rPr>
              <w:t>i</w:t>
            </w:r>
            <w:r w:rsidRPr="00537112">
              <w:rPr>
                <w:rFonts w:cs="Verdana"/>
                <w:spacing w:val="-1"/>
                <w:sz w:val="20"/>
                <w:szCs w:val="20"/>
              </w:rPr>
              <w:t>c</w:t>
            </w:r>
            <w:r w:rsidRPr="00537112">
              <w:rPr>
                <w:rFonts w:cs="Verdana"/>
                <w:spacing w:val="1"/>
                <w:sz w:val="20"/>
                <w:szCs w:val="20"/>
              </w:rPr>
              <w:t>t</w:t>
            </w:r>
            <w:r w:rsidRPr="00537112">
              <w:rPr>
                <w:rFonts w:cs="Verdana"/>
                <w:spacing w:val="-1"/>
                <w:sz w:val="20"/>
                <w:szCs w:val="20"/>
              </w:rPr>
              <w:t>or</w:t>
            </w:r>
            <w:r w:rsidRPr="00537112">
              <w:rPr>
                <w:rFonts w:cs="Verdana"/>
                <w:spacing w:val="3"/>
                <w:sz w:val="20"/>
                <w:szCs w:val="20"/>
              </w:rPr>
              <w:t>i</w:t>
            </w:r>
            <w:r w:rsidRPr="00537112">
              <w:rPr>
                <w:rFonts w:cs="Verdana"/>
                <w:sz w:val="20"/>
                <w:szCs w:val="20"/>
              </w:rPr>
              <w:t>a</w:t>
            </w:r>
            <w:r w:rsidRPr="00537112">
              <w:rPr>
                <w:rFonts w:cs="Verdana"/>
                <w:spacing w:val="-8"/>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81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Ab</w:t>
            </w:r>
            <w:r w:rsidRPr="00537112">
              <w:rPr>
                <w:rFonts w:cs="Verdana"/>
                <w:spacing w:val="-1"/>
                <w:sz w:val="20"/>
                <w:szCs w:val="20"/>
              </w:rPr>
              <w:t>e</w:t>
            </w:r>
            <w:r w:rsidRPr="00537112">
              <w:rPr>
                <w:rFonts w:cs="Verdana"/>
                <w:spacing w:val="3"/>
                <w:sz w:val="20"/>
                <w:szCs w:val="20"/>
              </w:rPr>
              <w:t>li</w:t>
            </w:r>
            <w:r w:rsidRPr="00537112">
              <w:rPr>
                <w:rFonts w:cs="Verdana"/>
                <w:spacing w:val="1"/>
                <w:sz w:val="20"/>
                <w:szCs w:val="20"/>
              </w:rPr>
              <w:t>n</w:t>
            </w:r>
            <w:r w:rsidRPr="00537112">
              <w:rPr>
                <w:rFonts w:cs="Verdana"/>
                <w:sz w:val="20"/>
                <w:szCs w:val="20"/>
              </w:rPr>
              <w:t>a</w:t>
            </w:r>
            <w:r w:rsidRPr="00537112">
              <w:rPr>
                <w:rFonts w:cs="Verdana"/>
                <w:spacing w:val="-7"/>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r w:rsidRPr="00537112">
              <w:rPr>
                <w:rFonts w:cs="Verdana"/>
                <w:spacing w:val="-9"/>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82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T</w:t>
            </w:r>
            <w:r w:rsidRPr="00537112">
              <w:rPr>
                <w:rFonts w:cs="Verdana"/>
                <w:spacing w:val="-1"/>
                <w:sz w:val="20"/>
                <w:szCs w:val="20"/>
              </w:rPr>
              <w:t>e</w:t>
            </w:r>
            <w:r w:rsidRPr="00537112">
              <w:rPr>
                <w:rFonts w:cs="Verdana"/>
                <w:spacing w:val="3"/>
                <w:sz w:val="20"/>
                <w:szCs w:val="20"/>
              </w:rPr>
              <w:t>l</w:t>
            </w:r>
            <w:r w:rsidRPr="00537112">
              <w:rPr>
                <w:rFonts w:cs="Verdana"/>
                <w:spacing w:val="1"/>
                <w:sz w:val="20"/>
                <w:szCs w:val="20"/>
              </w:rPr>
              <w:t>m</w:t>
            </w:r>
            <w:r w:rsidRPr="00537112">
              <w:rPr>
                <w:rFonts w:cs="Verdana"/>
                <w:sz w:val="20"/>
                <w:szCs w:val="20"/>
              </w:rPr>
              <w:t>a</w:t>
            </w:r>
            <w:r w:rsidRPr="00537112">
              <w:rPr>
                <w:rFonts w:cs="Verdana"/>
                <w:spacing w:val="-6"/>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r w:rsidRPr="00537112">
              <w:rPr>
                <w:rFonts w:cs="Verdana"/>
                <w:spacing w:val="-9"/>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83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J</w:t>
            </w:r>
            <w:r w:rsidRPr="00537112">
              <w:rPr>
                <w:rFonts w:cs="Verdana"/>
                <w:sz w:val="20"/>
                <w:szCs w:val="20"/>
              </w:rPr>
              <w:t>a</w:t>
            </w:r>
            <w:r w:rsidRPr="00537112">
              <w:rPr>
                <w:rFonts w:cs="Verdana"/>
                <w:spacing w:val="-1"/>
                <w:sz w:val="20"/>
                <w:szCs w:val="20"/>
              </w:rPr>
              <w:t>co</w:t>
            </w:r>
            <w:r w:rsidRPr="00537112">
              <w:rPr>
                <w:rFonts w:cs="Verdana"/>
                <w:spacing w:val="1"/>
                <w:sz w:val="20"/>
                <w:szCs w:val="20"/>
              </w:rPr>
              <w:t>b</w:t>
            </w:r>
            <w:r w:rsidRPr="00537112">
              <w:rPr>
                <w:rFonts w:cs="Verdana"/>
                <w:sz w:val="20"/>
                <w:szCs w:val="20"/>
              </w:rPr>
              <w:t>o</w:t>
            </w:r>
            <w:r w:rsidRPr="00537112">
              <w:rPr>
                <w:rFonts w:cs="Verdana"/>
                <w:spacing w:val="-9"/>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r w:rsidRPr="00537112">
              <w:rPr>
                <w:rFonts w:cs="Verdana"/>
                <w:spacing w:val="-9"/>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84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u</w:t>
            </w:r>
            <w:r w:rsidRPr="00537112">
              <w:rPr>
                <w:rFonts w:cs="Verdana"/>
                <w:spacing w:val="-1"/>
                <w:sz w:val="20"/>
                <w:szCs w:val="20"/>
              </w:rPr>
              <w:t>r</w:t>
            </w:r>
            <w:r w:rsidRPr="00537112">
              <w:rPr>
                <w:rFonts w:cs="Verdana"/>
                <w:spacing w:val="3"/>
                <w:sz w:val="20"/>
                <w:szCs w:val="20"/>
              </w:rPr>
              <w:t>i</w:t>
            </w:r>
            <w:r w:rsidRPr="00537112">
              <w:rPr>
                <w:rFonts w:cs="Verdana"/>
                <w:spacing w:val="-1"/>
                <w:sz w:val="20"/>
                <w:szCs w:val="20"/>
              </w:rPr>
              <w:t>c</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an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85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E</w:t>
            </w:r>
            <w:r w:rsidRPr="00537112">
              <w:rPr>
                <w:rFonts w:cs="Verdana"/>
                <w:sz w:val="20"/>
                <w:szCs w:val="20"/>
              </w:rPr>
              <w:t>va</w:t>
            </w:r>
            <w:r w:rsidRPr="00537112">
              <w:rPr>
                <w:rFonts w:cs="Verdana"/>
                <w:spacing w:val="-4"/>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r w:rsidRPr="00537112">
              <w:rPr>
                <w:rFonts w:cs="Verdana"/>
                <w:spacing w:val="-9"/>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86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F</w:t>
            </w:r>
            <w:r w:rsidRPr="00537112">
              <w:rPr>
                <w:rFonts w:cs="Verdana"/>
                <w:spacing w:val="3"/>
                <w:sz w:val="20"/>
                <w:szCs w:val="20"/>
              </w:rPr>
              <w:t>l</w:t>
            </w:r>
            <w:r w:rsidRPr="00537112">
              <w:rPr>
                <w:rFonts w:cs="Verdana"/>
                <w:spacing w:val="-1"/>
                <w:sz w:val="20"/>
                <w:szCs w:val="20"/>
              </w:rPr>
              <w:t>ore</w:t>
            </w:r>
            <w:r w:rsidRPr="00537112">
              <w:rPr>
                <w:rFonts w:cs="Verdana"/>
                <w:spacing w:val="1"/>
                <w:sz w:val="20"/>
                <w:szCs w:val="20"/>
              </w:rPr>
              <w:t>n</w:t>
            </w:r>
            <w:r w:rsidRPr="00537112">
              <w:rPr>
                <w:rFonts w:cs="Verdana"/>
                <w:spacing w:val="-1"/>
                <w:sz w:val="20"/>
                <w:szCs w:val="20"/>
              </w:rPr>
              <w:t>c</w:t>
            </w:r>
            <w:r w:rsidRPr="00537112">
              <w:rPr>
                <w:rFonts w:cs="Verdana"/>
                <w:spacing w:val="3"/>
                <w:sz w:val="20"/>
                <w:szCs w:val="20"/>
              </w:rPr>
              <w:t>i</w:t>
            </w:r>
            <w:r w:rsidRPr="00537112">
              <w:rPr>
                <w:rFonts w:cs="Verdana"/>
                <w:sz w:val="20"/>
                <w:szCs w:val="20"/>
              </w:rPr>
              <w:t>a</w:t>
            </w:r>
            <w:r w:rsidRPr="00537112">
              <w:rPr>
                <w:rFonts w:cs="Verdana"/>
                <w:spacing w:val="-9"/>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R</w:t>
            </w:r>
            <w:r w:rsidRPr="00537112">
              <w:rPr>
                <w:rFonts w:cs="Verdana"/>
                <w:spacing w:val="-1"/>
                <w:sz w:val="20"/>
                <w:szCs w:val="20"/>
              </w:rPr>
              <w:t>e</w:t>
            </w:r>
            <w:r w:rsidRPr="00537112">
              <w:rPr>
                <w:rFonts w:cs="Verdana"/>
                <w:sz w:val="20"/>
                <w:szCs w:val="20"/>
              </w:rPr>
              <w:t>y</w:t>
            </w:r>
            <w:r w:rsidRPr="00537112">
              <w:rPr>
                <w:rFonts w:cs="Verdana"/>
                <w:spacing w:val="-1"/>
                <w:sz w:val="20"/>
                <w:szCs w:val="20"/>
              </w:rPr>
              <w:t>e</w:t>
            </w:r>
            <w:r w:rsidRPr="00537112">
              <w:rPr>
                <w:rFonts w:cs="Verdana"/>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87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Ju</w:t>
            </w:r>
            <w:r w:rsidRPr="00537112">
              <w:rPr>
                <w:rFonts w:cs="Verdana"/>
                <w:sz w:val="20"/>
                <w:szCs w:val="20"/>
              </w:rPr>
              <w:t>a</w:t>
            </w:r>
            <w:r w:rsidRPr="00537112">
              <w:rPr>
                <w:rFonts w:cs="Verdana"/>
                <w:spacing w:val="1"/>
                <w:sz w:val="20"/>
                <w:szCs w:val="20"/>
              </w:rPr>
              <w:t>n</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R</w:t>
            </w:r>
            <w:r w:rsidRPr="00537112">
              <w:rPr>
                <w:rFonts w:cs="Verdana"/>
                <w:spacing w:val="-1"/>
                <w:sz w:val="20"/>
                <w:szCs w:val="20"/>
              </w:rPr>
              <w:t>e</w:t>
            </w:r>
            <w:r w:rsidRPr="00537112">
              <w:rPr>
                <w:rFonts w:cs="Verdana"/>
                <w:sz w:val="20"/>
                <w:szCs w:val="20"/>
              </w:rPr>
              <w:t>y</w:t>
            </w:r>
            <w:r w:rsidRPr="00537112">
              <w:rPr>
                <w:rFonts w:cs="Verdana"/>
                <w:spacing w:val="-1"/>
                <w:sz w:val="20"/>
                <w:szCs w:val="20"/>
              </w:rPr>
              <w:t>e</w:t>
            </w:r>
            <w:r w:rsidRPr="00537112">
              <w:rPr>
                <w:rFonts w:cs="Verdana"/>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88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Pa</w:t>
            </w:r>
            <w:r w:rsidRPr="00537112">
              <w:rPr>
                <w:rFonts w:cs="Verdana"/>
                <w:spacing w:val="1"/>
                <w:sz w:val="20"/>
                <w:szCs w:val="20"/>
              </w:rPr>
              <w:t>u</w:t>
            </w:r>
            <w:r w:rsidRPr="00537112">
              <w:rPr>
                <w:rFonts w:cs="Verdana"/>
                <w:spacing w:val="3"/>
                <w:sz w:val="20"/>
                <w:szCs w:val="20"/>
              </w:rPr>
              <w:t>li</w:t>
            </w:r>
            <w:r w:rsidRPr="00537112">
              <w:rPr>
                <w:rFonts w:cs="Verdana"/>
                <w:spacing w:val="1"/>
                <w:sz w:val="20"/>
                <w:szCs w:val="20"/>
              </w:rPr>
              <w:t>n</w:t>
            </w:r>
            <w:r w:rsidRPr="00537112">
              <w:rPr>
                <w:rFonts w:cs="Verdana"/>
                <w:sz w:val="20"/>
                <w:szCs w:val="20"/>
              </w:rPr>
              <w:t>a</w:t>
            </w:r>
            <w:r w:rsidRPr="00537112">
              <w:rPr>
                <w:rFonts w:cs="Verdana"/>
                <w:spacing w:val="-7"/>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R</w:t>
            </w:r>
            <w:r w:rsidRPr="00537112">
              <w:rPr>
                <w:rFonts w:cs="Verdana"/>
                <w:spacing w:val="-1"/>
                <w:sz w:val="20"/>
                <w:szCs w:val="20"/>
              </w:rPr>
              <w:t>e</w:t>
            </w:r>
            <w:r w:rsidRPr="00537112">
              <w:rPr>
                <w:rFonts w:cs="Verdana"/>
                <w:sz w:val="20"/>
                <w:szCs w:val="20"/>
              </w:rPr>
              <w:t>y</w:t>
            </w:r>
            <w:r w:rsidRPr="00537112">
              <w:rPr>
                <w:rFonts w:cs="Verdana"/>
                <w:spacing w:val="-1"/>
                <w:sz w:val="20"/>
                <w:szCs w:val="20"/>
              </w:rPr>
              <w:t>e</w:t>
            </w:r>
            <w:r w:rsidRPr="00537112">
              <w:rPr>
                <w:rFonts w:cs="Verdana"/>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89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R</w:t>
            </w:r>
            <w:r w:rsidRPr="00537112">
              <w:rPr>
                <w:rFonts w:cs="Verdana"/>
                <w:spacing w:val="-1"/>
                <w:sz w:val="20"/>
                <w:szCs w:val="20"/>
              </w:rPr>
              <w:t>os</w:t>
            </w:r>
            <w:r w:rsidRPr="00537112">
              <w:rPr>
                <w:rFonts w:cs="Verdana"/>
                <w:sz w:val="20"/>
                <w:szCs w:val="20"/>
              </w:rPr>
              <w:t>a</w:t>
            </w:r>
            <w:r w:rsidRPr="00537112">
              <w:rPr>
                <w:rFonts w:cs="Verdana"/>
                <w:spacing w:val="-5"/>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R</w:t>
            </w:r>
            <w:r w:rsidRPr="00537112">
              <w:rPr>
                <w:rFonts w:cs="Verdana"/>
                <w:spacing w:val="-1"/>
                <w:sz w:val="20"/>
                <w:szCs w:val="20"/>
              </w:rPr>
              <w:t>e</w:t>
            </w:r>
            <w:r w:rsidRPr="00537112">
              <w:rPr>
                <w:rFonts w:cs="Verdana"/>
                <w:sz w:val="20"/>
                <w:szCs w:val="20"/>
              </w:rPr>
              <w:t>y</w:t>
            </w:r>
            <w:r w:rsidRPr="00537112">
              <w:rPr>
                <w:rFonts w:cs="Verdana"/>
                <w:spacing w:val="-1"/>
                <w:sz w:val="20"/>
                <w:szCs w:val="20"/>
              </w:rPr>
              <w:t>e</w:t>
            </w:r>
            <w:r w:rsidRPr="00537112">
              <w:rPr>
                <w:rFonts w:cs="Verdana"/>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90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F</w:t>
            </w:r>
            <w:r w:rsidRPr="00537112">
              <w:rPr>
                <w:rFonts w:cs="Verdana"/>
                <w:spacing w:val="-1"/>
                <w:sz w:val="20"/>
                <w:szCs w:val="20"/>
              </w:rPr>
              <w:t>e</w:t>
            </w:r>
            <w:r w:rsidRPr="00537112">
              <w:rPr>
                <w:rFonts w:cs="Verdana"/>
                <w:spacing w:val="3"/>
                <w:sz w:val="20"/>
                <w:szCs w:val="20"/>
              </w:rPr>
              <w:t>li</w:t>
            </w:r>
            <w:r w:rsidRPr="00537112">
              <w:rPr>
                <w:rFonts w:cs="Verdana"/>
                <w:spacing w:val="1"/>
                <w:sz w:val="20"/>
                <w:szCs w:val="20"/>
              </w:rPr>
              <w:t>z</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R</w:t>
            </w:r>
            <w:r w:rsidRPr="00537112">
              <w:rPr>
                <w:rFonts w:cs="Verdana"/>
                <w:spacing w:val="-1"/>
                <w:sz w:val="20"/>
                <w:szCs w:val="20"/>
              </w:rPr>
              <w:t>e</w:t>
            </w:r>
            <w:r w:rsidRPr="00537112">
              <w:rPr>
                <w:rFonts w:cs="Verdana"/>
                <w:sz w:val="20"/>
                <w:szCs w:val="20"/>
              </w:rPr>
              <w:t>y</w:t>
            </w:r>
            <w:r w:rsidRPr="00537112">
              <w:rPr>
                <w:rFonts w:cs="Verdana"/>
                <w:spacing w:val="-1"/>
                <w:sz w:val="20"/>
                <w:szCs w:val="20"/>
              </w:rPr>
              <w:t>e</w:t>
            </w:r>
            <w:r w:rsidRPr="00537112">
              <w:rPr>
                <w:rFonts w:cs="Verdana"/>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91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os</w:t>
            </w:r>
            <w:r w:rsidRPr="00537112">
              <w:rPr>
                <w:rFonts w:cs="Verdana"/>
                <w:sz w:val="20"/>
                <w:szCs w:val="20"/>
              </w:rPr>
              <w:t>é</w:t>
            </w:r>
            <w:r w:rsidRPr="00537112">
              <w:rPr>
                <w:rFonts w:cs="Verdana"/>
                <w:spacing w:val="-6"/>
                <w:sz w:val="20"/>
                <w:szCs w:val="20"/>
              </w:rPr>
              <w:t xml:space="preserve"> </w:t>
            </w:r>
            <w:r w:rsidRPr="00537112">
              <w:rPr>
                <w:rFonts w:cs="Verdana"/>
                <w:spacing w:val="-1"/>
                <w:sz w:val="20"/>
                <w:szCs w:val="20"/>
              </w:rPr>
              <w:t>G</w:t>
            </w:r>
            <w:r w:rsidRPr="00537112">
              <w:rPr>
                <w:rFonts w:cs="Verdana"/>
                <w:spacing w:val="1"/>
                <w:sz w:val="20"/>
                <w:szCs w:val="20"/>
              </w:rPr>
              <w:t>u</w:t>
            </w:r>
            <w:r w:rsidRPr="00537112">
              <w:rPr>
                <w:rFonts w:cs="Verdana"/>
                <w:spacing w:val="3"/>
                <w:sz w:val="20"/>
                <w:szCs w:val="20"/>
              </w:rPr>
              <w:t>ill</w:t>
            </w:r>
            <w:r w:rsidRPr="00537112">
              <w:rPr>
                <w:rFonts w:cs="Verdana"/>
                <w:spacing w:val="-1"/>
                <w:sz w:val="20"/>
                <w:szCs w:val="20"/>
              </w:rPr>
              <w:t>er</w:t>
            </w:r>
            <w:r w:rsidRPr="00537112">
              <w:rPr>
                <w:rFonts w:cs="Verdana"/>
                <w:spacing w:val="1"/>
                <w:sz w:val="20"/>
                <w:szCs w:val="20"/>
              </w:rPr>
              <w:t>m</w:t>
            </w:r>
            <w:r w:rsidRPr="00537112">
              <w:rPr>
                <w:rFonts w:cs="Verdana"/>
                <w:sz w:val="20"/>
                <w:szCs w:val="20"/>
              </w:rPr>
              <w:t>o</w:t>
            </w:r>
            <w:r w:rsidRPr="00537112">
              <w:rPr>
                <w:rFonts w:cs="Verdana"/>
                <w:spacing w:val="-12"/>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R</w:t>
            </w:r>
            <w:r w:rsidRPr="00537112">
              <w:rPr>
                <w:rFonts w:cs="Verdana"/>
                <w:spacing w:val="-1"/>
                <w:sz w:val="20"/>
                <w:szCs w:val="20"/>
              </w:rPr>
              <w:t>e</w:t>
            </w:r>
            <w:r w:rsidRPr="00537112">
              <w:rPr>
                <w:rFonts w:cs="Verdana"/>
                <w:sz w:val="20"/>
                <w:szCs w:val="20"/>
              </w:rPr>
              <w:t>y</w:t>
            </w:r>
            <w:r w:rsidRPr="00537112">
              <w:rPr>
                <w:rFonts w:cs="Verdana"/>
                <w:spacing w:val="-1"/>
                <w:sz w:val="20"/>
                <w:szCs w:val="20"/>
              </w:rPr>
              <w:t>e</w:t>
            </w:r>
            <w:r w:rsidRPr="00537112">
              <w:rPr>
                <w:rFonts w:cs="Verdana"/>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92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S</w:t>
            </w:r>
            <w:r w:rsidRPr="00537112">
              <w:rPr>
                <w:rFonts w:cs="Verdana"/>
                <w:sz w:val="20"/>
                <w:szCs w:val="20"/>
              </w:rPr>
              <w:t>a</w:t>
            </w:r>
            <w:r w:rsidRPr="00537112">
              <w:rPr>
                <w:rFonts w:cs="Verdana"/>
                <w:spacing w:val="1"/>
                <w:sz w:val="20"/>
                <w:szCs w:val="20"/>
              </w:rPr>
              <w:t>nt</w:t>
            </w:r>
            <w:r w:rsidRPr="00537112">
              <w:rPr>
                <w:rFonts w:cs="Verdana"/>
                <w:spacing w:val="3"/>
                <w:sz w:val="20"/>
                <w:szCs w:val="20"/>
              </w:rPr>
              <w:t>i</w:t>
            </w:r>
            <w:r w:rsidRPr="00537112">
              <w:rPr>
                <w:rFonts w:cs="Verdana"/>
                <w:sz w:val="20"/>
                <w:szCs w:val="20"/>
              </w:rPr>
              <w:t>a</w:t>
            </w:r>
            <w:r w:rsidRPr="00537112">
              <w:rPr>
                <w:rFonts w:cs="Verdana"/>
                <w:spacing w:val="1"/>
                <w:sz w:val="20"/>
                <w:szCs w:val="20"/>
              </w:rPr>
              <w:t>g</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R</w:t>
            </w:r>
            <w:r w:rsidRPr="00537112">
              <w:rPr>
                <w:rFonts w:cs="Verdana"/>
                <w:spacing w:val="-1"/>
                <w:sz w:val="20"/>
                <w:szCs w:val="20"/>
              </w:rPr>
              <w:t>e</w:t>
            </w:r>
            <w:r w:rsidRPr="00537112">
              <w:rPr>
                <w:rFonts w:cs="Verdana"/>
                <w:sz w:val="20"/>
                <w:szCs w:val="20"/>
              </w:rPr>
              <w:t>y</w:t>
            </w:r>
            <w:r w:rsidRPr="00537112">
              <w:rPr>
                <w:rFonts w:cs="Verdana"/>
                <w:spacing w:val="-1"/>
                <w:sz w:val="20"/>
                <w:szCs w:val="20"/>
              </w:rPr>
              <w:t>e</w:t>
            </w:r>
            <w:r w:rsidRPr="00537112">
              <w:rPr>
                <w:rFonts w:cs="Verdana"/>
                <w:sz w:val="20"/>
                <w:szCs w:val="20"/>
              </w:rPr>
              <w:t>s</w:t>
            </w: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73"/>
              <w:jc w:val="center"/>
              <w:textAlignment w:val="auto"/>
              <w:rPr>
                <w:rFonts w:ascii="Times New Roman" w:hAnsi="Times New Roman"/>
              </w:rPr>
            </w:pPr>
            <w:r w:rsidRPr="00537112">
              <w:rPr>
                <w:rFonts w:cs="Verdana"/>
                <w:b/>
                <w:bCs/>
                <w:w w:val="99"/>
                <w:position w:val="-1"/>
                <w:sz w:val="20"/>
                <w:szCs w:val="20"/>
              </w:rPr>
              <w:t>71</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Máx</w:t>
            </w:r>
            <w:r w:rsidRPr="00537112">
              <w:rPr>
                <w:rFonts w:cs="Verdana"/>
                <w:spacing w:val="3"/>
                <w:position w:val="-1"/>
                <w:sz w:val="20"/>
                <w:szCs w:val="20"/>
              </w:rPr>
              <w:t>i</w:t>
            </w:r>
            <w:r w:rsidRPr="00537112">
              <w:rPr>
                <w:rFonts w:cs="Verdana"/>
                <w:spacing w:val="1"/>
                <w:position w:val="-1"/>
                <w:sz w:val="20"/>
                <w:szCs w:val="20"/>
              </w:rPr>
              <w:t>m</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E</w:t>
            </w:r>
            <w:r w:rsidRPr="00537112">
              <w:rPr>
                <w:rFonts w:cs="Verdana"/>
                <w:spacing w:val="1"/>
                <w:position w:val="-1"/>
                <w:sz w:val="20"/>
                <w:szCs w:val="20"/>
              </w:rPr>
              <w:t>m</w:t>
            </w:r>
            <w:r w:rsidRPr="00537112">
              <w:rPr>
                <w:rFonts w:cs="Verdana"/>
                <w:spacing w:val="3"/>
                <w:position w:val="-1"/>
                <w:sz w:val="20"/>
                <w:szCs w:val="20"/>
              </w:rPr>
              <w:t>ili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93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4"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72</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4"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w:t>
            </w:r>
            <w:r w:rsidRPr="00537112">
              <w:rPr>
                <w:rFonts w:cs="Verdana"/>
                <w:spacing w:val="3"/>
                <w:sz w:val="20"/>
                <w:szCs w:val="20"/>
              </w:rPr>
              <w:t>i</w:t>
            </w:r>
            <w:r w:rsidRPr="00537112">
              <w:rPr>
                <w:rFonts w:cs="Verdana"/>
                <w:spacing w:val="1"/>
                <w:sz w:val="20"/>
                <w:szCs w:val="20"/>
              </w:rPr>
              <w:t>gu</w:t>
            </w:r>
            <w:r w:rsidRPr="00537112">
              <w:rPr>
                <w:rFonts w:cs="Verdana"/>
                <w:spacing w:val="-1"/>
                <w:sz w:val="20"/>
                <w:szCs w:val="20"/>
              </w:rPr>
              <w:t>e</w:t>
            </w:r>
            <w:r w:rsidRPr="00537112">
              <w:rPr>
                <w:rFonts w:cs="Verdana"/>
                <w:sz w:val="20"/>
                <w:szCs w:val="20"/>
              </w:rPr>
              <w:t>l</w:t>
            </w:r>
            <w:r w:rsidRPr="00537112">
              <w:rPr>
                <w:rFonts w:cs="Verdana"/>
                <w:spacing w:val="-4"/>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z w:val="20"/>
                <w:szCs w:val="20"/>
              </w:rPr>
              <w:t>Ta</w:t>
            </w:r>
            <w:r w:rsidRPr="00537112">
              <w:rPr>
                <w:rFonts w:cs="Verdana"/>
                <w:spacing w:val="1"/>
                <w:sz w:val="20"/>
                <w:szCs w:val="20"/>
              </w:rPr>
              <w:t>hu</w:t>
            </w:r>
            <w:r w:rsidRPr="00537112">
              <w:rPr>
                <w:rFonts w:cs="Verdana"/>
                <w:spacing w:val="3"/>
                <w:sz w:val="20"/>
                <w:szCs w:val="20"/>
              </w:rPr>
              <w:t>i</w:t>
            </w:r>
            <w:r w:rsidRPr="00537112">
              <w:rPr>
                <w:rFonts w:cs="Verdana"/>
                <w:spacing w:val="-1"/>
                <w:sz w:val="20"/>
                <w:szCs w:val="20"/>
              </w:rPr>
              <w:t>c</w:t>
            </w:r>
            <w:r w:rsidRPr="00537112">
              <w:rPr>
                <w:rFonts w:cs="Verdana"/>
                <w:sz w:val="20"/>
                <w:szCs w:val="20"/>
              </w:rPr>
              <w:t>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94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ce</w:t>
            </w:r>
            <w:r w:rsidRPr="00537112">
              <w:rPr>
                <w:rFonts w:cs="Verdana"/>
                <w:spacing w:val="1"/>
                <w:position w:val="-1"/>
                <w:sz w:val="20"/>
                <w:szCs w:val="20"/>
              </w:rPr>
              <w:t>nt</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95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96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1"/>
                <w:position w:val="-1"/>
                <w:sz w:val="20"/>
                <w:szCs w:val="20"/>
              </w:rPr>
              <w:t>t</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97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3</w:t>
            </w:r>
            <w:r w:rsidRPr="00537112">
              <w:rPr>
                <w:rFonts w:cs="Verdana"/>
                <w:spacing w:val="1"/>
                <w:position w:val="-1"/>
                <w:sz w:val="20"/>
                <w:szCs w:val="20"/>
              </w:rPr>
              <w:t>98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spacing w:val="3"/>
                <w:position w:val="-1"/>
                <w:sz w:val="20"/>
                <w:szCs w:val="20"/>
              </w:rPr>
              <w:t>í</w:t>
            </w:r>
            <w:r w:rsidRPr="00537112">
              <w:rPr>
                <w:rFonts w:cs="Verdana"/>
                <w:spacing w:val="1"/>
                <w:position w:val="-1"/>
                <w:sz w:val="20"/>
                <w:szCs w:val="20"/>
              </w:rPr>
              <w:t>b</w:t>
            </w:r>
            <w:r w:rsidRPr="00537112">
              <w:rPr>
                <w:rFonts w:cs="Verdana"/>
                <w:position w:val="-1"/>
                <w:sz w:val="20"/>
                <w:szCs w:val="20"/>
              </w:rPr>
              <w:t>al</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420"/>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73</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c</w:t>
            </w:r>
            <w:r w:rsidRPr="00537112">
              <w:rPr>
                <w:rFonts w:cs="Verdana"/>
                <w:sz w:val="20"/>
                <w:szCs w:val="20"/>
              </w:rPr>
              <w:t>a</w:t>
            </w:r>
            <w:r w:rsidRPr="00537112">
              <w:rPr>
                <w:rFonts w:cs="Verdana"/>
                <w:spacing w:val="-1"/>
                <w:sz w:val="20"/>
                <w:szCs w:val="20"/>
              </w:rPr>
              <w:t>r</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76" w:line="240" w:lineRule="auto"/>
              <w:ind w:right="-20"/>
              <w:jc w:val="left"/>
              <w:textAlignment w:val="auto"/>
              <w:rPr>
                <w:rFonts w:ascii="Times New Roman" w:hAnsi="Times New Roman"/>
              </w:rPr>
            </w:pPr>
            <w:r w:rsidRPr="00537112">
              <w:rPr>
                <w:rFonts w:cs="Verdana"/>
                <w:sz w:val="20"/>
                <w:szCs w:val="20"/>
              </w:rPr>
              <w:t>3</w:t>
            </w:r>
            <w:r w:rsidRPr="00537112">
              <w:rPr>
                <w:rFonts w:cs="Verdana"/>
                <w:spacing w:val="1"/>
                <w:sz w:val="20"/>
                <w:szCs w:val="20"/>
              </w:rPr>
              <w:t>99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76" w:line="240" w:lineRule="auto"/>
              <w:ind w:right="-20"/>
              <w:jc w:val="left"/>
              <w:textAlignment w:val="auto"/>
              <w:rPr>
                <w:rFonts w:ascii="Times New Roman" w:hAnsi="Times New Roman"/>
              </w:rPr>
            </w:pPr>
            <w:r w:rsidRPr="00537112">
              <w:rPr>
                <w:rFonts w:cs="Verdana"/>
                <w:spacing w:val="-1"/>
                <w:sz w:val="20"/>
                <w:szCs w:val="20"/>
              </w:rPr>
              <w:t>L</w:t>
            </w:r>
            <w:r w:rsidRPr="00537112">
              <w:rPr>
                <w:rFonts w:cs="Verdana"/>
                <w:spacing w:val="1"/>
                <w:sz w:val="20"/>
                <w:szCs w:val="20"/>
              </w:rPr>
              <w:t>u</w:t>
            </w:r>
            <w:r w:rsidRPr="00537112">
              <w:rPr>
                <w:rFonts w:cs="Verdana"/>
                <w:spacing w:val="-1"/>
                <w:sz w:val="20"/>
                <w:szCs w:val="20"/>
              </w:rPr>
              <w:t>c</w:t>
            </w:r>
            <w:r w:rsidRPr="00537112">
              <w:rPr>
                <w:rFonts w:cs="Verdana"/>
                <w:spacing w:val="3"/>
                <w:sz w:val="20"/>
                <w:szCs w:val="20"/>
              </w:rPr>
              <w:t>il</w:t>
            </w:r>
            <w:r w:rsidRPr="00537112">
              <w:rPr>
                <w:rFonts w:cs="Verdana"/>
                <w:sz w:val="20"/>
                <w:szCs w:val="20"/>
              </w:rPr>
              <w:t>a</w:t>
            </w:r>
            <w:r w:rsidRPr="00537112">
              <w:rPr>
                <w:rFonts w:cs="Verdana"/>
                <w:spacing w:val="-6"/>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án</w:t>
            </w:r>
          </w:p>
        </w:tc>
      </w:tr>
      <w:tr w:rsidR="00537112" w:rsidRPr="00537112" w:rsidTr="00630EEC">
        <w:trPr>
          <w:trHeight w:hRule="exact" w:val="319"/>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76"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76"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r w:rsidRPr="00537112">
              <w:rPr>
                <w:rFonts w:cs="Verdana"/>
                <w:sz w:val="20"/>
                <w:szCs w:val="20"/>
              </w:rPr>
              <w:t>4</w:t>
            </w:r>
            <w:r w:rsidRPr="00537112">
              <w:rPr>
                <w:rFonts w:cs="Verdana"/>
                <w:spacing w:val="1"/>
                <w:sz w:val="20"/>
                <w:szCs w:val="20"/>
              </w:rPr>
              <w:t>00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u</w:t>
            </w:r>
            <w:r w:rsidRPr="00537112">
              <w:rPr>
                <w:rFonts w:cs="Verdana"/>
                <w:spacing w:val="-1"/>
                <w:sz w:val="20"/>
                <w:szCs w:val="20"/>
              </w:rPr>
              <w:t>r</w:t>
            </w:r>
            <w:r w:rsidRPr="00537112">
              <w:rPr>
                <w:rFonts w:cs="Verdana"/>
                <w:spacing w:val="3"/>
                <w:sz w:val="20"/>
                <w:szCs w:val="20"/>
              </w:rPr>
              <w:t>i</w:t>
            </w:r>
            <w:r w:rsidRPr="00537112">
              <w:rPr>
                <w:rFonts w:cs="Verdana"/>
                <w:spacing w:val="-1"/>
                <w:sz w:val="20"/>
                <w:szCs w:val="20"/>
              </w:rPr>
              <w:t>c</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án</w:t>
            </w:r>
          </w:p>
        </w:tc>
      </w:tr>
      <w:tr w:rsidR="00537112" w:rsidRPr="00537112" w:rsidTr="00630EEC">
        <w:trPr>
          <w:trHeight w:hRule="exact" w:val="319"/>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r w:rsidRPr="00537112">
              <w:rPr>
                <w:rFonts w:cs="Verdana"/>
                <w:sz w:val="20"/>
                <w:szCs w:val="20"/>
              </w:rPr>
              <w:t>4</w:t>
            </w:r>
            <w:r w:rsidRPr="00537112">
              <w:rPr>
                <w:rFonts w:cs="Verdana"/>
                <w:spacing w:val="1"/>
                <w:sz w:val="20"/>
                <w:szCs w:val="20"/>
              </w:rPr>
              <w:t>01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r w:rsidRPr="00537112">
              <w:rPr>
                <w:rFonts w:cs="Verdana"/>
                <w:spacing w:val="-1"/>
                <w:sz w:val="20"/>
                <w:szCs w:val="20"/>
              </w:rPr>
              <w:t>E</w:t>
            </w:r>
            <w:r w:rsidRPr="00537112">
              <w:rPr>
                <w:rFonts w:cs="Verdana"/>
                <w:sz w:val="20"/>
                <w:szCs w:val="20"/>
              </w:rPr>
              <w:t>va</w:t>
            </w:r>
            <w:r w:rsidRPr="00537112">
              <w:rPr>
                <w:rFonts w:cs="Verdana"/>
                <w:spacing w:val="-4"/>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r w:rsidRPr="00537112">
              <w:rPr>
                <w:rFonts w:cs="Verdana"/>
                <w:spacing w:val="-9"/>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án</w:t>
            </w:r>
          </w:p>
        </w:tc>
      </w:tr>
      <w:tr w:rsidR="00537112" w:rsidRPr="00537112" w:rsidTr="00630EEC">
        <w:trPr>
          <w:trHeight w:hRule="exact" w:val="391"/>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62" w:line="240" w:lineRule="auto"/>
              <w:ind w:right="-20"/>
              <w:jc w:val="left"/>
              <w:textAlignment w:val="auto"/>
              <w:rPr>
                <w:rFonts w:ascii="Times New Roman" w:hAnsi="Times New Roman"/>
              </w:rPr>
            </w:pPr>
            <w:r w:rsidRPr="00537112">
              <w:rPr>
                <w:rFonts w:cs="Verdana"/>
                <w:sz w:val="20"/>
                <w:szCs w:val="20"/>
              </w:rPr>
              <w:t>4</w:t>
            </w:r>
            <w:r w:rsidRPr="00537112">
              <w:rPr>
                <w:rFonts w:cs="Verdana"/>
                <w:spacing w:val="1"/>
                <w:sz w:val="20"/>
                <w:szCs w:val="20"/>
              </w:rPr>
              <w:t>02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62" w:line="240" w:lineRule="auto"/>
              <w:ind w:right="-20"/>
              <w:jc w:val="left"/>
              <w:textAlignment w:val="auto"/>
              <w:rPr>
                <w:rFonts w:ascii="Times New Roman" w:hAnsi="Times New Roman"/>
              </w:rPr>
            </w:pPr>
            <w:r w:rsidRPr="00537112">
              <w:rPr>
                <w:rFonts w:cs="Verdana"/>
                <w:spacing w:val="1"/>
                <w:sz w:val="20"/>
                <w:szCs w:val="20"/>
              </w:rPr>
              <w:t>J</w:t>
            </w:r>
            <w:r w:rsidRPr="00537112">
              <w:rPr>
                <w:rFonts w:cs="Verdana"/>
                <w:sz w:val="20"/>
                <w:szCs w:val="20"/>
              </w:rPr>
              <w:t>a</w:t>
            </w:r>
            <w:r w:rsidRPr="00537112">
              <w:rPr>
                <w:rFonts w:cs="Verdana"/>
                <w:spacing w:val="-1"/>
                <w:sz w:val="20"/>
                <w:szCs w:val="20"/>
              </w:rPr>
              <w:t>co</w:t>
            </w:r>
            <w:r w:rsidRPr="00537112">
              <w:rPr>
                <w:rFonts w:cs="Verdana"/>
                <w:spacing w:val="1"/>
                <w:sz w:val="20"/>
                <w:szCs w:val="20"/>
              </w:rPr>
              <w:t>b</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án</w:t>
            </w:r>
          </w:p>
        </w:tc>
      </w:tr>
      <w:tr w:rsidR="00537112" w:rsidRPr="00537112" w:rsidTr="00630EEC">
        <w:trPr>
          <w:trHeight w:hRule="exact" w:val="319"/>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62"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62"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r w:rsidRPr="00537112">
              <w:rPr>
                <w:rFonts w:cs="Verdana"/>
                <w:sz w:val="20"/>
                <w:szCs w:val="20"/>
              </w:rPr>
              <w:t>4</w:t>
            </w:r>
            <w:r w:rsidRPr="00537112">
              <w:rPr>
                <w:rFonts w:cs="Verdana"/>
                <w:spacing w:val="1"/>
                <w:sz w:val="20"/>
                <w:szCs w:val="20"/>
              </w:rPr>
              <w:t>03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r w:rsidRPr="00537112">
              <w:rPr>
                <w:rFonts w:cs="Verdana"/>
                <w:sz w:val="20"/>
                <w:szCs w:val="20"/>
              </w:rPr>
              <w:t>T</w:t>
            </w:r>
            <w:r w:rsidRPr="00537112">
              <w:rPr>
                <w:rFonts w:cs="Verdana"/>
                <w:spacing w:val="-1"/>
                <w:sz w:val="20"/>
                <w:szCs w:val="20"/>
              </w:rPr>
              <w:t>e</w:t>
            </w:r>
            <w:r w:rsidRPr="00537112">
              <w:rPr>
                <w:rFonts w:cs="Verdana"/>
                <w:spacing w:val="3"/>
                <w:sz w:val="20"/>
                <w:szCs w:val="20"/>
              </w:rPr>
              <w:t>l</w:t>
            </w:r>
            <w:r w:rsidRPr="00537112">
              <w:rPr>
                <w:rFonts w:cs="Verdana"/>
                <w:spacing w:val="1"/>
                <w:sz w:val="20"/>
                <w:szCs w:val="20"/>
              </w:rPr>
              <w:t>m</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án</w:t>
            </w:r>
          </w:p>
        </w:tc>
      </w:tr>
      <w:tr w:rsidR="00537112" w:rsidRPr="00537112" w:rsidTr="00630EEC">
        <w:trPr>
          <w:trHeight w:hRule="exact" w:val="319"/>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r w:rsidRPr="00537112">
              <w:rPr>
                <w:rFonts w:cs="Verdana"/>
                <w:sz w:val="20"/>
                <w:szCs w:val="20"/>
              </w:rPr>
              <w:t>4</w:t>
            </w:r>
            <w:r w:rsidRPr="00537112">
              <w:rPr>
                <w:rFonts w:cs="Verdana"/>
                <w:spacing w:val="1"/>
                <w:sz w:val="20"/>
                <w:szCs w:val="20"/>
              </w:rPr>
              <w:t>04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r w:rsidRPr="00537112">
              <w:rPr>
                <w:rFonts w:cs="Verdana"/>
                <w:spacing w:val="1"/>
                <w:sz w:val="20"/>
                <w:szCs w:val="20"/>
              </w:rPr>
              <w:t>Ab</w:t>
            </w:r>
            <w:r w:rsidRPr="00537112">
              <w:rPr>
                <w:rFonts w:cs="Verdana"/>
                <w:spacing w:val="-1"/>
                <w:sz w:val="20"/>
                <w:szCs w:val="20"/>
              </w:rPr>
              <w:t>e</w:t>
            </w:r>
            <w:r w:rsidRPr="00537112">
              <w:rPr>
                <w:rFonts w:cs="Verdana"/>
                <w:spacing w:val="3"/>
                <w:sz w:val="20"/>
                <w:szCs w:val="20"/>
              </w:rPr>
              <w:t>li</w:t>
            </w:r>
            <w:r w:rsidRPr="00537112">
              <w:rPr>
                <w:rFonts w:cs="Verdana"/>
                <w:spacing w:val="1"/>
                <w:sz w:val="20"/>
                <w:szCs w:val="20"/>
              </w:rPr>
              <w:t>n</w:t>
            </w:r>
            <w:r w:rsidRPr="00537112">
              <w:rPr>
                <w:rFonts w:cs="Verdana"/>
                <w:sz w:val="20"/>
                <w:szCs w:val="20"/>
              </w:rPr>
              <w:t>a</w:t>
            </w:r>
            <w:r w:rsidRPr="00537112">
              <w:rPr>
                <w:rFonts w:cs="Verdana"/>
                <w:spacing w:val="-7"/>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án</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pgSz w:w="12260" w:h="15840"/>
          <w:pgMar w:top="760" w:right="900" w:bottom="280" w:left="900" w:header="493" w:footer="0" w:gutter="0"/>
          <w:cols w:space="720"/>
          <w:noEndnote/>
        </w:sectPr>
      </w:pPr>
    </w:p>
    <w:p w:rsidR="00537112" w:rsidRPr="00537112" w:rsidRDefault="00537112" w:rsidP="00537112">
      <w:pPr>
        <w:autoSpaceDE w:val="0"/>
        <w:autoSpaceDN w:val="0"/>
        <w:spacing w:before="16" w:line="280" w:lineRule="exact"/>
        <w:jc w:val="left"/>
        <w:textAlignment w:val="auto"/>
        <w:rPr>
          <w:rFonts w:ascii="Times New Roman" w:hAnsi="Times New Roman"/>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772"/>
        <w:gridCol w:w="4496"/>
      </w:tblGrid>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74</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A</w:t>
            </w:r>
            <w:r w:rsidRPr="00537112">
              <w:rPr>
                <w:rFonts w:cs="Verdana"/>
                <w:spacing w:val="3"/>
                <w:sz w:val="20"/>
                <w:szCs w:val="20"/>
              </w:rPr>
              <w:t>l</w:t>
            </w:r>
            <w:r w:rsidRPr="00537112">
              <w:rPr>
                <w:rFonts w:cs="Verdana"/>
                <w:spacing w:val="1"/>
                <w:sz w:val="20"/>
                <w:szCs w:val="20"/>
              </w:rPr>
              <w:t>b</w:t>
            </w:r>
            <w:r w:rsidRPr="00537112">
              <w:rPr>
                <w:rFonts w:cs="Verdana"/>
                <w:spacing w:val="-1"/>
                <w:sz w:val="20"/>
                <w:szCs w:val="20"/>
              </w:rPr>
              <w:t>er</w:t>
            </w:r>
            <w:r w:rsidRPr="00537112">
              <w:rPr>
                <w:rFonts w:cs="Verdana"/>
                <w:spacing w:val="1"/>
                <w:sz w:val="20"/>
                <w:szCs w:val="20"/>
              </w:rPr>
              <w:t>t</w:t>
            </w:r>
            <w:r w:rsidRPr="00537112">
              <w:rPr>
                <w:rFonts w:cs="Verdana"/>
                <w:sz w:val="20"/>
                <w:szCs w:val="20"/>
              </w:rPr>
              <w:t>o</w:t>
            </w:r>
            <w:r w:rsidRPr="00537112">
              <w:rPr>
                <w:rFonts w:cs="Verdana"/>
                <w:spacing w:val="-9"/>
                <w:sz w:val="20"/>
                <w:szCs w:val="20"/>
              </w:rPr>
              <w:t xml:space="preserve"> </w:t>
            </w:r>
            <w:r w:rsidRPr="00537112">
              <w:rPr>
                <w:rFonts w:cs="Verdana"/>
                <w:sz w:val="20"/>
                <w:szCs w:val="20"/>
              </w:rPr>
              <w:t>Pa</w:t>
            </w:r>
            <w:r w:rsidRPr="00537112">
              <w:rPr>
                <w:rFonts w:cs="Verdana"/>
                <w:spacing w:val="1"/>
                <w:sz w:val="20"/>
                <w:szCs w:val="20"/>
              </w:rPr>
              <w:t>ng</w:t>
            </w:r>
            <w:r w:rsidRPr="00537112">
              <w:rPr>
                <w:rFonts w:cs="Verdana"/>
                <w:sz w:val="20"/>
                <w:szCs w:val="20"/>
              </w:rPr>
              <w:t>án</w:t>
            </w:r>
            <w:r w:rsidRPr="00537112">
              <w:rPr>
                <w:rFonts w:cs="Verdana"/>
                <w:spacing w:val="-7"/>
                <w:sz w:val="20"/>
                <w:szCs w:val="20"/>
              </w:rPr>
              <w:t xml:space="preserve"> </w:t>
            </w:r>
            <w:r w:rsidRPr="00537112">
              <w:rPr>
                <w:rFonts w:cs="Verdana"/>
                <w:spacing w:val="1"/>
                <w:sz w:val="20"/>
                <w:szCs w:val="20"/>
              </w:rPr>
              <w:t>Ju</w:t>
            </w:r>
            <w:r w:rsidRPr="00537112">
              <w:rPr>
                <w:rFonts w:cs="Verdana"/>
                <w:sz w:val="20"/>
                <w:szCs w:val="20"/>
              </w:rPr>
              <w:t>a</w:t>
            </w:r>
            <w:r w:rsidRPr="00537112">
              <w:rPr>
                <w:rFonts w:cs="Verdana"/>
                <w:spacing w:val="-1"/>
                <w:sz w:val="20"/>
                <w:szCs w:val="20"/>
              </w:rPr>
              <w:t>re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05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06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Pa</w:t>
            </w:r>
            <w:r w:rsidRPr="00537112">
              <w:rPr>
                <w:rFonts w:cs="Verdana"/>
                <w:spacing w:val="1"/>
                <w:position w:val="-1"/>
                <w:sz w:val="20"/>
                <w:szCs w:val="20"/>
              </w:rPr>
              <w:t>ng</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07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Pa</w:t>
            </w:r>
            <w:r w:rsidRPr="00537112">
              <w:rPr>
                <w:rFonts w:cs="Verdana"/>
                <w:spacing w:val="1"/>
                <w:position w:val="-1"/>
                <w:sz w:val="20"/>
                <w:szCs w:val="20"/>
              </w:rPr>
              <w:t>ng</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08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spacing w:val="1"/>
                <w:position w:val="-1"/>
                <w:sz w:val="20"/>
                <w:szCs w:val="20"/>
              </w:rPr>
              <w:t>u</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up</w:t>
            </w:r>
            <w:r w:rsidRPr="00537112">
              <w:rPr>
                <w:rFonts w:cs="Verdana"/>
                <w:position w:val="-1"/>
                <w:sz w:val="20"/>
                <w:szCs w:val="20"/>
              </w:rPr>
              <w:t>e</w:t>
            </w:r>
            <w:r w:rsidRPr="00537112">
              <w:rPr>
                <w:rFonts w:cs="Verdana"/>
                <w:spacing w:val="-13"/>
                <w:position w:val="-1"/>
                <w:sz w:val="20"/>
                <w:szCs w:val="20"/>
              </w:rPr>
              <w:t xml:space="preserve"> </w:t>
            </w:r>
            <w:r w:rsidRPr="00537112">
              <w:rPr>
                <w:rFonts w:cs="Verdana"/>
                <w:position w:val="-1"/>
                <w:sz w:val="20"/>
                <w:szCs w:val="20"/>
              </w:rPr>
              <w:t>Pa</w:t>
            </w:r>
            <w:r w:rsidRPr="00537112">
              <w:rPr>
                <w:rFonts w:cs="Verdana"/>
                <w:spacing w:val="1"/>
                <w:position w:val="-1"/>
                <w:sz w:val="20"/>
                <w:szCs w:val="20"/>
              </w:rPr>
              <w:t>ng</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09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1"/>
                <w:position w:val="-1"/>
                <w:sz w:val="20"/>
                <w:szCs w:val="20"/>
              </w:rPr>
              <w:t>er</w:t>
            </w:r>
            <w:r w:rsidRPr="00537112">
              <w:rPr>
                <w:rFonts w:cs="Verdana"/>
                <w:spacing w:val="1"/>
                <w:position w:val="-1"/>
                <w:sz w:val="20"/>
                <w:szCs w:val="20"/>
              </w:rPr>
              <w:t>d</w:t>
            </w:r>
            <w:r w:rsidRPr="00537112">
              <w:rPr>
                <w:rFonts w:cs="Verdana"/>
                <w:spacing w:val="-1"/>
                <w:position w:val="-1"/>
                <w:sz w:val="20"/>
                <w:szCs w:val="20"/>
              </w:rPr>
              <w:t>ece</w:t>
            </w:r>
            <w:r w:rsidRPr="00537112">
              <w:rPr>
                <w:rFonts w:cs="Verdana"/>
                <w:position w:val="-1"/>
                <w:sz w:val="20"/>
                <w:szCs w:val="20"/>
              </w:rPr>
              <w:t>s</w:t>
            </w:r>
            <w:r w:rsidRPr="00537112">
              <w:rPr>
                <w:rFonts w:cs="Verdana"/>
                <w:spacing w:val="-10"/>
                <w:position w:val="-1"/>
                <w:sz w:val="20"/>
                <w:szCs w:val="20"/>
              </w:rPr>
              <w:t xml:space="preserve"> </w:t>
            </w:r>
            <w:r w:rsidRPr="00537112">
              <w:rPr>
                <w:rFonts w:cs="Verdana"/>
                <w:position w:val="-1"/>
                <w:sz w:val="20"/>
                <w:szCs w:val="20"/>
              </w:rPr>
              <w:t>Pa</w:t>
            </w:r>
            <w:r w:rsidRPr="00537112">
              <w:rPr>
                <w:rFonts w:cs="Verdana"/>
                <w:spacing w:val="1"/>
                <w:position w:val="-1"/>
                <w:sz w:val="20"/>
                <w:szCs w:val="20"/>
              </w:rPr>
              <w:t>ng</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10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Geró</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m</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position w:val="-1"/>
                <w:sz w:val="20"/>
                <w:szCs w:val="20"/>
              </w:rPr>
              <w:t>Pa</w:t>
            </w:r>
            <w:r w:rsidRPr="00537112">
              <w:rPr>
                <w:rFonts w:cs="Verdana"/>
                <w:spacing w:val="1"/>
                <w:position w:val="-1"/>
                <w:sz w:val="20"/>
                <w:szCs w:val="20"/>
              </w:rPr>
              <w:t>ng</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75</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B</w:t>
            </w:r>
            <w:r w:rsidRPr="00537112">
              <w:rPr>
                <w:rFonts w:cs="Verdana"/>
                <w:spacing w:val="-1"/>
                <w:sz w:val="20"/>
                <w:szCs w:val="20"/>
              </w:rPr>
              <w:t>r</w:t>
            </w:r>
            <w:r w:rsidRPr="00537112">
              <w:rPr>
                <w:rFonts w:cs="Verdana"/>
                <w:spacing w:val="3"/>
                <w:sz w:val="20"/>
                <w:szCs w:val="20"/>
              </w:rPr>
              <w:t>i</w:t>
            </w:r>
            <w:r w:rsidRPr="00537112">
              <w:rPr>
                <w:rFonts w:cs="Verdana"/>
                <w:spacing w:val="1"/>
                <w:sz w:val="20"/>
                <w:szCs w:val="20"/>
              </w:rPr>
              <w:t>g</w:t>
            </w:r>
            <w:r w:rsidRPr="00537112">
              <w:rPr>
                <w:rFonts w:cs="Verdana"/>
                <w:spacing w:val="3"/>
                <w:sz w:val="20"/>
                <w:szCs w:val="20"/>
              </w:rPr>
              <w:t>i</w:t>
            </w:r>
            <w:r w:rsidRPr="00537112">
              <w:rPr>
                <w:rFonts w:cs="Verdana"/>
                <w:spacing w:val="1"/>
                <w:sz w:val="20"/>
                <w:szCs w:val="20"/>
              </w:rPr>
              <w:t>d</w:t>
            </w:r>
            <w:r w:rsidRPr="00537112">
              <w:rPr>
                <w:rFonts w:cs="Verdana"/>
                <w:sz w:val="20"/>
                <w:szCs w:val="20"/>
              </w:rPr>
              <w:t>o</w:t>
            </w:r>
            <w:r w:rsidRPr="00537112">
              <w:rPr>
                <w:rFonts w:cs="Verdana"/>
                <w:spacing w:val="-9"/>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11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12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ose</w:t>
            </w:r>
            <w:r w:rsidRPr="00537112">
              <w:rPr>
                <w:rFonts w:cs="Verdana"/>
                <w:spacing w:val="1"/>
                <w:position w:val="-1"/>
                <w:sz w:val="20"/>
                <w:szCs w:val="20"/>
              </w:rPr>
              <w:t>nd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te</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13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du</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14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é</w:t>
            </w:r>
            <w:r w:rsidRPr="00537112">
              <w:rPr>
                <w:rFonts w:cs="Verdana"/>
                <w:spacing w:val="-7"/>
                <w:position w:val="-1"/>
                <w:sz w:val="20"/>
                <w:szCs w:val="20"/>
              </w:rPr>
              <w:t xml:space="preserve"> </w:t>
            </w:r>
            <w:r w:rsidRPr="00537112">
              <w:rPr>
                <w:rFonts w:cs="Verdana"/>
                <w:spacing w:val="1"/>
                <w:position w:val="-1"/>
                <w:sz w:val="20"/>
                <w:szCs w:val="20"/>
              </w:rPr>
              <w:t>Ap</w:t>
            </w:r>
            <w:r w:rsidRPr="00537112">
              <w:rPr>
                <w:rFonts w:cs="Verdana"/>
                <w:spacing w:val="-1"/>
                <w:position w:val="-1"/>
                <w:sz w:val="20"/>
                <w:szCs w:val="20"/>
              </w:rPr>
              <w:t>o</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15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or</w:t>
            </w:r>
            <w:r w:rsidRPr="00537112">
              <w:rPr>
                <w:rFonts w:cs="Verdana"/>
                <w:spacing w:val="1"/>
                <w:position w:val="-1"/>
                <w:sz w:val="20"/>
                <w:szCs w:val="20"/>
              </w:rPr>
              <w:t>g</w:t>
            </w:r>
            <w:r w:rsidRPr="00537112">
              <w:rPr>
                <w:rFonts w:cs="Verdana"/>
                <w:position w:val="-1"/>
                <w:sz w:val="20"/>
                <w:szCs w:val="20"/>
              </w:rPr>
              <w:t>e</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16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w:t>
            </w:r>
            <w:r w:rsidRPr="00537112">
              <w:rPr>
                <w:rFonts w:cs="Verdana"/>
                <w:position w:val="-1"/>
                <w:sz w:val="20"/>
                <w:szCs w:val="20"/>
              </w:rPr>
              <w:t>r</w:t>
            </w:r>
            <w:r w:rsidRPr="00537112">
              <w:rPr>
                <w:rFonts w:cs="Verdana"/>
                <w:spacing w:val="-8"/>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76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es</w:t>
            </w:r>
            <w:r w:rsidRPr="00537112">
              <w:rPr>
                <w:rFonts w:cs="Verdana"/>
                <w:spacing w:val="1"/>
                <w:sz w:val="20"/>
                <w:szCs w:val="20"/>
              </w:rPr>
              <w:t>ú</w:t>
            </w:r>
            <w:r w:rsidRPr="00537112">
              <w:rPr>
                <w:rFonts w:cs="Verdana"/>
                <w:sz w:val="20"/>
                <w:szCs w:val="20"/>
              </w:rPr>
              <w:t>s</w:t>
            </w:r>
            <w:r w:rsidRPr="00537112">
              <w:rPr>
                <w:rFonts w:cs="Verdana"/>
                <w:spacing w:val="-6"/>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s</w:t>
            </w:r>
            <w:r w:rsidRPr="00537112">
              <w:rPr>
                <w:rFonts w:cs="Verdana"/>
                <w:spacing w:val="-9"/>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i</w:t>
            </w:r>
            <w:r w:rsidRPr="00537112">
              <w:rPr>
                <w:rFonts w:cs="Verdana"/>
                <w:sz w:val="20"/>
                <w:szCs w:val="20"/>
              </w:rPr>
              <w:t>a</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17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es</w:t>
            </w:r>
            <w:r w:rsidRPr="00537112">
              <w:rPr>
                <w:rFonts w:cs="Verdana"/>
                <w:spacing w:val="1"/>
                <w:position w:val="-1"/>
                <w:sz w:val="20"/>
                <w:szCs w:val="20"/>
              </w:rPr>
              <w:t>ú</w:t>
            </w:r>
            <w:r w:rsidRPr="00537112">
              <w:rPr>
                <w:rFonts w:cs="Verdana"/>
                <w:position w:val="-1"/>
                <w:sz w:val="20"/>
                <w:szCs w:val="20"/>
              </w:rPr>
              <w:t>s</w:t>
            </w:r>
            <w:r w:rsidRPr="00537112">
              <w:rPr>
                <w:rFonts w:cs="Verdana"/>
                <w:spacing w:val="-6"/>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18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Dav</w:t>
            </w:r>
            <w:r w:rsidRPr="00537112">
              <w:rPr>
                <w:rFonts w:cs="Verdana"/>
                <w:spacing w:val="3"/>
                <w:position w:val="-1"/>
                <w:sz w:val="20"/>
                <w:szCs w:val="20"/>
              </w:rPr>
              <w:t>i</w:t>
            </w:r>
            <w:r w:rsidRPr="00537112">
              <w:rPr>
                <w:rFonts w:cs="Verdana"/>
                <w:position w:val="-1"/>
                <w:sz w:val="20"/>
                <w:szCs w:val="20"/>
              </w:rPr>
              <w:t>d</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77</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Pa</w:t>
            </w:r>
            <w:r w:rsidRPr="00537112">
              <w:rPr>
                <w:rFonts w:cs="Verdana"/>
                <w:spacing w:val="1"/>
                <w:sz w:val="20"/>
                <w:szCs w:val="20"/>
              </w:rPr>
              <w:t>b</w:t>
            </w:r>
            <w:r w:rsidRPr="00537112">
              <w:rPr>
                <w:rFonts w:cs="Verdana"/>
                <w:spacing w:val="3"/>
                <w:sz w:val="20"/>
                <w:szCs w:val="20"/>
              </w:rPr>
              <w:t>l</w:t>
            </w:r>
            <w:r w:rsidRPr="00537112">
              <w:rPr>
                <w:rFonts w:cs="Verdana"/>
                <w:sz w:val="20"/>
                <w:szCs w:val="20"/>
              </w:rPr>
              <w:t>o</w:t>
            </w:r>
            <w:r w:rsidRPr="00537112">
              <w:rPr>
                <w:rFonts w:cs="Verdana"/>
                <w:spacing w:val="-7"/>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19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b</w:t>
            </w:r>
            <w:r w:rsidRPr="00537112">
              <w:rPr>
                <w:rFonts w:cs="Verdana"/>
                <w:spacing w:val="3"/>
                <w:position w:val="-1"/>
                <w:sz w:val="20"/>
                <w:szCs w:val="20"/>
              </w:rPr>
              <w:t>l</w:t>
            </w:r>
            <w:r w:rsidRPr="00537112">
              <w:rPr>
                <w:rFonts w:cs="Verdana"/>
                <w:position w:val="-1"/>
                <w:sz w:val="20"/>
                <w:szCs w:val="20"/>
              </w:rPr>
              <w:t>o</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20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s</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u</w:t>
            </w:r>
            <w:r w:rsidRPr="00537112">
              <w:rPr>
                <w:rFonts w:cs="Verdana"/>
                <w:position w:val="-1"/>
                <w:sz w:val="20"/>
                <w:szCs w:val="20"/>
              </w:rPr>
              <w:t>x</w:t>
            </w:r>
            <w:r w:rsidRPr="00537112">
              <w:rPr>
                <w:rFonts w:cs="Verdana"/>
                <w:spacing w:val="1"/>
                <w:position w:val="-1"/>
                <w:sz w:val="20"/>
                <w:szCs w:val="20"/>
              </w:rPr>
              <w:t>ú</w:t>
            </w:r>
            <w:r w:rsidRPr="00537112">
              <w:rPr>
                <w:rFonts w:cs="Verdana"/>
                <w:position w:val="-1"/>
                <w:sz w:val="20"/>
                <w:szCs w:val="20"/>
              </w:rPr>
              <w:t>m</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21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Ang</w:t>
            </w:r>
            <w:r w:rsidRPr="00537112">
              <w:rPr>
                <w:rFonts w:cs="Verdana"/>
                <w:spacing w:val="-1"/>
                <w:position w:val="-1"/>
                <w:sz w:val="20"/>
                <w:szCs w:val="20"/>
              </w:rPr>
              <w:t>é</w:t>
            </w:r>
            <w:r w:rsidRPr="00537112">
              <w:rPr>
                <w:rFonts w:cs="Verdana"/>
                <w:spacing w:val="3"/>
                <w:position w:val="-1"/>
                <w:sz w:val="20"/>
                <w:szCs w:val="20"/>
              </w:rPr>
              <w:t>li</w:t>
            </w:r>
            <w:r w:rsidRPr="00537112">
              <w:rPr>
                <w:rFonts w:cs="Verdana"/>
                <w:spacing w:val="-1"/>
                <w:position w:val="-1"/>
                <w:sz w:val="20"/>
                <w:szCs w:val="20"/>
              </w:rPr>
              <w:t>c</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22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spacing w:val="-1"/>
                <w:position w:val="-1"/>
                <w:sz w:val="20"/>
                <w:szCs w:val="20"/>
              </w:rPr>
              <w:t>o</w:t>
            </w:r>
            <w:r w:rsidRPr="00537112">
              <w:rPr>
                <w:rFonts w:cs="Verdana"/>
                <w:position w:val="-1"/>
                <w:sz w:val="20"/>
                <w:szCs w:val="20"/>
              </w:rPr>
              <w:t>s</w:t>
            </w:r>
            <w:r w:rsidRPr="00537112">
              <w:rPr>
                <w:rFonts w:cs="Verdana"/>
                <w:spacing w:val="-8"/>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23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Gre</w:t>
            </w:r>
            <w:r w:rsidRPr="00537112">
              <w:rPr>
                <w:rFonts w:cs="Verdana"/>
                <w:spacing w:val="1"/>
                <w:position w:val="-1"/>
                <w:sz w:val="20"/>
                <w:szCs w:val="20"/>
              </w:rPr>
              <w:t>g</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24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25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Er</w:t>
            </w:r>
            <w:r w:rsidRPr="00537112">
              <w:rPr>
                <w:rFonts w:cs="Verdana"/>
                <w:spacing w:val="1"/>
                <w:position w:val="-1"/>
                <w:sz w:val="20"/>
                <w:szCs w:val="20"/>
              </w:rPr>
              <w:t>n</w:t>
            </w:r>
            <w:r w:rsidRPr="00537112">
              <w:rPr>
                <w:rFonts w:cs="Verdana"/>
                <w:spacing w:val="-1"/>
                <w:position w:val="-1"/>
                <w:sz w:val="20"/>
                <w:szCs w:val="20"/>
              </w:rPr>
              <w:t>es</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26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spacing w:val="-1"/>
                <w:position w:val="-1"/>
                <w:sz w:val="20"/>
                <w:szCs w:val="20"/>
              </w:rPr>
              <w:t>er</w:t>
            </w:r>
            <w:r w:rsidRPr="00537112">
              <w:rPr>
                <w:rFonts w:cs="Verdana"/>
                <w:spacing w:val="1"/>
                <w:position w:val="-1"/>
                <w:sz w:val="20"/>
                <w:szCs w:val="20"/>
              </w:rPr>
              <w:t>g</w:t>
            </w:r>
            <w:r w:rsidRPr="00537112">
              <w:rPr>
                <w:rFonts w:cs="Verdana"/>
                <w:spacing w:val="3"/>
                <w:position w:val="-1"/>
                <w:sz w:val="20"/>
                <w:szCs w:val="20"/>
              </w:rPr>
              <w:t>i</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fre</w:t>
            </w:r>
            <w:r w:rsidRPr="00537112">
              <w:rPr>
                <w:rFonts w:cs="Verdana"/>
                <w:spacing w:val="1"/>
                <w:position w:val="-1"/>
                <w:sz w:val="20"/>
                <w:szCs w:val="20"/>
              </w:rPr>
              <w:t>d</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78</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es</w:t>
            </w:r>
            <w:r w:rsidRPr="00537112">
              <w:rPr>
                <w:rFonts w:cs="Verdana"/>
                <w:spacing w:val="1"/>
                <w:sz w:val="20"/>
                <w:szCs w:val="20"/>
              </w:rPr>
              <w:t>ú</w:t>
            </w:r>
            <w:r w:rsidRPr="00537112">
              <w:rPr>
                <w:rFonts w:cs="Verdana"/>
                <w:sz w:val="20"/>
                <w:szCs w:val="20"/>
              </w:rPr>
              <w:t>s</w:t>
            </w:r>
            <w:r w:rsidRPr="00537112">
              <w:rPr>
                <w:rFonts w:cs="Verdana"/>
                <w:spacing w:val="-6"/>
                <w:sz w:val="20"/>
                <w:szCs w:val="20"/>
              </w:rPr>
              <w:t xml:space="preserve"> </w:t>
            </w:r>
            <w:r w:rsidRPr="00537112">
              <w:rPr>
                <w:rFonts w:cs="Verdana"/>
                <w:sz w:val="20"/>
                <w:szCs w:val="20"/>
              </w:rPr>
              <w:t>P</w:t>
            </w:r>
            <w:r w:rsidRPr="00537112">
              <w:rPr>
                <w:rFonts w:cs="Verdana"/>
                <w:spacing w:val="-1"/>
                <w:sz w:val="20"/>
                <w:szCs w:val="20"/>
              </w:rPr>
              <w:t>eré</w:t>
            </w:r>
            <w:r w:rsidRPr="00537112">
              <w:rPr>
                <w:rFonts w:cs="Verdana"/>
                <w:sz w:val="20"/>
                <w:szCs w:val="20"/>
              </w:rPr>
              <w:t>z</w:t>
            </w:r>
            <w:r w:rsidRPr="00537112">
              <w:rPr>
                <w:rFonts w:cs="Verdana"/>
                <w:spacing w:val="-5"/>
                <w:sz w:val="20"/>
                <w:szCs w:val="20"/>
              </w:rPr>
              <w:t xml:space="preserve"> </w:t>
            </w:r>
            <w:r w:rsidRPr="00537112">
              <w:rPr>
                <w:rFonts w:cs="Verdana"/>
                <w:spacing w:val="1"/>
                <w:sz w:val="20"/>
                <w:szCs w:val="20"/>
              </w:rPr>
              <w:t>Á</w:t>
            </w:r>
            <w:r w:rsidRPr="00537112">
              <w:rPr>
                <w:rFonts w:cs="Verdana"/>
                <w:spacing w:val="3"/>
                <w:sz w:val="20"/>
                <w:szCs w:val="20"/>
              </w:rPr>
              <w:t>l</w:t>
            </w:r>
            <w:r w:rsidRPr="00537112">
              <w:rPr>
                <w:rFonts w:cs="Verdana"/>
                <w:sz w:val="20"/>
                <w:szCs w:val="20"/>
              </w:rPr>
              <w:t>va</w:t>
            </w:r>
            <w:r w:rsidRPr="00537112">
              <w:rPr>
                <w:rFonts w:cs="Verdana"/>
                <w:spacing w:val="-1"/>
                <w:sz w:val="20"/>
                <w:szCs w:val="20"/>
              </w:rPr>
              <w:t>re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27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28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p</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29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3"/>
                <w:position w:val="-1"/>
                <w:sz w:val="20"/>
                <w:szCs w:val="20"/>
              </w:rPr>
              <w:t>l</w:t>
            </w:r>
            <w:r w:rsidRPr="00537112">
              <w:rPr>
                <w:rFonts w:cs="Verdana"/>
                <w:spacing w:val="-1"/>
                <w:position w:val="-1"/>
                <w:sz w:val="20"/>
                <w:szCs w:val="20"/>
              </w:rPr>
              <w:t>o</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qu</w:t>
            </w:r>
            <w:r w:rsidRPr="00537112">
              <w:rPr>
                <w:rFonts w:cs="Verdana"/>
                <w:position w:val="-1"/>
                <w:sz w:val="20"/>
                <w:szCs w:val="20"/>
              </w:rPr>
              <w:t>e</w:t>
            </w:r>
            <w:r w:rsidRPr="00537112">
              <w:rPr>
                <w:rFonts w:cs="Verdana"/>
                <w:spacing w:val="-10"/>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79</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eró</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m</w:t>
            </w:r>
            <w:r w:rsidRPr="00537112">
              <w:rPr>
                <w:rFonts w:cs="Verdana"/>
                <w:sz w:val="20"/>
                <w:szCs w:val="20"/>
              </w:rPr>
              <w:t>o</w:t>
            </w:r>
            <w:r w:rsidRPr="00537112">
              <w:rPr>
                <w:rFonts w:cs="Verdana"/>
                <w:spacing w:val="-11"/>
                <w:sz w:val="20"/>
                <w:szCs w:val="20"/>
              </w:rPr>
              <w:t xml:space="preserve"> </w:t>
            </w:r>
            <w:r w:rsidRPr="00537112">
              <w:rPr>
                <w:rFonts w:cs="Verdana"/>
                <w:spacing w:val="-2"/>
                <w:sz w:val="20"/>
                <w:szCs w:val="20"/>
              </w:rPr>
              <w:t>I</w:t>
            </w:r>
            <w:r w:rsidRPr="00537112">
              <w:rPr>
                <w:rFonts w:cs="Verdana"/>
                <w:sz w:val="20"/>
                <w:szCs w:val="20"/>
              </w:rPr>
              <w:t>x</w:t>
            </w:r>
            <w:r w:rsidRPr="00537112">
              <w:rPr>
                <w:rFonts w:cs="Verdana"/>
                <w:spacing w:val="1"/>
                <w:sz w:val="20"/>
                <w:szCs w:val="20"/>
              </w:rPr>
              <w:t>p</w:t>
            </w:r>
            <w:r w:rsidRPr="00537112">
              <w:rPr>
                <w:rFonts w:cs="Verdana"/>
                <w:sz w:val="20"/>
                <w:szCs w:val="20"/>
              </w:rPr>
              <w:t>a</w:t>
            </w:r>
            <w:r w:rsidRPr="00537112">
              <w:rPr>
                <w:rFonts w:cs="Verdana"/>
                <w:spacing w:val="1"/>
                <w:sz w:val="20"/>
                <w:szCs w:val="20"/>
              </w:rPr>
              <w:t>t</w:t>
            </w:r>
            <w:r w:rsidRPr="00537112">
              <w:rPr>
                <w:rFonts w:cs="Verdana"/>
                <w:sz w:val="20"/>
                <w:szCs w:val="20"/>
              </w:rPr>
              <w:t>á</w:t>
            </w:r>
            <w:r w:rsidRPr="00537112">
              <w:rPr>
                <w:rFonts w:cs="Verdana"/>
                <w:spacing w:val="-6"/>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30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eró</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m</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31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t</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32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33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v</w:t>
            </w:r>
            <w:r w:rsidRPr="00537112">
              <w:rPr>
                <w:rFonts w:cs="Verdana"/>
                <w:spacing w:val="3"/>
                <w:position w:val="-1"/>
                <w:sz w:val="20"/>
                <w:szCs w:val="20"/>
              </w:rPr>
              <w:t>i</w:t>
            </w:r>
            <w:r w:rsidRPr="00537112">
              <w:rPr>
                <w:rFonts w:cs="Verdana"/>
                <w:spacing w:val="-1"/>
                <w:position w:val="-1"/>
                <w:sz w:val="20"/>
                <w:szCs w:val="20"/>
              </w:rPr>
              <w:t>r</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4"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80</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Agu</w:t>
            </w:r>
            <w:r w:rsidRPr="00537112">
              <w:rPr>
                <w:rFonts w:cs="Verdana"/>
                <w:spacing w:val="-1"/>
                <w:sz w:val="20"/>
                <w:szCs w:val="20"/>
              </w:rPr>
              <w:t>s</w:t>
            </w:r>
            <w:r w:rsidRPr="00537112">
              <w:rPr>
                <w:rFonts w:cs="Verdana"/>
                <w:spacing w:val="1"/>
                <w:sz w:val="20"/>
                <w:szCs w:val="20"/>
              </w:rPr>
              <w:t>t</w:t>
            </w:r>
            <w:r w:rsidRPr="00537112">
              <w:rPr>
                <w:rFonts w:cs="Verdana"/>
                <w:spacing w:val="3"/>
                <w:sz w:val="20"/>
                <w:szCs w:val="20"/>
              </w:rPr>
              <w:t>í</w:t>
            </w:r>
            <w:r w:rsidRPr="00537112">
              <w:rPr>
                <w:rFonts w:cs="Verdana"/>
                <w:sz w:val="20"/>
                <w:szCs w:val="20"/>
              </w:rPr>
              <w:t>n</w:t>
            </w:r>
            <w:r w:rsidRPr="00537112">
              <w:rPr>
                <w:rFonts w:cs="Verdana"/>
                <w:spacing w:val="-8"/>
                <w:sz w:val="20"/>
                <w:szCs w:val="20"/>
              </w:rPr>
              <w:t xml:space="preserve"> </w:t>
            </w:r>
            <w:r w:rsidRPr="00537112">
              <w:rPr>
                <w:rFonts w:cs="Verdana"/>
                <w:spacing w:val="1"/>
                <w:sz w:val="20"/>
                <w:szCs w:val="20"/>
              </w:rPr>
              <w:t>Ju</w:t>
            </w:r>
            <w:r w:rsidRPr="00537112">
              <w:rPr>
                <w:rFonts w:cs="Verdana"/>
                <w:sz w:val="20"/>
                <w:szCs w:val="20"/>
              </w:rPr>
              <w:t>a</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Ló</w:t>
            </w:r>
            <w:r w:rsidRPr="00537112">
              <w:rPr>
                <w:rFonts w:cs="Verdana"/>
                <w:spacing w:val="1"/>
                <w:sz w:val="20"/>
                <w:szCs w:val="20"/>
              </w:rPr>
              <w:t>p</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34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n</w:t>
            </w:r>
            <w:r w:rsidRPr="00537112">
              <w:rPr>
                <w:rFonts w:cs="Verdana"/>
                <w:spacing w:val="-1"/>
                <w:position w:val="-1"/>
                <w:sz w:val="20"/>
                <w:szCs w:val="20"/>
              </w:rPr>
              <w:t>oce</w:t>
            </w:r>
            <w:r w:rsidRPr="00537112">
              <w:rPr>
                <w:rFonts w:cs="Verdana"/>
                <w:spacing w:val="1"/>
                <w:position w:val="-1"/>
                <w:sz w:val="20"/>
                <w:szCs w:val="20"/>
              </w:rPr>
              <w:t>nt</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ecó</w:t>
            </w:r>
            <w:r w:rsidRPr="00537112">
              <w:rPr>
                <w:rFonts w:cs="Verdana"/>
                <w:position w:val="-1"/>
                <w:sz w:val="20"/>
                <w:szCs w:val="20"/>
              </w:rPr>
              <w:t>c</w:t>
            </w:r>
            <w:r w:rsidRPr="00537112">
              <w:rPr>
                <w:rFonts w:cs="Verdana"/>
                <w:spacing w:val="-8"/>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tumúl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35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position w:val="-1"/>
                <w:sz w:val="20"/>
                <w:szCs w:val="20"/>
              </w:rPr>
              <w:t>a</w:t>
            </w:r>
            <w:r w:rsidRPr="00537112">
              <w:rPr>
                <w:rFonts w:cs="Verdana"/>
                <w:spacing w:val="-4"/>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36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ecóc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37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Lore</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38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és</w:t>
            </w:r>
            <w:r w:rsidRPr="00537112">
              <w:rPr>
                <w:rFonts w:cs="Verdana"/>
                <w:position w:val="-1"/>
                <w:sz w:val="20"/>
                <w:szCs w:val="20"/>
              </w:rPr>
              <w:t>ar</w:t>
            </w:r>
            <w:r w:rsidRPr="00537112">
              <w:rPr>
                <w:rFonts w:cs="Verdana"/>
                <w:spacing w:val="-8"/>
                <w:position w:val="-1"/>
                <w:sz w:val="20"/>
                <w:szCs w:val="20"/>
              </w:rPr>
              <w:t xml:space="preserve"> </w:t>
            </w:r>
            <w:r w:rsidRPr="00537112">
              <w:rPr>
                <w:rFonts w:cs="Verdana"/>
                <w:spacing w:val="1"/>
                <w:position w:val="-1"/>
                <w:sz w:val="20"/>
                <w:szCs w:val="20"/>
              </w:rPr>
              <w:t>Agu</w:t>
            </w:r>
            <w:r w:rsidRPr="00537112">
              <w:rPr>
                <w:rFonts w:cs="Verdana"/>
                <w:spacing w:val="-1"/>
                <w:position w:val="-1"/>
                <w:sz w:val="20"/>
                <w:szCs w:val="20"/>
              </w:rPr>
              <w:t>s</w:t>
            </w:r>
            <w:r w:rsidRPr="00537112">
              <w:rPr>
                <w:rFonts w:cs="Verdana"/>
                <w:spacing w:val="1"/>
                <w:position w:val="-1"/>
                <w:sz w:val="20"/>
                <w:szCs w:val="20"/>
              </w:rPr>
              <w:t>t</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ecoc</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81</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S</w:t>
            </w:r>
            <w:r w:rsidRPr="00537112">
              <w:rPr>
                <w:rFonts w:cs="Verdana"/>
                <w:spacing w:val="-1"/>
                <w:sz w:val="20"/>
                <w:szCs w:val="20"/>
              </w:rPr>
              <w:t>e</w:t>
            </w:r>
            <w:r w:rsidRPr="00537112">
              <w:rPr>
                <w:rFonts w:cs="Verdana"/>
                <w:spacing w:val="1"/>
                <w:sz w:val="20"/>
                <w:szCs w:val="20"/>
              </w:rPr>
              <w:t>b</w:t>
            </w:r>
            <w:r w:rsidRPr="00537112">
              <w:rPr>
                <w:rFonts w:cs="Verdana"/>
                <w:sz w:val="20"/>
                <w:szCs w:val="20"/>
              </w:rPr>
              <w:t>a</w:t>
            </w:r>
            <w:r w:rsidRPr="00537112">
              <w:rPr>
                <w:rFonts w:cs="Verdana"/>
                <w:spacing w:val="-1"/>
                <w:sz w:val="20"/>
                <w:szCs w:val="20"/>
              </w:rPr>
              <w:t>s</w:t>
            </w:r>
            <w:r w:rsidRPr="00537112">
              <w:rPr>
                <w:rFonts w:cs="Verdana"/>
                <w:spacing w:val="1"/>
                <w:sz w:val="20"/>
                <w:szCs w:val="20"/>
              </w:rPr>
              <w:t>t</w:t>
            </w:r>
            <w:r w:rsidRPr="00537112">
              <w:rPr>
                <w:rFonts w:cs="Verdana"/>
                <w:spacing w:val="3"/>
                <w:sz w:val="20"/>
                <w:szCs w:val="20"/>
              </w:rPr>
              <w:t>i</w:t>
            </w:r>
            <w:r w:rsidRPr="00537112">
              <w:rPr>
                <w:rFonts w:cs="Verdana"/>
                <w:sz w:val="20"/>
                <w:szCs w:val="20"/>
              </w:rPr>
              <w:t>an</w:t>
            </w:r>
            <w:r w:rsidRPr="00537112">
              <w:rPr>
                <w:rFonts w:cs="Verdana"/>
                <w:spacing w:val="-10"/>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z w:val="20"/>
                <w:szCs w:val="20"/>
              </w:rPr>
              <w:t>Ta</w:t>
            </w:r>
            <w:r w:rsidRPr="00537112">
              <w:rPr>
                <w:rFonts w:cs="Verdana"/>
                <w:spacing w:val="1"/>
                <w:sz w:val="20"/>
                <w:szCs w:val="20"/>
              </w:rPr>
              <w:t>hu</w:t>
            </w:r>
            <w:r w:rsidRPr="00537112">
              <w:rPr>
                <w:rFonts w:cs="Verdana"/>
                <w:spacing w:val="3"/>
                <w:sz w:val="20"/>
                <w:szCs w:val="20"/>
              </w:rPr>
              <w:t>i</w:t>
            </w:r>
            <w:r w:rsidRPr="00537112">
              <w:rPr>
                <w:rFonts w:cs="Verdana"/>
                <w:spacing w:val="-1"/>
                <w:sz w:val="20"/>
                <w:szCs w:val="20"/>
              </w:rPr>
              <w:t>c</w:t>
            </w:r>
            <w:r w:rsidRPr="00537112">
              <w:rPr>
                <w:rFonts w:cs="Verdana"/>
                <w:sz w:val="20"/>
                <w:szCs w:val="20"/>
              </w:rPr>
              <w:t>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39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ce</w:t>
            </w:r>
            <w:r w:rsidRPr="00537112">
              <w:rPr>
                <w:rFonts w:cs="Verdana"/>
                <w:spacing w:val="1"/>
                <w:position w:val="-1"/>
                <w:sz w:val="20"/>
                <w:szCs w:val="20"/>
              </w:rPr>
              <w:t>nt</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40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osef</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41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Ad</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42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Hec</w:t>
            </w:r>
            <w:r w:rsidRPr="00537112">
              <w:rPr>
                <w:rFonts w:cs="Verdana"/>
                <w:spacing w:val="1"/>
                <w:position w:val="-1"/>
                <w:sz w:val="20"/>
                <w:szCs w:val="20"/>
              </w:rPr>
              <w:t>t</w:t>
            </w:r>
            <w:r w:rsidRPr="00537112">
              <w:rPr>
                <w:rFonts w:cs="Verdana"/>
                <w:spacing w:val="-1"/>
                <w:position w:val="-1"/>
                <w:sz w:val="20"/>
                <w:szCs w:val="20"/>
              </w:rPr>
              <w:t>o</w:t>
            </w:r>
            <w:r w:rsidRPr="00537112">
              <w:rPr>
                <w:rFonts w:cs="Verdana"/>
                <w:position w:val="-1"/>
                <w:sz w:val="20"/>
                <w:szCs w:val="20"/>
              </w:rPr>
              <w:t>r</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43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s</w:t>
            </w:r>
            <w:r w:rsidRPr="00537112">
              <w:rPr>
                <w:rFonts w:cs="Verdana"/>
                <w:position w:val="-1"/>
                <w:sz w:val="20"/>
                <w:szCs w:val="20"/>
              </w:rPr>
              <w:t>a</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44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spacing w:val="3"/>
                <w:position w:val="-1"/>
                <w:sz w:val="20"/>
                <w:szCs w:val="20"/>
              </w:rPr>
              <w:t>il</w:t>
            </w:r>
            <w:r w:rsidRPr="00537112">
              <w:rPr>
                <w:rFonts w:cs="Verdana"/>
                <w:position w:val="-1"/>
                <w:sz w:val="20"/>
                <w:szCs w:val="20"/>
              </w:rPr>
              <w:t>v</w:t>
            </w:r>
            <w:r w:rsidRPr="00537112">
              <w:rPr>
                <w:rFonts w:cs="Verdana"/>
                <w:spacing w:val="-1"/>
                <w:position w:val="-1"/>
                <w:sz w:val="20"/>
                <w:szCs w:val="20"/>
              </w:rPr>
              <w:t>es</w:t>
            </w:r>
            <w:r w:rsidRPr="00537112">
              <w:rPr>
                <w:rFonts w:cs="Verdana"/>
                <w:spacing w:val="1"/>
                <w:position w:val="-1"/>
                <w:sz w:val="20"/>
                <w:szCs w:val="20"/>
              </w:rPr>
              <w:t>t</w:t>
            </w:r>
            <w:r w:rsidRPr="00537112">
              <w:rPr>
                <w:rFonts w:cs="Verdana"/>
                <w:spacing w:val="-1"/>
                <w:position w:val="-1"/>
                <w:sz w:val="20"/>
                <w:szCs w:val="20"/>
              </w:rPr>
              <w:t>r</w:t>
            </w:r>
            <w:r w:rsidRPr="00537112">
              <w:rPr>
                <w:rFonts w:cs="Verdana"/>
                <w:position w:val="-1"/>
                <w:sz w:val="20"/>
                <w:szCs w:val="20"/>
              </w:rPr>
              <w:t>e</w:t>
            </w:r>
            <w:r w:rsidRPr="00537112">
              <w:rPr>
                <w:rFonts w:cs="Verdana"/>
                <w:spacing w:val="-11"/>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82</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Ju</w:t>
            </w:r>
            <w:r w:rsidRPr="00537112">
              <w:rPr>
                <w:rFonts w:cs="Verdana"/>
                <w:sz w:val="20"/>
                <w:szCs w:val="20"/>
              </w:rPr>
              <w:t>an</w:t>
            </w:r>
            <w:r w:rsidRPr="00537112">
              <w:rPr>
                <w:rFonts w:cs="Verdana"/>
                <w:spacing w:val="-5"/>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45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1"/>
                <w:position w:val="-1"/>
                <w:sz w:val="20"/>
                <w:szCs w:val="20"/>
              </w:rPr>
              <w:t>J</w:t>
            </w:r>
            <w:r w:rsidRPr="00537112">
              <w:rPr>
                <w:rFonts w:cs="Verdana"/>
                <w:spacing w:val="-1"/>
                <w:position w:val="-1"/>
                <w:sz w:val="20"/>
                <w:szCs w:val="20"/>
              </w:rPr>
              <w:t>es</w:t>
            </w:r>
            <w:r w:rsidRPr="00537112">
              <w:rPr>
                <w:rFonts w:cs="Verdana"/>
                <w:spacing w:val="1"/>
                <w:position w:val="-1"/>
                <w:sz w:val="20"/>
                <w:szCs w:val="20"/>
              </w:rPr>
              <w:t>ú</w:t>
            </w:r>
            <w:r w:rsidRPr="00537112">
              <w:rPr>
                <w:rFonts w:cs="Verdana"/>
                <w:position w:val="-1"/>
                <w:sz w:val="20"/>
                <w:szCs w:val="20"/>
              </w:rPr>
              <w:t>s</w:t>
            </w:r>
            <w:r w:rsidRPr="00537112">
              <w:rPr>
                <w:rFonts w:cs="Verdana"/>
                <w:spacing w:val="-6"/>
                <w:position w:val="-1"/>
                <w:sz w:val="20"/>
                <w:szCs w:val="20"/>
              </w:rPr>
              <w:t xml:space="preserve"> </w:t>
            </w:r>
            <w:r w:rsidRPr="00537112">
              <w:rPr>
                <w:rFonts w:cs="Verdana"/>
                <w:position w:val="-1"/>
                <w:sz w:val="20"/>
                <w:szCs w:val="20"/>
              </w:rPr>
              <w:t>Ta</w:t>
            </w:r>
            <w:r w:rsidRPr="00537112">
              <w:rPr>
                <w:rFonts w:cs="Verdana"/>
                <w:spacing w:val="1"/>
                <w:position w:val="-1"/>
                <w:sz w:val="20"/>
                <w:szCs w:val="20"/>
              </w:rPr>
              <w:t>hu</w:t>
            </w:r>
            <w:r w:rsidRPr="00537112">
              <w:rPr>
                <w:rFonts w:cs="Verdana"/>
                <w:spacing w:val="3"/>
                <w:position w:val="-1"/>
                <w:sz w:val="20"/>
                <w:szCs w:val="20"/>
              </w:rPr>
              <w:t>i</w:t>
            </w:r>
            <w:r w:rsidRPr="00537112">
              <w:rPr>
                <w:rFonts w:cs="Verdana"/>
                <w:spacing w:val="-1"/>
                <w:position w:val="-1"/>
                <w:sz w:val="20"/>
                <w:szCs w:val="20"/>
              </w:rPr>
              <w:t>c</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co</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46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position w:val="-1"/>
                <w:sz w:val="20"/>
                <w:szCs w:val="20"/>
              </w:rPr>
              <w:t>a</w:t>
            </w:r>
            <w:r w:rsidRPr="00537112">
              <w:rPr>
                <w:rFonts w:cs="Verdana"/>
                <w:spacing w:val="1"/>
                <w:position w:val="-1"/>
                <w:sz w:val="20"/>
                <w:szCs w:val="20"/>
              </w:rPr>
              <w:t>u</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í</w:t>
            </w:r>
            <w:r w:rsidRPr="00537112">
              <w:rPr>
                <w:rFonts w:cs="Verdana"/>
                <w:position w:val="-1"/>
                <w:sz w:val="20"/>
                <w:szCs w:val="20"/>
              </w:rPr>
              <w:t>n</w:t>
            </w:r>
            <w:r w:rsidRPr="00537112">
              <w:rPr>
                <w:rFonts w:cs="Verdana"/>
                <w:spacing w:val="-7"/>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Ta</w:t>
            </w:r>
            <w:r w:rsidRPr="00537112">
              <w:rPr>
                <w:rFonts w:cs="Verdana"/>
                <w:spacing w:val="1"/>
                <w:position w:val="-1"/>
                <w:sz w:val="20"/>
                <w:szCs w:val="20"/>
              </w:rPr>
              <w:t>hu</w:t>
            </w:r>
            <w:r w:rsidRPr="00537112">
              <w:rPr>
                <w:rFonts w:cs="Verdana"/>
                <w:spacing w:val="3"/>
                <w:position w:val="-1"/>
                <w:sz w:val="20"/>
                <w:szCs w:val="20"/>
              </w:rPr>
              <w:t>í</w:t>
            </w:r>
            <w:r w:rsidRPr="00537112">
              <w:rPr>
                <w:rFonts w:cs="Verdana"/>
                <w:spacing w:val="-1"/>
                <w:position w:val="-1"/>
                <w:sz w:val="20"/>
                <w:szCs w:val="20"/>
              </w:rPr>
              <w:t>c</w:t>
            </w:r>
            <w:r w:rsidRPr="00537112">
              <w:rPr>
                <w:rFonts w:cs="Verdana"/>
                <w:position w:val="-1"/>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4"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83</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4"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os</w:t>
            </w:r>
            <w:r w:rsidRPr="00537112">
              <w:rPr>
                <w:rFonts w:cs="Verdana"/>
                <w:sz w:val="20"/>
                <w:szCs w:val="20"/>
              </w:rPr>
              <w:t>é</w:t>
            </w:r>
            <w:r w:rsidRPr="00537112">
              <w:rPr>
                <w:rFonts w:cs="Verdana"/>
                <w:spacing w:val="-6"/>
                <w:sz w:val="20"/>
                <w:szCs w:val="20"/>
              </w:rPr>
              <w:t xml:space="preserve"> </w:t>
            </w:r>
            <w:r w:rsidRPr="00537112">
              <w:rPr>
                <w:rFonts w:cs="Verdana"/>
                <w:spacing w:val="-1"/>
                <w:sz w:val="20"/>
                <w:szCs w:val="20"/>
              </w:rPr>
              <w:t>L</w:t>
            </w:r>
            <w:r w:rsidRPr="00537112">
              <w:rPr>
                <w:rFonts w:cs="Verdana"/>
                <w:spacing w:val="3"/>
                <w:sz w:val="20"/>
                <w:szCs w:val="20"/>
              </w:rPr>
              <w:t>i</w:t>
            </w:r>
            <w:r w:rsidRPr="00537112">
              <w:rPr>
                <w:rFonts w:cs="Verdana"/>
                <w:spacing w:val="1"/>
                <w:sz w:val="20"/>
                <w:szCs w:val="20"/>
              </w:rPr>
              <w:t>n</w:t>
            </w:r>
            <w:r w:rsidRPr="00537112">
              <w:rPr>
                <w:rFonts w:cs="Verdana"/>
                <w:sz w:val="20"/>
                <w:szCs w:val="20"/>
              </w:rPr>
              <w:t>o</w:t>
            </w:r>
            <w:r w:rsidRPr="00537112">
              <w:rPr>
                <w:rFonts w:cs="Verdana"/>
                <w:spacing w:val="-6"/>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pacing w:val="1"/>
                <w:sz w:val="20"/>
                <w:szCs w:val="20"/>
              </w:rPr>
              <w:t>qu</w:t>
            </w:r>
            <w:r w:rsidRPr="00537112">
              <w:rPr>
                <w:rFonts w:cs="Verdana"/>
                <w:spacing w:val="-1"/>
                <w:sz w:val="20"/>
                <w:szCs w:val="20"/>
              </w:rPr>
              <w:t>e</w:t>
            </w:r>
            <w:r w:rsidRPr="00537112">
              <w:rPr>
                <w:rFonts w:cs="Verdana"/>
                <w:spacing w:val="1"/>
                <w:sz w:val="20"/>
                <w:szCs w:val="20"/>
              </w:rPr>
              <w:t>j</w:t>
            </w:r>
            <w:r w:rsidRPr="00537112">
              <w:rPr>
                <w:rFonts w:cs="Verdana"/>
                <w:sz w:val="20"/>
                <w:szCs w:val="20"/>
              </w:rPr>
              <w:t>ay</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47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48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spacing w:val="3"/>
                <w:position w:val="-1"/>
                <w:sz w:val="20"/>
                <w:szCs w:val="20"/>
              </w:rPr>
              <w:t>li</w:t>
            </w:r>
            <w:r w:rsidRPr="00537112">
              <w:rPr>
                <w:rFonts w:cs="Verdana"/>
                <w:position w:val="-1"/>
                <w:sz w:val="20"/>
                <w:szCs w:val="20"/>
              </w:rPr>
              <w:t>án</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qu</w:t>
            </w:r>
            <w:r w:rsidRPr="00537112">
              <w:rPr>
                <w:rFonts w:cs="Verdana"/>
                <w:spacing w:val="-1"/>
                <w:position w:val="-1"/>
                <w:sz w:val="20"/>
                <w:szCs w:val="20"/>
              </w:rPr>
              <w:t>e</w:t>
            </w:r>
            <w:r w:rsidRPr="00537112">
              <w:rPr>
                <w:rFonts w:cs="Verdana"/>
                <w:spacing w:val="1"/>
                <w:position w:val="-1"/>
                <w:sz w:val="20"/>
                <w:szCs w:val="20"/>
              </w:rPr>
              <w:t>j</w:t>
            </w:r>
            <w:r w:rsidRPr="00537112">
              <w:rPr>
                <w:rFonts w:cs="Verdana"/>
                <w:position w:val="-1"/>
                <w:sz w:val="20"/>
                <w:szCs w:val="20"/>
              </w:rPr>
              <w:t>ay</w:t>
            </w:r>
            <w:r w:rsidRPr="00537112">
              <w:rPr>
                <w:rFonts w:cs="Verdana"/>
                <w:spacing w:val="-10"/>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49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nd</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qu</w:t>
            </w:r>
            <w:r w:rsidRPr="00537112">
              <w:rPr>
                <w:rFonts w:cs="Verdana"/>
                <w:spacing w:val="-1"/>
                <w:position w:val="-1"/>
                <w:sz w:val="20"/>
                <w:szCs w:val="20"/>
              </w:rPr>
              <w:t>e</w:t>
            </w:r>
            <w:r w:rsidRPr="00537112">
              <w:rPr>
                <w:rFonts w:cs="Verdana"/>
                <w:spacing w:val="1"/>
                <w:position w:val="-1"/>
                <w:sz w:val="20"/>
                <w:szCs w:val="20"/>
              </w:rPr>
              <w:t>j</w:t>
            </w:r>
            <w:r w:rsidRPr="00537112">
              <w:rPr>
                <w:rFonts w:cs="Verdana"/>
                <w:position w:val="-1"/>
                <w:sz w:val="20"/>
                <w:szCs w:val="20"/>
              </w:rPr>
              <w:t>ay</w:t>
            </w:r>
            <w:r w:rsidRPr="00537112">
              <w:rPr>
                <w:rFonts w:cs="Verdana"/>
                <w:spacing w:val="-10"/>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50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h</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m</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qu</w:t>
            </w:r>
            <w:r w:rsidRPr="00537112">
              <w:rPr>
                <w:rFonts w:cs="Verdana"/>
                <w:spacing w:val="-1"/>
                <w:position w:val="-1"/>
                <w:sz w:val="20"/>
                <w:szCs w:val="20"/>
              </w:rPr>
              <w:t>e</w:t>
            </w:r>
            <w:r w:rsidRPr="00537112">
              <w:rPr>
                <w:rFonts w:cs="Verdana"/>
                <w:spacing w:val="1"/>
                <w:position w:val="-1"/>
                <w:sz w:val="20"/>
                <w:szCs w:val="20"/>
              </w:rPr>
              <w:t>j</w:t>
            </w:r>
            <w:r w:rsidRPr="00537112">
              <w:rPr>
                <w:rFonts w:cs="Verdana"/>
                <w:position w:val="-1"/>
                <w:sz w:val="20"/>
                <w:szCs w:val="20"/>
              </w:rPr>
              <w:t>ay</w:t>
            </w:r>
            <w:r w:rsidRPr="00537112">
              <w:rPr>
                <w:rFonts w:cs="Verdana"/>
                <w:spacing w:val="-10"/>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51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Am</w:t>
            </w:r>
            <w:r w:rsidRPr="00537112">
              <w:rPr>
                <w:rFonts w:cs="Verdana"/>
                <w:spacing w:val="3"/>
                <w:position w:val="-1"/>
                <w:sz w:val="20"/>
                <w:szCs w:val="20"/>
              </w:rPr>
              <w:t>il</w:t>
            </w:r>
            <w:r w:rsidRPr="00537112">
              <w:rPr>
                <w:rFonts w:cs="Verdana"/>
                <w:spacing w:val="-1"/>
                <w:position w:val="-1"/>
                <w:sz w:val="20"/>
                <w:szCs w:val="20"/>
              </w:rPr>
              <w:t>c</w:t>
            </w:r>
            <w:r w:rsidRPr="00537112">
              <w:rPr>
                <w:rFonts w:cs="Verdana"/>
                <w:position w:val="-1"/>
                <w:sz w:val="20"/>
                <w:szCs w:val="20"/>
              </w:rPr>
              <w:t>ar</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qu</w:t>
            </w:r>
            <w:r w:rsidRPr="00537112">
              <w:rPr>
                <w:rFonts w:cs="Verdana"/>
                <w:spacing w:val="-1"/>
                <w:position w:val="-1"/>
                <w:sz w:val="20"/>
                <w:szCs w:val="20"/>
              </w:rPr>
              <w:t>e</w:t>
            </w:r>
            <w:r w:rsidRPr="00537112">
              <w:rPr>
                <w:rFonts w:cs="Verdana"/>
                <w:spacing w:val="1"/>
                <w:position w:val="-1"/>
                <w:sz w:val="20"/>
                <w:szCs w:val="20"/>
              </w:rPr>
              <w:t>j</w:t>
            </w:r>
            <w:r w:rsidRPr="00537112">
              <w:rPr>
                <w:rFonts w:cs="Verdana"/>
                <w:position w:val="-1"/>
                <w:sz w:val="20"/>
                <w:szCs w:val="20"/>
              </w:rPr>
              <w:t>ay</w:t>
            </w:r>
            <w:r w:rsidRPr="00537112">
              <w:rPr>
                <w:rFonts w:cs="Verdana"/>
                <w:spacing w:val="-10"/>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84</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os</w:t>
            </w:r>
            <w:r w:rsidRPr="00537112">
              <w:rPr>
                <w:rFonts w:cs="Verdana"/>
                <w:sz w:val="20"/>
                <w:szCs w:val="20"/>
              </w:rPr>
              <w:t>é</w:t>
            </w:r>
            <w:r w:rsidRPr="00537112">
              <w:rPr>
                <w:rFonts w:cs="Verdana"/>
                <w:spacing w:val="-6"/>
                <w:sz w:val="20"/>
                <w:szCs w:val="20"/>
              </w:rPr>
              <w:t xml:space="preserve"> </w:t>
            </w:r>
            <w:r w:rsidRPr="00537112">
              <w:rPr>
                <w:rFonts w:cs="Verdana"/>
                <w:spacing w:val="-1"/>
                <w:sz w:val="20"/>
                <w:szCs w:val="20"/>
              </w:rPr>
              <w:t>Leó</w:t>
            </w:r>
            <w:r w:rsidRPr="00537112">
              <w:rPr>
                <w:rFonts w:cs="Verdana"/>
                <w:sz w:val="20"/>
                <w:szCs w:val="20"/>
              </w:rPr>
              <w:t>n</w:t>
            </w:r>
            <w:r w:rsidRPr="00537112">
              <w:rPr>
                <w:rFonts w:cs="Verdana"/>
                <w:spacing w:val="-5"/>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52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j</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position w:val="-1"/>
                <w:sz w:val="20"/>
                <w:szCs w:val="20"/>
              </w:rPr>
              <w:t>Yx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co</w:t>
            </w:r>
            <w:r w:rsidRPr="00537112">
              <w:rPr>
                <w:rFonts w:cs="Verdana"/>
                <w:position w:val="-1"/>
                <w:sz w:val="20"/>
                <w:szCs w:val="20"/>
              </w:rPr>
              <w:t>c</w:t>
            </w:r>
            <w:r w:rsidRPr="00537112">
              <w:rPr>
                <w:rFonts w:cs="Verdana"/>
                <w:spacing w:val="-10"/>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53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Leo</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Lo</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54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có</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55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có</w:t>
            </w:r>
            <w:r w:rsidRPr="00537112">
              <w:rPr>
                <w:rFonts w:cs="Verdana"/>
                <w:position w:val="-1"/>
                <w:sz w:val="20"/>
                <w:szCs w:val="20"/>
              </w:rPr>
              <w:t>c</w:t>
            </w:r>
          </w:p>
        </w:tc>
      </w:tr>
      <w:tr w:rsidR="00537112" w:rsidRPr="00537112" w:rsidTr="00630EEC">
        <w:trPr>
          <w:trHeight w:hRule="exact" w:val="247"/>
        </w:trPr>
        <w:tc>
          <w:tcPr>
            <w:tcW w:w="977" w:type="dxa"/>
            <w:vMerge w:val="restart"/>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85</w:t>
            </w:r>
          </w:p>
        </w:tc>
        <w:tc>
          <w:tcPr>
            <w:tcW w:w="3958" w:type="dxa"/>
            <w:vMerge w:val="restart"/>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4"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F</w:t>
            </w:r>
            <w:r w:rsidRPr="00537112">
              <w:rPr>
                <w:rFonts w:cs="Verdana"/>
                <w:spacing w:val="3"/>
                <w:sz w:val="20"/>
                <w:szCs w:val="20"/>
              </w:rPr>
              <w:t>i</w:t>
            </w:r>
            <w:r w:rsidRPr="00537112">
              <w:rPr>
                <w:rFonts w:cs="Verdana"/>
                <w:spacing w:val="1"/>
                <w:sz w:val="20"/>
                <w:szCs w:val="20"/>
              </w:rPr>
              <w:t>d</w:t>
            </w:r>
            <w:r w:rsidRPr="00537112">
              <w:rPr>
                <w:rFonts w:cs="Verdana"/>
                <w:spacing w:val="-1"/>
                <w:sz w:val="20"/>
                <w:szCs w:val="20"/>
              </w:rPr>
              <w:t>e</w:t>
            </w:r>
            <w:r w:rsidRPr="00537112">
              <w:rPr>
                <w:rFonts w:cs="Verdana"/>
                <w:sz w:val="20"/>
                <w:szCs w:val="20"/>
              </w:rPr>
              <w:t>l</w:t>
            </w:r>
            <w:r w:rsidRPr="00537112">
              <w:rPr>
                <w:rFonts w:cs="Verdana"/>
                <w:spacing w:val="-3"/>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56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u</w:t>
            </w:r>
            <w:r w:rsidRPr="00537112">
              <w:rPr>
                <w:rFonts w:cs="Verdana"/>
                <w:spacing w:val="-1"/>
                <w:position w:val="-1"/>
                <w:sz w:val="20"/>
                <w:szCs w:val="20"/>
              </w:rPr>
              <w:t>s</w:t>
            </w:r>
            <w:r w:rsidRPr="00537112">
              <w:rPr>
                <w:rFonts w:cs="Verdana"/>
                <w:spacing w:val="1"/>
                <w:position w:val="-1"/>
                <w:sz w:val="20"/>
                <w:szCs w:val="20"/>
              </w:rPr>
              <w:t>t</w:t>
            </w:r>
            <w:r w:rsidRPr="00537112">
              <w:rPr>
                <w:rFonts w:cs="Verdana"/>
                <w:position w:val="-1"/>
                <w:sz w:val="20"/>
                <w:szCs w:val="20"/>
              </w:rPr>
              <w:t>a</w:t>
            </w:r>
            <w:r w:rsidRPr="00537112">
              <w:rPr>
                <w:rFonts w:cs="Verdana"/>
                <w:spacing w:val="1"/>
                <w:position w:val="-1"/>
                <w:sz w:val="20"/>
                <w:szCs w:val="20"/>
              </w:rPr>
              <w:t>qu</w:t>
            </w:r>
            <w:r w:rsidRPr="00537112">
              <w:rPr>
                <w:rFonts w:cs="Verdana"/>
                <w:spacing w:val="3"/>
                <w:position w:val="-1"/>
                <w:sz w:val="20"/>
                <w:szCs w:val="20"/>
              </w:rPr>
              <w:t>i</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position w:val="-1"/>
                <w:sz w:val="20"/>
                <w:szCs w:val="20"/>
              </w:rPr>
              <w:t>C</w:t>
            </w:r>
            <w:r w:rsidRPr="00537112">
              <w:rPr>
                <w:rFonts w:cs="Verdana"/>
                <w:spacing w:val="1"/>
                <w:position w:val="-1"/>
                <w:sz w:val="20"/>
                <w:szCs w:val="20"/>
              </w:rPr>
              <w:t>uqu</w:t>
            </w:r>
            <w:r w:rsidRPr="00537112">
              <w:rPr>
                <w:rFonts w:cs="Verdana"/>
                <w:spacing w:val="-1"/>
                <w:position w:val="-1"/>
                <w:sz w:val="20"/>
                <w:szCs w:val="20"/>
              </w:rPr>
              <w:t>e</w:t>
            </w:r>
            <w:r w:rsidRPr="00537112">
              <w:rPr>
                <w:rFonts w:cs="Verdana"/>
                <w:position w:val="-1"/>
                <w:sz w:val="20"/>
                <w:szCs w:val="20"/>
              </w:rPr>
              <w:t>j</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57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w:t>
            </w:r>
            <w:r w:rsidRPr="00537112">
              <w:rPr>
                <w:rFonts w:cs="Verdana"/>
                <w:spacing w:val="1"/>
                <w:position w:val="-1"/>
                <w:sz w:val="20"/>
                <w:szCs w:val="20"/>
              </w:rPr>
              <w:t>u</w:t>
            </w:r>
            <w:r w:rsidRPr="00537112">
              <w:rPr>
                <w:rFonts w:cs="Verdana"/>
                <w:spacing w:val="3"/>
                <w:position w:val="-1"/>
                <w:sz w:val="20"/>
                <w:szCs w:val="20"/>
              </w:rPr>
              <w:t>ill</w:t>
            </w:r>
            <w:r w:rsidRPr="00537112">
              <w:rPr>
                <w:rFonts w:cs="Verdana"/>
                <w:spacing w:val="-1"/>
                <w:position w:val="-1"/>
                <w:sz w:val="20"/>
                <w:szCs w:val="20"/>
              </w:rPr>
              <w:t>er</w:t>
            </w:r>
            <w:r w:rsidRPr="00537112">
              <w:rPr>
                <w:rFonts w:cs="Verdana"/>
                <w:spacing w:val="1"/>
                <w:position w:val="-1"/>
                <w:sz w:val="20"/>
                <w:szCs w:val="20"/>
              </w:rPr>
              <w:t>m</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uqu</w:t>
            </w:r>
            <w:r w:rsidRPr="00537112">
              <w:rPr>
                <w:rFonts w:cs="Verdana"/>
                <w:spacing w:val="-1"/>
                <w:position w:val="-1"/>
                <w:sz w:val="20"/>
                <w:szCs w:val="20"/>
              </w:rPr>
              <w:t>e</w:t>
            </w:r>
            <w:r w:rsidRPr="00537112">
              <w:rPr>
                <w:rFonts w:cs="Verdana"/>
                <w:position w:val="-1"/>
                <w:sz w:val="20"/>
                <w:szCs w:val="20"/>
              </w:rPr>
              <w:t>j</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58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uqu</w:t>
            </w:r>
            <w:r w:rsidRPr="00537112">
              <w:rPr>
                <w:rFonts w:cs="Verdana"/>
                <w:spacing w:val="-1"/>
                <w:position w:val="-1"/>
                <w:sz w:val="20"/>
                <w:szCs w:val="20"/>
              </w:rPr>
              <w:t>e</w:t>
            </w:r>
            <w:r w:rsidRPr="00537112">
              <w:rPr>
                <w:rFonts w:cs="Verdana"/>
                <w:position w:val="-1"/>
                <w:sz w:val="20"/>
                <w:szCs w:val="20"/>
              </w:rPr>
              <w:t>j</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59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w:t>
            </w:r>
            <w:r w:rsidRPr="00537112">
              <w:rPr>
                <w:rFonts w:cs="Verdana"/>
                <w:spacing w:val="1"/>
                <w:position w:val="-1"/>
                <w:sz w:val="20"/>
                <w:szCs w:val="20"/>
              </w:rPr>
              <w:t>t</w:t>
            </w:r>
            <w:r w:rsidRPr="00537112">
              <w:rPr>
                <w:rFonts w:cs="Verdana"/>
                <w:spacing w:val="3"/>
                <w:position w:val="-1"/>
                <w:sz w:val="20"/>
                <w:szCs w:val="20"/>
              </w:rPr>
              <w:t>ili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uqu</w:t>
            </w:r>
            <w:r w:rsidRPr="00537112">
              <w:rPr>
                <w:rFonts w:cs="Verdana"/>
                <w:spacing w:val="-1"/>
                <w:position w:val="-1"/>
                <w:sz w:val="20"/>
                <w:szCs w:val="20"/>
              </w:rPr>
              <w:t>e</w:t>
            </w:r>
            <w:r w:rsidRPr="00537112">
              <w:rPr>
                <w:rFonts w:cs="Verdana"/>
                <w:position w:val="-1"/>
                <w:sz w:val="20"/>
                <w:szCs w:val="20"/>
              </w:rPr>
              <w:t>j</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pgSz w:w="12260" w:h="15840"/>
          <w:pgMar w:top="760" w:right="900" w:bottom="280" w:left="900" w:header="493" w:footer="0" w:gutter="0"/>
          <w:cols w:space="720"/>
          <w:noEndnote/>
        </w:sectPr>
      </w:pPr>
    </w:p>
    <w:p w:rsidR="00537112" w:rsidRPr="00537112" w:rsidRDefault="00537112" w:rsidP="00537112">
      <w:pPr>
        <w:autoSpaceDE w:val="0"/>
        <w:autoSpaceDN w:val="0"/>
        <w:spacing w:before="16" w:line="280" w:lineRule="exact"/>
        <w:jc w:val="left"/>
        <w:textAlignment w:val="auto"/>
        <w:rPr>
          <w:rFonts w:ascii="Times New Roman" w:hAnsi="Times New Roman"/>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772"/>
        <w:gridCol w:w="4496"/>
      </w:tblGrid>
      <w:tr w:rsidR="00537112" w:rsidRPr="00537112" w:rsidTr="00630EEC">
        <w:trPr>
          <w:trHeight w:hRule="exact" w:val="247"/>
        </w:trPr>
        <w:tc>
          <w:tcPr>
            <w:tcW w:w="977" w:type="dxa"/>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40" w:lineRule="auto"/>
              <w:jc w:val="left"/>
              <w:textAlignment w:val="auto"/>
              <w:rPr>
                <w:rFonts w:ascii="Times New Roman" w:hAnsi="Times New Roman"/>
              </w:rPr>
            </w:pPr>
          </w:p>
        </w:tc>
        <w:tc>
          <w:tcPr>
            <w:tcW w:w="3958" w:type="dxa"/>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auto"/>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60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Leoc</w:t>
            </w:r>
            <w:r w:rsidRPr="00537112">
              <w:rPr>
                <w:rFonts w:cs="Verdana"/>
                <w:position w:val="-1"/>
                <w:sz w:val="20"/>
                <w:szCs w:val="20"/>
              </w:rPr>
              <w:t>a</w:t>
            </w:r>
            <w:r w:rsidRPr="00537112">
              <w:rPr>
                <w:rFonts w:cs="Verdana"/>
                <w:spacing w:val="1"/>
                <w:position w:val="-1"/>
                <w:sz w:val="20"/>
                <w:szCs w:val="20"/>
              </w:rPr>
              <w:t>d</w:t>
            </w:r>
            <w:r w:rsidRPr="00537112">
              <w:rPr>
                <w:rFonts w:cs="Verdana"/>
                <w:spacing w:val="3"/>
                <w:position w:val="-1"/>
                <w:sz w:val="20"/>
                <w:szCs w:val="20"/>
              </w:rPr>
              <w:t>i</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uqu</w:t>
            </w:r>
            <w:r w:rsidRPr="00537112">
              <w:rPr>
                <w:rFonts w:cs="Verdana"/>
                <w:spacing w:val="-1"/>
                <w:position w:val="-1"/>
                <w:sz w:val="20"/>
                <w:szCs w:val="20"/>
              </w:rPr>
              <w:t>e</w:t>
            </w:r>
            <w:r w:rsidRPr="00537112">
              <w:rPr>
                <w:rFonts w:cs="Verdana"/>
                <w:position w:val="-1"/>
                <w:sz w:val="20"/>
                <w:szCs w:val="20"/>
              </w:rPr>
              <w:t>j</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86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cs="Verdana"/>
                <w:sz w:val="20"/>
                <w:szCs w:val="20"/>
              </w:rPr>
            </w:pPr>
            <w:r w:rsidRPr="00537112">
              <w:rPr>
                <w:rFonts w:cs="Verdana"/>
                <w:sz w:val="20"/>
                <w:szCs w:val="20"/>
              </w:rPr>
              <w:t>Ma</w:t>
            </w:r>
            <w:r w:rsidRPr="00537112">
              <w:rPr>
                <w:rFonts w:cs="Verdana"/>
                <w:spacing w:val="-1"/>
                <w:sz w:val="20"/>
                <w:szCs w:val="20"/>
              </w:rPr>
              <w:t>rce</w:t>
            </w:r>
            <w:r w:rsidRPr="00537112">
              <w:rPr>
                <w:rFonts w:cs="Verdana"/>
                <w:spacing w:val="3"/>
                <w:sz w:val="20"/>
                <w:szCs w:val="20"/>
              </w:rPr>
              <w:t>li</w:t>
            </w:r>
            <w:r w:rsidRPr="00537112">
              <w:rPr>
                <w:rFonts w:cs="Verdana"/>
                <w:spacing w:val="1"/>
                <w:sz w:val="20"/>
                <w:szCs w:val="20"/>
              </w:rPr>
              <w:t>n</w:t>
            </w:r>
            <w:r w:rsidRPr="00537112">
              <w:rPr>
                <w:rFonts w:cs="Verdana"/>
                <w:sz w:val="20"/>
                <w:szCs w:val="20"/>
              </w:rPr>
              <w:t>o</w:t>
            </w:r>
            <w:r w:rsidRPr="00537112">
              <w:rPr>
                <w:rFonts w:cs="Verdana"/>
                <w:spacing w:val="-12"/>
                <w:sz w:val="20"/>
                <w:szCs w:val="20"/>
              </w:rPr>
              <w:t xml:space="preserve"> </w:t>
            </w:r>
            <w:r w:rsidRPr="00537112">
              <w:rPr>
                <w:rFonts w:cs="Verdana"/>
                <w:spacing w:val="-1"/>
                <w:sz w:val="20"/>
                <w:szCs w:val="20"/>
              </w:rPr>
              <w:t>E</w:t>
            </w:r>
            <w:r w:rsidRPr="00537112">
              <w:rPr>
                <w:rFonts w:cs="Verdana"/>
                <w:spacing w:val="1"/>
                <w:sz w:val="20"/>
                <w:szCs w:val="20"/>
              </w:rPr>
              <w:t>ug</w:t>
            </w:r>
            <w:r w:rsidRPr="00537112">
              <w:rPr>
                <w:rFonts w:cs="Verdana"/>
                <w:spacing w:val="-1"/>
                <w:sz w:val="20"/>
                <w:szCs w:val="20"/>
              </w:rPr>
              <w:t>e</w:t>
            </w:r>
            <w:r w:rsidRPr="00537112">
              <w:rPr>
                <w:rFonts w:cs="Verdana"/>
                <w:spacing w:val="1"/>
                <w:sz w:val="20"/>
                <w:szCs w:val="20"/>
              </w:rPr>
              <w:t>n</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s</w:t>
            </w:r>
            <w:r w:rsidRPr="00537112">
              <w:rPr>
                <w:rFonts w:cs="Verdana"/>
                <w:spacing w:val="-9"/>
                <w:sz w:val="20"/>
                <w:szCs w:val="20"/>
              </w:rPr>
              <w:t xml:space="preserve"> </w:t>
            </w:r>
            <w:r w:rsidRPr="00537112">
              <w:rPr>
                <w:rFonts w:cs="Verdana"/>
                <w:spacing w:val="-1"/>
                <w:sz w:val="20"/>
                <w:szCs w:val="20"/>
              </w:rPr>
              <w:t>Her</w:t>
            </w:r>
            <w:r w:rsidRPr="00537112">
              <w:rPr>
                <w:rFonts w:cs="Verdana"/>
                <w:spacing w:val="1"/>
                <w:sz w:val="20"/>
                <w:szCs w:val="20"/>
              </w:rPr>
              <w:t>n</w:t>
            </w:r>
            <w:r w:rsidRPr="00537112">
              <w:rPr>
                <w:rFonts w:cs="Verdana"/>
                <w:sz w:val="20"/>
                <w:szCs w:val="20"/>
              </w:rPr>
              <w:t>á</w:t>
            </w:r>
            <w:r w:rsidRPr="00537112">
              <w:rPr>
                <w:rFonts w:cs="Verdana"/>
                <w:spacing w:val="1"/>
                <w:sz w:val="20"/>
                <w:szCs w:val="20"/>
              </w:rPr>
              <w:t>nd</w:t>
            </w:r>
            <w:r w:rsidRPr="00537112">
              <w:rPr>
                <w:rFonts w:cs="Verdana"/>
                <w:spacing w:val="-1"/>
                <w:sz w:val="20"/>
                <w:szCs w:val="20"/>
              </w:rPr>
              <w:t>e</w:t>
            </w:r>
            <w:r w:rsidRPr="00537112">
              <w:rPr>
                <w:rFonts w:cs="Verdana"/>
                <w:sz w:val="20"/>
                <w:szCs w:val="20"/>
              </w:rPr>
              <w:t>z</w:t>
            </w:r>
          </w:p>
          <w:p w:rsidR="00537112" w:rsidRPr="00537112" w:rsidRDefault="00537112" w:rsidP="00537112">
            <w:pPr>
              <w:autoSpaceDE w:val="0"/>
              <w:autoSpaceDN w:val="0"/>
              <w:spacing w:before="16" w:line="240" w:lineRule="auto"/>
              <w:ind w:right="-20"/>
              <w:jc w:val="left"/>
              <w:textAlignment w:val="auto"/>
              <w:rPr>
                <w:rFonts w:ascii="Times New Roman" w:hAnsi="Times New Roman"/>
              </w:rPr>
            </w:pPr>
            <w:r w:rsidRPr="00537112">
              <w:rPr>
                <w:rFonts w:cs="Verdana"/>
                <w:spacing w:val="1"/>
                <w:sz w:val="20"/>
                <w:szCs w:val="20"/>
              </w:rPr>
              <w:t>(</w:t>
            </w:r>
            <w:r w:rsidRPr="00537112">
              <w:rPr>
                <w:rFonts w:cs="Verdana"/>
                <w:sz w:val="20"/>
                <w:szCs w:val="20"/>
              </w:rPr>
              <w:t>o</w:t>
            </w:r>
            <w:r w:rsidRPr="00537112">
              <w:rPr>
                <w:rFonts w:cs="Verdana"/>
                <w:spacing w:val="-4"/>
                <w:sz w:val="20"/>
                <w:szCs w:val="20"/>
              </w:rPr>
              <w:t xml:space="preserve"> </w:t>
            </w:r>
            <w:r w:rsidRPr="00537112">
              <w:rPr>
                <w:rFonts w:cs="Verdana"/>
                <w:sz w:val="20"/>
                <w:szCs w:val="20"/>
              </w:rPr>
              <w:t>Ma</w:t>
            </w:r>
            <w:r w:rsidRPr="00537112">
              <w:rPr>
                <w:rFonts w:cs="Verdana"/>
                <w:spacing w:val="-1"/>
                <w:sz w:val="20"/>
                <w:szCs w:val="20"/>
              </w:rPr>
              <w:t>rce</w:t>
            </w:r>
            <w:r w:rsidRPr="00537112">
              <w:rPr>
                <w:rFonts w:cs="Verdana"/>
                <w:spacing w:val="3"/>
                <w:sz w:val="20"/>
                <w:szCs w:val="20"/>
              </w:rPr>
              <w:t>li</w:t>
            </w:r>
            <w:r w:rsidRPr="00537112">
              <w:rPr>
                <w:rFonts w:cs="Verdana"/>
                <w:spacing w:val="1"/>
                <w:sz w:val="20"/>
                <w:szCs w:val="20"/>
              </w:rPr>
              <w:t>n</w:t>
            </w:r>
            <w:r w:rsidRPr="00537112">
              <w:rPr>
                <w:rFonts w:cs="Verdana"/>
                <w:sz w:val="20"/>
                <w:szCs w:val="20"/>
              </w:rPr>
              <w:t>o</w:t>
            </w:r>
            <w:r w:rsidRPr="00537112">
              <w:rPr>
                <w:rFonts w:cs="Verdana"/>
                <w:spacing w:val="-12"/>
                <w:sz w:val="20"/>
                <w:szCs w:val="20"/>
              </w:rPr>
              <w:t xml:space="preserve"> </w:t>
            </w:r>
            <w:r w:rsidRPr="00537112">
              <w:rPr>
                <w:rFonts w:cs="Verdana"/>
                <w:spacing w:val="-1"/>
                <w:sz w:val="20"/>
                <w:szCs w:val="20"/>
              </w:rPr>
              <w:t>E</w:t>
            </w:r>
            <w:r w:rsidRPr="00537112">
              <w:rPr>
                <w:rFonts w:cs="Verdana"/>
                <w:spacing w:val="1"/>
                <w:sz w:val="20"/>
                <w:szCs w:val="20"/>
              </w:rPr>
              <w:t>ug</w:t>
            </w:r>
            <w:r w:rsidRPr="00537112">
              <w:rPr>
                <w:rFonts w:cs="Verdana"/>
                <w:spacing w:val="-1"/>
                <w:sz w:val="20"/>
                <w:szCs w:val="20"/>
              </w:rPr>
              <w:t>e</w:t>
            </w:r>
            <w:r w:rsidRPr="00537112">
              <w:rPr>
                <w:rFonts w:cs="Verdana"/>
                <w:spacing w:val="1"/>
                <w:sz w:val="20"/>
                <w:szCs w:val="20"/>
              </w:rPr>
              <w:t>n</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a</w:t>
            </w:r>
            <w:r w:rsidRPr="00537112">
              <w:rPr>
                <w:rFonts w:cs="Verdana"/>
                <w:spacing w:val="3"/>
                <w:sz w:val="20"/>
                <w:szCs w:val="20"/>
              </w:rPr>
              <w:t>l</w:t>
            </w:r>
            <w:r w:rsidRPr="00537112">
              <w:rPr>
                <w:rFonts w:cs="Verdana"/>
                <w:spacing w:val="-1"/>
                <w:sz w:val="20"/>
                <w:szCs w:val="20"/>
              </w:rPr>
              <w:t>es</w:t>
            </w:r>
            <w:r w:rsidRPr="00537112">
              <w:rPr>
                <w:rFonts w:cs="Verdana"/>
                <w:sz w:val="20"/>
                <w:szCs w:val="20"/>
              </w:rPr>
              <w:t>)</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61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Ang</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áz</w:t>
            </w:r>
          </w:p>
        </w:tc>
      </w:tr>
      <w:tr w:rsidR="00537112" w:rsidRPr="00537112" w:rsidTr="00630EEC">
        <w:trPr>
          <w:trHeight w:hRule="exact" w:val="276"/>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4" w:line="240" w:lineRule="auto"/>
              <w:ind w:right="-20"/>
              <w:jc w:val="left"/>
              <w:textAlignment w:val="auto"/>
              <w:rPr>
                <w:rFonts w:ascii="Times New Roman" w:hAnsi="Times New Roman"/>
              </w:rPr>
            </w:pPr>
            <w:r w:rsidRPr="00537112">
              <w:rPr>
                <w:rFonts w:cs="Verdana"/>
                <w:sz w:val="20"/>
                <w:szCs w:val="20"/>
              </w:rPr>
              <w:t>4</w:t>
            </w:r>
            <w:r w:rsidRPr="00537112">
              <w:rPr>
                <w:rFonts w:cs="Verdana"/>
                <w:spacing w:val="1"/>
                <w:sz w:val="20"/>
                <w:szCs w:val="20"/>
              </w:rPr>
              <w:t>62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4" w:line="240" w:lineRule="auto"/>
              <w:ind w:right="-20"/>
              <w:jc w:val="left"/>
              <w:textAlignment w:val="auto"/>
              <w:rPr>
                <w:rFonts w:ascii="Times New Roman" w:hAnsi="Times New Roman"/>
              </w:rPr>
            </w:pPr>
            <w:r w:rsidRPr="00537112">
              <w:rPr>
                <w:rFonts w:cs="Verdana"/>
                <w:sz w:val="20"/>
                <w:szCs w:val="20"/>
              </w:rPr>
              <w:t>Ca</w:t>
            </w:r>
            <w:r w:rsidRPr="00537112">
              <w:rPr>
                <w:rFonts w:cs="Verdana"/>
                <w:spacing w:val="-1"/>
                <w:sz w:val="20"/>
                <w:szCs w:val="20"/>
              </w:rPr>
              <w:t>r</w:t>
            </w:r>
            <w:r w:rsidRPr="00537112">
              <w:rPr>
                <w:rFonts w:cs="Verdana"/>
                <w:spacing w:val="1"/>
                <w:sz w:val="20"/>
                <w:szCs w:val="20"/>
              </w:rPr>
              <w:t>m</w:t>
            </w:r>
            <w:r w:rsidRPr="00537112">
              <w:rPr>
                <w:rFonts w:cs="Verdana"/>
                <w:spacing w:val="-1"/>
                <w:sz w:val="20"/>
                <w:szCs w:val="20"/>
              </w:rPr>
              <w:t>e</w:t>
            </w:r>
            <w:r w:rsidRPr="00537112">
              <w:rPr>
                <w:rFonts w:cs="Verdana"/>
                <w:spacing w:val="3"/>
                <w:sz w:val="20"/>
                <w:szCs w:val="20"/>
              </w:rPr>
              <w:t>l</w:t>
            </w:r>
            <w:r w:rsidRPr="00537112">
              <w:rPr>
                <w:rFonts w:cs="Verdana"/>
                <w:sz w:val="20"/>
                <w:szCs w:val="20"/>
              </w:rPr>
              <w:t>a</w:t>
            </w:r>
            <w:r w:rsidRPr="00537112">
              <w:rPr>
                <w:rFonts w:cs="Verdana"/>
                <w:spacing w:val="-8"/>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s</w:t>
            </w:r>
            <w:r w:rsidRPr="00537112">
              <w:rPr>
                <w:rFonts w:cs="Verdana"/>
                <w:spacing w:val="-9"/>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4"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4"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63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3"/>
                <w:position w:val="-1"/>
                <w:sz w:val="20"/>
                <w:szCs w:val="20"/>
              </w:rPr>
              <w:t>i</w:t>
            </w:r>
            <w:r w:rsidRPr="00537112">
              <w:rPr>
                <w:rFonts w:cs="Verdana"/>
                <w:position w:val="-1"/>
                <w:sz w:val="20"/>
                <w:szCs w:val="20"/>
              </w:rPr>
              <w:t>as</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87</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Ju</w:t>
            </w:r>
            <w:r w:rsidRPr="00537112">
              <w:rPr>
                <w:rFonts w:cs="Verdana"/>
                <w:sz w:val="20"/>
                <w:szCs w:val="20"/>
              </w:rPr>
              <w:t>an</w:t>
            </w:r>
            <w:r w:rsidRPr="00537112">
              <w:rPr>
                <w:rFonts w:cs="Verdana"/>
                <w:spacing w:val="-5"/>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d</w:t>
            </w:r>
            <w:r w:rsidRPr="00537112">
              <w:rPr>
                <w:rFonts w:cs="Verdana"/>
                <w:sz w:val="20"/>
                <w:szCs w:val="20"/>
              </w:rPr>
              <w:t>e</w:t>
            </w:r>
            <w:r w:rsidRPr="00537112">
              <w:rPr>
                <w:rFonts w:cs="Verdana"/>
                <w:spacing w:val="-4"/>
                <w:sz w:val="20"/>
                <w:szCs w:val="20"/>
              </w:rPr>
              <w:t xml:space="preserve"> </w:t>
            </w:r>
            <w:r w:rsidRPr="00537112">
              <w:rPr>
                <w:rFonts w:cs="Verdana"/>
                <w:sz w:val="20"/>
                <w:szCs w:val="20"/>
              </w:rPr>
              <w:t>Páz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64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Máx</w:t>
            </w:r>
            <w:r w:rsidRPr="00537112">
              <w:rPr>
                <w:rFonts w:cs="Verdana"/>
                <w:spacing w:val="3"/>
                <w:position w:val="-1"/>
                <w:sz w:val="20"/>
                <w:szCs w:val="20"/>
              </w:rPr>
              <w:t>i</w:t>
            </w:r>
            <w:r w:rsidRPr="00537112">
              <w:rPr>
                <w:rFonts w:cs="Verdana"/>
                <w:spacing w:val="1"/>
                <w:position w:val="-1"/>
                <w:sz w:val="20"/>
                <w:szCs w:val="20"/>
              </w:rPr>
              <w:t>m</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65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Na</w:t>
            </w:r>
            <w:r w:rsidRPr="00537112">
              <w:rPr>
                <w:rFonts w:cs="Verdana"/>
                <w:spacing w:val="1"/>
                <w:position w:val="-1"/>
                <w:sz w:val="20"/>
                <w:szCs w:val="20"/>
              </w:rPr>
              <w:t>z</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66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g</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88</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G</w:t>
            </w:r>
            <w:r w:rsidRPr="00537112">
              <w:rPr>
                <w:rFonts w:cs="Verdana"/>
                <w:sz w:val="20"/>
                <w:szCs w:val="20"/>
              </w:rPr>
              <w:t>a</w:t>
            </w:r>
            <w:r w:rsidRPr="00537112">
              <w:rPr>
                <w:rFonts w:cs="Verdana"/>
                <w:spacing w:val="-1"/>
                <w:sz w:val="20"/>
                <w:szCs w:val="20"/>
              </w:rPr>
              <w:t>s</w:t>
            </w:r>
            <w:r w:rsidRPr="00537112">
              <w:rPr>
                <w:rFonts w:cs="Verdana"/>
                <w:spacing w:val="1"/>
                <w:sz w:val="20"/>
                <w:szCs w:val="20"/>
              </w:rPr>
              <w:t>p</w:t>
            </w:r>
            <w:r w:rsidRPr="00537112">
              <w:rPr>
                <w:rFonts w:cs="Verdana"/>
                <w:sz w:val="20"/>
                <w:szCs w:val="20"/>
              </w:rPr>
              <w:t>ar</w:t>
            </w:r>
            <w:r w:rsidRPr="00537112">
              <w:rPr>
                <w:rFonts w:cs="Verdana"/>
                <w:spacing w:val="-9"/>
                <w:sz w:val="20"/>
                <w:szCs w:val="20"/>
              </w:rPr>
              <w:t xml:space="preserve"> </w:t>
            </w:r>
            <w:r w:rsidRPr="00537112">
              <w:rPr>
                <w:rFonts w:cs="Verdana"/>
                <w:spacing w:val="1"/>
                <w:sz w:val="20"/>
                <w:szCs w:val="20"/>
              </w:rPr>
              <w:t>Ju</w:t>
            </w:r>
            <w:r w:rsidRPr="00537112">
              <w:rPr>
                <w:rFonts w:cs="Verdana"/>
                <w:sz w:val="20"/>
                <w:szCs w:val="20"/>
              </w:rPr>
              <w:t>a</w:t>
            </w:r>
            <w:r w:rsidRPr="00537112">
              <w:rPr>
                <w:rFonts w:cs="Verdana"/>
                <w:spacing w:val="-1"/>
                <w:sz w:val="20"/>
                <w:szCs w:val="20"/>
              </w:rPr>
              <w:t>re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67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Pa</w:t>
            </w:r>
            <w:r w:rsidRPr="00537112">
              <w:rPr>
                <w:rFonts w:cs="Verdana"/>
                <w:spacing w:val="1"/>
                <w:position w:val="-1"/>
                <w:sz w:val="20"/>
                <w:szCs w:val="20"/>
              </w:rPr>
              <w:t>n</w:t>
            </w:r>
            <w:r w:rsidRPr="00537112">
              <w:rPr>
                <w:rFonts w:cs="Verdana"/>
                <w:spacing w:val="-1"/>
                <w:position w:val="-1"/>
                <w:sz w:val="20"/>
                <w:szCs w:val="20"/>
              </w:rPr>
              <w:t>c</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68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Pa</w:t>
            </w:r>
            <w:r w:rsidRPr="00537112">
              <w:rPr>
                <w:rFonts w:cs="Verdana"/>
                <w:spacing w:val="1"/>
                <w:position w:val="-1"/>
                <w:sz w:val="20"/>
                <w:szCs w:val="20"/>
              </w:rPr>
              <w:t>ng</w:t>
            </w:r>
            <w:r w:rsidRPr="00537112">
              <w:rPr>
                <w:rFonts w:cs="Verdana"/>
                <w:position w:val="-1"/>
                <w:sz w:val="20"/>
                <w:szCs w:val="20"/>
              </w:rPr>
              <w:t>án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89</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Max</w:t>
            </w:r>
            <w:r w:rsidRPr="00537112">
              <w:rPr>
                <w:rFonts w:cs="Verdana"/>
                <w:spacing w:val="3"/>
                <w:sz w:val="20"/>
                <w:szCs w:val="20"/>
              </w:rPr>
              <w:t>i</w:t>
            </w:r>
            <w:r w:rsidRPr="00537112">
              <w:rPr>
                <w:rFonts w:cs="Verdana"/>
                <w:spacing w:val="1"/>
                <w:sz w:val="20"/>
                <w:szCs w:val="20"/>
              </w:rPr>
              <w:t>m</w:t>
            </w:r>
            <w:r w:rsidRPr="00537112">
              <w:rPr>
                <w:rFonts w:cs="Verdana"/>
                <w:spacing w:val="3"/>
                <w:sz w:val="20"/>
                <w:szCs w:val="20"/>
              </w:rPr>
              <w:t>ili</w:t>
            </w:r>
            <w:r w:rsidRPr="00537112">
              <w:rPr>
                <w:rFonts w:cs="Verdana"/>
                <w:sz w:val="20"/>
                <w:szCs w:val="20"/>
              </w:rPr>
              <w:t>a</w:t>
            </w:r>
            <w:r w:rsidRPr="00537112">
              <w:rPr>
                <w:rFonts w:cs="Verdana"/>
                <w:spacing w:val="1"/>
                <w:sz w:val="20"/>
                <w:szCs w:val="20"/>
              </w:rPr>
              <w:t>n</w:t>
            </w:r>
            <w:r w:rsidRPr="00537112">
              <w:rPr>
                <w:rFonts w:cs="Verdana"/>
                <w:sz w:val="20"/>
                <w:szCs w:val="20"/>
              </w:rPr>
              <w:t>o</w:t>
            </w:r>
            <w:r w:rsidRPr="00537112">
              <w:rPr>
                <w:rFonts w:cs="Verdana"/>
                <w:spacing w:val="-14"/>
                <w:sz w:val="20"/>
                <w:szCs w:val="20"/>
              </w:rPr>
              <w:t xml:space="preserve"> </w:t>
            </w:r>
            <w:r w:rsidRPr="00537112">
              <w:rPr>
                <w:rFonts w:cs="Verdana"/>
                <w:spacing w:val="1"/>
                <w:sz w:val="20"/>
                <w:szCs w:val="20"/>
              </w:rPr>
              <w:t>S</w:t>
            </w:r>
            <w:r w:rsidRPr="00537112">
              <w:rPr>
                <w:rFonts w:cs="Verdana"/>
                <w:spacing w:val="3"/>
                <w:sz w:val="20"/>
                <w:szCs w:val="20"/>
              </w:rPr>
              <w:t>ic</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69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ng</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u</w:t>
            </w:r>
            <w:r w:rsidRPr="00537112">
              <w:rPr>
                <w:rFonts w:cs="Verdana"/>
                <w:position w:val="-1"/>
                <w:sz w:val="20"/>
                <w:szCs w:val="20"/>
              </w:rPr>
              <w:t>x</w:t>
            </w:r>
            <w:r w:rsidRPr="00537112">
              <w:rPr>
                <w:rFonts w:cs="Verdana"/>
                <w:spacing w:val="1"/>
                <w:position w:val="-1"/>
                <w:sz w:val="20"/>
                <w:szCs w:val="20"/>
              </w:rPr>
              <w:t>ú</w:t>
            </w:r>
            <w:r w:rsidRPr="00537112">
              <w:rPr>
                <w:rFonts w:cs="Verdana"/>
                <w:position w:val="-1"/>
                <w:sz w:val="20"/>
                <w:szCs w:val="20"/>
              </w:rPr>
              <w:t>m</w:t>
            </w:r>
            <w:r w:rsidRPr="00537112">
              <w:rPr>
                <w:rFonts w:cs="Verdana"/>
                <w:spacing w:val="-7"/>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70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3"/>
                <w:position w:val="-1"/>
                <w:sz w:val="20"/>
                <w:szCs w:val="20"/>
              </w:rPr>
              <w:t>i</w:t>
            </w:r>
            <w:r w:rsidRPr="00537112">
              <w:rPr>
                <w:rFonts w:cs="Verdana"/>
                <w:spacing w:val="1"/>
                <w:position w:val="-1"/>
                <w:sz w:val="20"/>
                <w:szCs w:val="20"/>
              </w:rPr>
              <w:t>m</w:t>
            </w:r>
            <w:r w:rsidRPr="00537112">
              <w:rPr>
                <w:rFonts w:cs="Verdana"/>
                <w:spacing w:val="-1"/>
                <w:position w:val="-1"/>
                <w:sz w:val="20"/>
                <w:szCs w:val="20"/>
              </w:rPr>
              <w:t>o</w:t>
            </w:r>
            <w:r w:rsidRPr="00537112">
              <w:rPr>
                <w:rFonts w:cs="Verdana"/>
                <w:spacing w:val="1"/>
                <w:position w:val="-1"/>
                <w:sz w:val="20"/>
                <w:szCs w:val="20"/>
              </w:rPr>
              <w:t>t</w:t>
            </w:r>
            <w:r w:rsidRPr="00537112">
              <w:rPr>
                <w:rFonts w:cs="Verdana"/>
                <w:spacing w:val="-1"/>
                <w:position w:val="-1"/>
                <w:sz w:val="20"/>
                <w:szCs w:val="20"/>
              </w:rPr>
              <w:t>e</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u</w:t>
            </w:r>
            <w:r w:rsidRPr="00537112">
              <w:rPr>
                <w:rFonts w:cs="Verdana"/>
                <w:position w:val="-1"/>
                <w:sz w:val="20"/>
                <w:szCs w:val="20"/>
              </w:rPr>
              <w:t>x</w:t>
            </w:r>
            <w:r w:rsidRPr="00537112">
              <w:rPr>
                <w:rFonts w:cs="Verdana"/>
                <w:spacing w:val="1"/>
                <w:position w:val="-1"/>
                <w:sz w:val="20"/>
                <w:szCs w:val="20"/>
              </w:rPr>
              <w:t>ú</w:t>
            </w:r>
            <w:r w:rsidRPr="00537112">
              <w:rPr>
                <w:rFonts w:cs="Verdana"/>
                <w:position w:val="-1"/>
                <w:sz w:val="20"/>
                <w:szCs w:val="20"/>
              </w:rPr>
              <w:t>m</w:t>
            </w: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73"/>
              <w:jc w:val="center"/>
              <w:textAlignment w:val="auto"/>
              <w:rPr>
                <w:rFonts w:ascii="Times New Roman" w:hAnsi="Times New Roman"/>
              </w:rPr>
            </w:pPr>
            <w:r w:rsidRPr="00537112">
              <w:rPr>
                <w:rFonts w:cs="Verdana"/>
                <w:b/>
                <w:bCs/>
                <w:w w:val="99"/>
                <w:position w:val="-1"/>
                <w:sz w:val="20"/>
                <w:szCs w:val="20"/>
              </w:rPr>
              <w:t>90</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3"/>
                <w:position w:val="-1"/>
                <w:sz w:val="20"/>
                <w:szCs w:val="20"/>
              </w:rPr>
              <w:t>í</w:t>
            </w:r>
            <w:r w:rsidRPr="00537112">
              <w:rPr>
                <w:rFonts w:cs="Verdana"/>
                <w:position w:val="-1"/>
                <w:sz w:val="20"/>
                <w:szCs w:val="20"/>
              </w:rPr>
              <w:t>o</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71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F</w:t>
            </w:r>
            <w:r w:rsidRPr="00537112">
              <w:rPr>
                <w:rFonts w:cs="Verdana"/>
                <w:spacing w:val="-1"/>
                <w:sz w:val="20"/>
                <w:szCs w:val="20"/>
              </w:rPr>
              <w:t>r</w:t>
            </w:r>
            <w:r w:rsidRPr="00537112">
              <w:rPr>
                <w:rFonts w:cs="Verdana"/>
                <w:sz w:val="20"/>
                <w:szCs w:val="20"/>
              </w:rPr>
              <w:t>a</w:t>
            </w:r>
            <w:r w:rsidRPr="00537112">
              <w:rPr>
                <w:rFonts w:cs="Verdana"/>
                <w:spacing w:val="1"/>
                <w:sz w:val="20"/>
                <w:szCs w:val="20"/>
              </w:rPr>
              <w:t>n</w:t>
            </w:r>
            <w:r w:rsidRPr="00537112">
              <w:rPr>
                <w:rFonts w:cs="Verdana"/>
                <w:spacing w:val="-1"/>
                <w:sz w:val="20"/>
                <w:szCs w:val="20"/>
              </w:rPr>
              <w:t>c</w:t>
            </w:r>
            <w:r w:rsidRPr="00537112">
              <w:rPr>
                <w:rFonts w:cs="Verdana"/>
                <w:spacing w:val="3"/>
                <w:sz w:val="20"/>
                <w:szCs w:val="20"/>
              </w:rPr>
              <w:t>i</w:t>
            </w:r>
            <w:r w:rsidRPr="00537112">
              <w:rPr>
                <w:rFonts w:cs="Verdana"/>
                <w:spacing w:val="-1"/>
                <w:sz w:val="20"/>
                <w:szCs w:val="20"/>
              </w:rPr>
              <w:t>sc</w:t>
            </w:r>
            <w:r w:rsidRPr="00537112">
              <w:rPr>
                <w:rFonts w:cs="Verdana"/>
                <w:sz w:val="20"/>
                <w:szCs w:val="20"/>
              </w:rPr>
              <w:t>a</w:t>
            </w:r>
            <w:r w:rsidRPr="00537112">
              <w:rPr>
                <w:rFonts w:cs="Verdana"/>
                <w:spacing w:val="-9"/>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r w:rsidRPr="00537112">
              <w:rPr>
                <w:rFonts w:cs="Verdana"/>
                <w:spacing w:val="-6"/>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91</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V</w:t>
            </w:r>
            <w:r w:rsidRPr="00537112">
              <w:rPr>
                <w:rFonts w:cs="Verdana"/>
                <w:spacing w:val="3"/>
                <w:sz w:val="20"/>
                <w:szCs w:val="20"/>
              </w:rPr>
              <w:t>i</w:t>
            </w:r>
            <w:r w:rsidRPr="00537112">
              <w:rPr>
                <w:rFonts w:cs="Verdana"/>
                <w:spacing w:val="-1"/>
                <w:sz w:val="20"/>
                <w:szCs w:val="20"/>
              </w:rPr>
              <w:t>c</w:t>
            </w:r>
            <w:r w:rsidRPr="00537112">
              <w:rPr>
                <w:rFonts w:cs="Verdana"/>
                <w:spacing w:val="1"/>
                <w:sz w:val="20"/>
                <w:szCs w:val="20"/>
              </w:rPr>
              <w:t>t</w:t>
            </w:r>
            <w:r w:rsidRPr="00537112">
              <w:rPr>
                <w:rFonts w:cs="Verdana"/>
                <w:spacing w:val="-1"/>
                <w:sz w:val="20"/>
                <w:szCs w:val="20"/>
              </w:rPr>
              <w:t>o</w:t>
            </w:r>
            <w:r w:rsidRPr="00537112">
              <w:rPr>
                <w:rFonts w:cs="Verdana"/>
                <w:sz w:val="20"/>
                <w:szCs w:val="20"/>
              </w:rPr>
              <w:t>r</w:t>
            </w:r>
            <w:r w:rsidRPr="00537112">
              <w:rPr>
                <w:rFonts w:cs="Verdana"/>
                <w:spacing w:val="-8"/>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g</w:t>
            </w:r>
            <w:r w:rsidRPr="00537112">
              <w:rPr>
                <w:rFonts w:cs="Verdana"/>
                <w:sz w:val="20"/>
                <w:szCs w:val="20"/>
              </w:rPr>
              <w:t>a</w:t>
            </w:r>
            <w:r w:rsidRPr="00537112">
              <w:rPr>
                <w:rFonts w:cs="Verdana"/>
                <w:spacing w:val="-8"/>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72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73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Her</w:t>
            </w:r>
            <w:r w:rsidRPr="00537112">
              <w:rPr>
                <w:rFonts w:cs="Verdana"/>
                <w:spacing w:val="3"/>
                <w:position w:val="-1"/>
                <w:sz w:val="20"/>
                <w:szCs w:val="20"/>
              </w:rPr>
              <w:t>li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g</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14"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92</w:t>
            </w:r>
          </w:p>
        </w:tc>
        <w:tc>
          <w:tcPr>
            <w:tcW w:w="3958" w:type="dxa"/>
            <w:vMerge w:val="restart"/>
            <w:tcBorders>
              <w:top w:val="single" w:sz="8" w:space="0" w:color="000000"/>
              <w:left w:val="single" w:sz="8" w:space="0" w:color="000000"/>
              <w:bottom w:val="single" w:sz="14"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N</w:t>
            </w:r>
            <w:r w:rsidRPr="00537112">
              <w:rPr>
                <w:rFonts w:cs="Verdana"/>
                <w:spacing w:val="3"/>
                <w:sz w:val="20"/>
                <w:szCs w:val="20"/>
              </w:rPr>
              <w:t>i</w:t>
            </w:r>
            <w:r w:rsidRPr="00537112">
              <w:rPr>
                <w:rFonts w:cs="Verdana"/>
                <w:spacing w:val="-1"/>
                <w:sz w:val="20"/>
                <w:szCs w:val="20"/>
              </w:rPr>
              <w:t>co</w:t>
            </w:r>
            <w:r w:rsidRPr="00537112">
              <w:rPr>
                <w:rFonts w:cs="Verdana"/>
                <w:spacing w:val="3"/>
                <w:sz w:val="20"/>
                <w:szCs w:val="20"/>
              </w:rPr>
              <w:t>l</w:t>
            </w:r>
            <w:r w:rsidRPr="00537112">
              <w:rPr>
                <w:rFonts w:cs="Verdana"/>
                <w:sz w:val="20"/>
                <w:szCs w:val="20"/>
              </w:rPr>
              <w:t>as</w:t>
            </w:r>
            <w:r w:rsidRPr="00537112">
              <w:rPr>
                <w:rFonts w:cs="Verdana"/>
                <w:spacing w:val="-8"/>
                <w:sz w:val="20"/>
                <w:szCs w:val="20"/>
              </w:rPr>
              <w:t xml:space="preserve"> </w:t>
            </w:r>
            <w:r w:rsidRPr="00537112">
              <w:rPr>
                <w:rFonts w:cs="Verdana"/>
                <w:spacing w:val="-2"/>
                <w:sz w:val="20"/>
                <w:szCs w:val="20"/>
              </w:rPr>
              <w:t>I</w:t>
            </w:r>
            <w:r w:rsidRPr="00537112">
              <w:rPr>
                <w:rFonts w:cs="Verdana"/>
                <w:spacing w:val="1"/>
                <w:sz w:val="20"/>
                <w:szCs w:val="20"/>
              </w:rPr>
              <w:t>z</w:t>
            </w:r>
            <w:r w:rsidRPr="00537112">
              <w:rPr>
                <w:rFonts w:cs="Verdana"/>
                <w:sz w:val="20"/>
                <w:szCs w:val="20"/>
              </w:rPr>
              <w:t>a</w:t>
            </w:r>
            <w:r w:rsidRPr="00537112">
              <w:rPr>
                <w:rFonts w:cs="Verdana"/>
                <w:spacing w:val="1"/>
                <w:sz w:val="20"/>
                <w:szCs w:val="20"/>
              </w:rPr>
              <w:t>gu</w:t>
            </w:r>
            <w:r w:rsidRPr="00537112">
              <w:rPr>
                <w:rFonts w:cs="Verdana"/>
                <w:spacing w:val="3"/>
                <w:sz w:val="20"/>
                <w:szCs w:val="20"/>
              </w:rPr>
              <w:t>i</w:t>
            </w:r>
            <w:r w:rsidRPr="00537112">
              <w:rPr>
                <w:rFonts w:cs="Verdana"/>
                <w:spacing w:val="-1"/>
                <w:sz w:val="20"/>
                <w:szCs w:val="20"/>
              </w:rPr>
              <w:t>rr</w:t>
            </w:r>
            <w:r w:rsidRPr="00537112">
              <w:rPr>
                <w:rFonts w:cs="Verdana"/>
                <w:sz w:val="20"/>
                <w:szCs w:val="20"/>
              </w:rPr>
              <w:t>e</w:t>
            </w:r>
            <w:r w:rsidRPr="00537112">
              <w:rPr>
                <w:rFonts w:cs="Verdana"/>
                <w:spacing w:val="-11"/>
                <w:sz w:val="20"/>
                <w:szCs w:val="20"/>
              </w:rPr>
              <w:t xml:space="preserve"> </w:t>
            </w:r>
            <w:r w:rsidRPr="00537112">
              <w:rPr>
                <w:rFonts w:cs="Verdana"/>
                <w:sz w:val="20"/>
                <w:szCs w:val="20"/>
              </w:rPr>
              <w:t>B</w:t>
            </w:r>
            <w:r w:rsidRPr="00537112">
              <w:rPr>
                <w:rFonts w:cs="Verdana"/>
                <w:spacing w:val="-1"/>
                <w:sz w:val="20"/>
                <w:szCs w:val="20"/>
              </w:rPr>
              <w:t>e</w:t>
            </w:r>
            <w:r w:rsidRPr="00537112">
              <w:rPr>
                <w:rFonts w:cs="Verdana"/>
                <w:spacing w:val="3"/>
                <w:sz w:val="20"/>
                <w:szCs w:val="20"/>
              </w:rPr>
              <w:t>l</w:t>
            </w:r>
            <w:r w:rsidRPr="00537112">
              <w:rPr>
                <w:rFonts w:cs="Verdana"/>
                <w:spacing w:val="1"/>
                <w:sz w:val="20"/>
                <w:szCs w:val="20"/>
              </w:rPr>
              <w:t>t</w:t>
            </w:r>
            <w:r w:rsidRPr="00537112">
              <w:rPr>
                <w:rFonts w:cs="Verdana"/>
                <w:spacing w:val="-1"/>
                <w:sz w:val="20"/>
                <w:szCs w:val="20"/>
              </w:rPr>
              <w:t>r</w:t>
            </w:r>
            <w:r w:rsidRPr="00537112">
              <w:rPr>
                <w:rFonts w:cs="Verdana"/>
                <w:sz w:val="20"/>
                <w:szCs w:val="20"/>
              </w:rPr>
              <w:t>an</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74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N</w:t>
            </w:r>
            <w:r w:rsidRPr="00537112">
              <w:rPr>
                <w:rFonts w:cs="Verdana"/>
                <w:spacing w:val="3"/>
                <w:position w:val="-1"/>
                <w:sz w:val="20"/>
                <w:szCs w:val="20"/>
              </w:rPr>
              <w:t>i</w:t>
            </w:r>
            <w:r w:rsidRPr="00537112">
              <w:rPr>
                <w:rFonts w:cs="Verdana"/>
                <w:spacing w:val="-1"/>
                <w:position w:val="-1"/>
                <w:sz w:val="20"/>
                <w:szCs w:val="20"/>
              </w:rPr>
              <w:t>co</w:t>
            </w:r>
            <w:r w:rsidRPr="00537112">
              <w:rPr>
                <w:rFonts w:cs="Verdana"/>
                <w:spacing w:val="3"/>
                <w:position w:val="-1"/>
                <w:sz w:val="20"/>
                <w:szCs w:val="20"/>
              </w:rPr>
              <w:t>l</w:t>
            </w:r>
            <w:r w:rsidRPr="00537112">
              <w:rPr>
                <w:rFonts w:cs="Verdana"/>
                <w:position w:val="-1"/>
                <w:sz w:val="20"/>
                <w:szCs w:val="20"/>
              </w:rPr>
              <w:t>as</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z</w:t>
            </w:r>
            <w:r w:rsidRPr="00537112">
              <w:rPr>
                <w:rFonts w:cs="Verdana"/>
                <w:position w:val="-1"/>
                <w:sz w:val="20"/>
                <w:szCs w:val="20"/>
              </w:rPr>
              <w:t>a</w:t>
            </w:r>
            <w:r w:rsidRPr="00537112">
              <w:rPr>
                <w:rFonts w:cs="Verdana"/>
                <w:spacing w:val="1"/>
                <w:position w:val="-1"/>
                <w:sz w:val="20"/>
                <w:szCs w:val="20"/>
              </w:rPr>
              <w:t>gu</w:t>
            </w:r>
            <w:r w:rsidRPr="00537112">
              <w:rPr>
                <w:rFonts w:cs="Verdana"/>
                <w:spacing w:val="3"/>
                <w:position w:val="-1"/>
                <w:sz w:val="20"/>
                <w:szCs w:val="20"/>
              </w:rPr>
              <w:t>i</w:t>
            </w:r>
            <w:r w:rsidRPr="00537112">
              <w:rPr>
                <w:rFonts w:cs="Verdana"/>
                <w:spacing w:val="-1"/>
                <w:position w:val="-1"/>
                <w:sz w:val="20"/>
                <w:szCs w:val="20"/>
              </w:rPr>
              <w:t>rr</w:t>
            </w:r>
            <w:r w:rsidRPr="00537112">
              <w:rPr>
                <w:rFonts w:cs="Verdana"/>
                <w:position w:val="-1"/>
                <w:sz w:val="20"/>
                <w:szCs w:val="20"/>
              </w:rPr>
              <w:t>e</w:t>
            </w:r>
            <w:r w:rsidRPr="00537112">
              <w:rPr>
                <w:rFonts w:cs="Verdana"/>
                <w:spacing w:val="-11"/>
                <w:position w:val="-1"/>
                <w:sz w:val="20"/>
                <w:szCs w:val="20"/>
              </w:rPr>
              <w:t xml:space="preserve"> </w:t>
            </w:r>
            <w:r w:rsidRPr="00537112">
              <w:rPr>
                <w:rFonts w:cs="Verdana"/>
                <w:position w:val="-1"/>
                <w:sz w:val="20"/>
                <w:szCs w:val="20"/>
              </w:rPr>
              <w:t>B</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t</w:t>
            </w:r>
            <w:r w:rsidRPr="00537112">
              <w:rPr>
                <w:rFonts w:cs="Verdana"/>
                <w:spacing w:val="-1"/>
                <w:position w:val="-1"/>
                <w:sz w:val="20"/>
                <w:szCs w:val="20"/>
              </w:rPr>
              <w:t>r</w:t>
            </w:r>
            <w:r w:rsidRPr="00537112">
              <w:rPr>
                <w:rFonts w:cs="Verdana"/>
                <w:position w:val="-1"/>
                <w:sz w:val="20"/>
                <w:szCs w:val="20"/>
              </w:rPr>
              <w:t>an</w:t>
            </w:r>
          </w:p>
        </w:tc>
      </w:tr>
      <w:tr w:rsidR="00537112" w:rsidRPr="00537112" w:rsidTr="00630EEC">
        <w:trPr>
          <w:trHeight w:hRule="exact" w:val="247"/>
        </w:trPr>
        <w:tc>
          <w:tcPr>
            <w:tcW w:w="977" w:type="dxa"/>
            <w:vMerge/>
            <w:tcBorders>
              <w:top w:val="single" w:sz="8" w:space="0" w:color="000000"/>
              <w:left w:val="single" w:sz="8" w:space="0" w:color="000000"/>
              <w:bottom w:val="single" w:sz="14"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14"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75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14"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14"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76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z</w:t>
            </w:r>
            <w:r w:rsidRPr="00537112">
              <w:rPr>
                <w:rFonts w:cs="Verdana"/>
                <w:position w:val="-1"/>
                <w:sz w:val="20"/>
                <w:szCs w:val="20"/>
              </w:rPr>
              <w:t>a</w:t>
            </w:r>
            <w:r w:rsidRPr="00537112">
              <w:rPr>
                <w:rFonts w:cs="Verdana"/>
                <w:spacing w:val="1"/>
                <w:position w:val="-1"/>
                <w:sz w:val="20"/>
                <w:szCs w:val="20"/>
              </w:rPr>
              <w:t>gu</w:t>
            </w:r>
            <w:r w:rsidRPr="00537112">
              <w:rPr>
                <w:rFonts w:cs="Verdana"/>
                <w:spacing w:val="3"/>
                <w:position w:val="-1"/>
                <w:sz w:val="20"/>
                <w:szCs w:val="20"/>
              </w:rPr>
              <w:t>i</w:t>
            </w:r>
            <w:r w:rsidRPr="00537112">
              <w:rPr>
                <w:rFonts w:cs="Verdana"/>
                <w:spacing w:val="-1"/>
                <w:position w:val="-1"/>
                <w:sz w:val="20"/>
                <w:szCs w:val="20"/>
              </w:rPr>
              <w:t>rr</w:t>
            </w:r>
            <w:r w:rsidRPr="00537112">
              <w:rPr>
                <w:rFonts w:cs="Verdana"/>
                <w:position w:val="-1"/>
                <w:sz w:val="20"/>
                <w:szCs w:val="20"/>
              </w:rPr>
              <w:t>e</w:t>
            </w:r>
            <w:r w:rsidRPr="00537112">
              <w:rPr>
                <w:rFonts w:cs="Verdana"/>
                <w:spacing w:val="-11"/>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54"/>
        </w:trPr>
        <w:tc>
          <w:tcPr>
            <w:tcW w:w="977" w:type="dxa"/>
            <w:vMerge/>
            <w:tcBorders>
              <w:top w:val="single" w:sz="8" w:space="0" w:color="000000"/>
              <w:left w:val="single" w:sz="8" w:space="0" w:color="000000"/>
              <w:bottom w:val="single" w:sz="14"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14"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14"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77</w:t>
            </w:r>
          </w:p>
        </w:tc>
        <w:tc>
          <w:tcPr>
            <w:tcW w:w="4496" w:type="dxa"/>
            <w:tcBorders>
              <w:top w:val="single" w:sz="8" w:space="0" w:color="000000"/>
              <w:left w:val="single" w:sz="8" w:space="0" w:color="000000"/>
              <w:bottom w:val="single" w:sz="14"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crec</w:t>
            </w:r>
            <w:r w:rsidRPr="00537112">
              <w:rPr>
                <w:rFonts w:cs="Verdana"/>
                <w:spacing w:val="3"/>
                <w:position w:val="-1"/>
                <w:sz w:val="20"/>
                <w:szCs w:val="20"/>
              </w:rPr>
              <w:t>í</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z</w:t>
            </w:r>
            <w:r w:rsidRPr="00537112">
              <w:rPr>
                <w:rFonts w:cs="Verdana"/>
                <w:position w:val="-1"/>
                <w:sz w:val="20"/>
                <w:szCs w:val="20"/>
              </w:rPr>
              <w:t>a</w:t>
            </w:r>
            <w:r w:rsidRPr="00537112">
              <w:rPr>
                <w:rFonts w:cs="Verdana"/>
                <w:spacing w:val="1"/>
                <w:position w:val="-1"/>
                <w:sz w:val="20"/>
                <w:szCs w:val="20"/>
              </w:rPr>
              <w:t>gu</w:t>
            </w:r>
            <w:r w:rsidRPr="00537112">
              <w:rPr>
                <w:rFonts w:cs="Verdana"/>
                <w:spacing w:val="3"/>
                <w:position w:val="-1"/>
                <w:sz w:val="20"/>
                <w:szCs w:val="20"/>
              </w:rPr>
              <w:t>i</w:t>
            </w:r>
            <w:r w:rsidRPr="00537112">
              <w:rPr>
                <w:rFonts w:cs="Verdana"/>
                <w:spacing w:val="-1"/>
                <w:position w:val="-1"/>
                <w:sz w:val="20"/>
                <w:szCs w:val="20"/>
              </w:rPr>
              <w:t>rr</w:t>
            </w:r>
            <w:r w:rsidRPr="00537112">
              <w:rPr>
                <w:rFonts w:cs="Verdana"/>
                <w:position w:val="-1"/>
                <w:sz w:val="20"/>
                <w:szCs w:val="20"/>
              </w:rPr>
              <w:t>e</w:t>
            </w:r>
            <w:r w:rsidRPr="00537112">
              <w:rPr>
                <w:rFonts w:cs="Verdana"/>
                <w:spacing w:val="-11"/>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54"/>
        </w:trPr>
        <w:tc>
          <w:tcPr>
            <w:tcW w:w="977" w:type="dxa"/>
            <w:tcBorders>
              <w:top w:val="single" w:sz="14"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73"/>
              <w:jc w:val="center"/>
              <w:textAlignment w:val="auto"/>
              <w:rPr>
                <w:rFonts w:ascii="Times New Roman" w:hAnsi="Times New Roman"/>
              </w:rPr>
            </w:pPr>
            <w:r w:rsidRPr="00537112">
              <w:rPr>
                <w:rFonts w:cs="Verdana"/>
                <w:b/>
                <w:bCs/>
                <w:w w:val="99"/>
                <w:position w:val="-1"/>
                <w:sz w:val="20"/>
                <w:szCs w:val="20"/>
              </w:rPr>
              <w:t>93</w:t>
            </w:r>
          </w:p>
        </w:tc>
        <w:tc>
          <w:tcPr>
            <w:tcW w:w="3958" w:type="dxa"/>
            <w:tcBorders>
              <w:top w:val="single" w:sz="14"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Rup</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í</w:t>
            </w:r>
            <w:r w:rsidRPr="00537112">
              <w:rPr>
                <w:rFonts w:cs="Verdana"/>
                <w:position w:val="-1"/>
                <w:sz w:val="20"/>
                <w:szCs w:val="20"/>
              </w:rPr>
              <w:t>as</w:t>
            </w:r>
            <w:r w:rsidRPr="00537112">
              <w:rPr>
                <w:rFonts w:cs="Verdana"/>
                <w:spacing w:val="-7"/>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1"/>
                <w:position w:val="-1"/>
                <w:sz w:val="20"/>
                <w:szCs w:val="20"/>
              </w:rPr>
              <w:t>e</w:t>
            </w:r>
            <w:r w:rsidRPr="00537112">
              <w:rPr>
                <w:rFonts w:cs="Verdana"/>
                <w:position w:val="-1"/>
                <w:sz w:val="20"/>
                <w:szCs w:val="20"/>
              </w:rPr>
              <w:t>z</w:t>
            </w:r>
          </w:p>
        </w:tc>
        <w:tc>
          <w:tcPr>
            <w:tcW w:w="772" w:type="dxa"/>
            <w:tcBorders>
              <w:top w:val="single" w:sz="14"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78</w:t>
            </w:r>
          </w:p>
        </w:tc>
        <w:tc>
          <w:tcPr>
            <w:tcW w:w="4496" w:type="dxa"/>
            <w:tcBorders>
              <w:top w:val="single" w:sz="14"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94</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A</w:t>
            </w:r>
            <w:r w:rsidRPr="00537112">
              <w:rPr>
                <w:rFonts w:cs="Verdana"/>
                <w:spacing w:val="3"/>
                <w:sz w:val="20"/>
                <w:szCs w:val="20"/>
              </w:rPr>
              <w:t>l</w:t>
            </w:r>
            <w:r w:rsidRPr="00537112">
              <w:rPr>
                <w:rFonts w:cs="Verdana"/>
                <w:spacing w:val="1"/>
                <w:sz w:val="20"/>
                <w:szCs w:val="20"/>
              </w:rPr>
              <w:t>b</w:t>
            </w:r>
            <w:r w:rsidRPr="00537112">
              <w:rPr>
                <w:rFonts w:cs="Verdana"/>
                <w:spacing w:val="-1"/>
                <w:sz w:val="20"/>
                <w:szCs w:val="20"/>
              </w:rPr>
              <w:t>er</w:t>
            </w:r>
            <w:r w:rsidRPr="00537112">
              <w:rPr>
                <w:rFonts w:cs="Verdana"/>
                <w:spacing w:val="1"/>
                <w:sz w:val="20"/>
                <w:szCs w:val="20"/>
              </w:rPr>
              <w:t>t</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79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80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ás</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81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82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qu</w:t>
            </w:r>
            <w:r w:rsidRPr="00537112">
              <w:rPr>
                <w:rFonts w:cs="Verdana"/>
                <w:position w:val="-1"/>
                <w:sz w:val="20"/>
                <w:szCs w:val="20"/>
              </w:rPr>
              <w:t>e</w:t>
            </w:r>
            <w:r w:rsidRPr="00537112">
              <w:rPr>
                <w:rFonts w:cs="Verdana"/>
                <w:spacing w:val="-10"/>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83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ce</w:t>
            </w:r>
            <w:r w:rsidRPr="00537112">
              <w:rPr>
                <w:rFonts w:cs="Verdana"/>
                <w:spacing w:val="1"/>
                <w:position w:val="-1"/>
                <w:sz w:val="20"/>
                <w:szCs w:val="20"/>
              </w:rPr>
              <w:t>nt</w:t>
            </w:r>
            <w:r w:rsidRPr="00537112">
              <w:rPr>
                <w:rFonts w:cs="Verdana"/>
                <w:position w:val="-1"/>
                <w:sz w:val="20"/>
                <w:szCs w:val="20"/>
              </w:rPr>
              <w:t>e</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84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85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crec</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95</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20" w:lineRule="exact"/>
              <w:jc w:val="left"/>
              <w:textAlignment w:val="auto"/>
              <w:rPr>
                <w:rFonts w:ascii="Times New Roman" w:hAnsi="Times New Roman"/>
                <w:sz w:val="12"/>
                <w:szCs w:val="12"/>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S</w:t>
            </w:r>
            <w:r w:rsidRPr="00537112">
              <w:rPr>
                <w:rFonts w:cs="Verdana"/>
                <w:spacing w:val="-1"/>
                <w:sz w:val="20"/>
                <w:szCs w:val="20"/>
              </w:rPr>
              <w:t>er</w:t>
            </w:r>
            <w:r w:rsidRPr="00537112">
              <w:rPr>
                <w:rFonts w:cs="Verdana"/>
                <w:sz w:val="20"/>
                <w:szCs w:val="20"/>
              </w:rPr>
              <w:t>a</w:t>
            </w:r>
            <w:r w:rsidRPr="00537112">
              <w:rPr>
                <w:rFonts w:cs="Verdana"/>
                <w:spacing w:val="1"/>
                <w:sz w:val="20"/>
                <w:szCs w:val="20"/>
              </w:rPr>
              <w:t>p</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r w:rsidRPr="00537112">
              <w:rPr>
                <w:rFonts w:cs="Verdana"/>
                <w:spacing w:val="-5"/>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86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87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es</w:t>
            </w:r>
            <w:r w:rsidRPr="00537112">
              <w:rPr>
                <w:rFonts w:cs="Verdana"/>
                <w:spacing w:val="3"/>
                <w:position w:val="-1"/>
                <w:sz w:val="20"/>
                <w:szCs w:val="20"/>
              </w:rPr>
              <w:t>i</w:t>
            </w:r>
            <w:r w:rsidRPr="00537112">
              <w:rPr>
                <w:rFonts w:cs="Verdana"/>
                <w:spacing w:val="1"/>
                <w:position w:val="-1"/>
                <w:sz w:val="20"/>
                <w:szCs w:val="20"/>
              </w:rPr>
              <w:t>d</w:t>
            </w:r>
            <w:r w:rsidRPr="00537112">
              <w:rPr>
                <w:rFonts w:cs="Verdana"/>
                <w:spacing w:val="-1"/>
                <w:position w:val="-1"/>
                <w:sz w:val="20"/>
                <w:szCs w:val="20"/>
              </w:rPr>
              <w:t>er</w:t>
            </w:r>
            <w:r w:rsidRPr="00537112">
              <w:rPr>
                <w:rFonts w:cs="Verdana"/>
                <w:spacing w:val="3"/>
                <w:position w:val="-1"/>
                <w:sz w:val="20"/>
                <w:szCs w:val="20"/>
              </w:rPr>
              <w:t>i</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88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r</w:t>
            </w:r>
            <w:r w:rsidRPr="00537112">
              <w:rPr>
                <w:rFonts w:cs="Verdana"/>
                <w:position w:val="-1"/>
                <w:sz w:val="20"/>
                <w:szCs w:val="20"/>
              </w:rPr>
              <w:t>á</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89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erce</w:t>
            </w:r>
            <w:r w:rsidRPr="00537112">
              <w:rPr>
                <w:rFonts w:cs="Verdana"/>
                <w:spacing w:val="1"/>
                <w:position w:val="-1"/>
                <w:sz w:val="20"/>
                <w:szCs w:val="20"/>
              </w:rPr>
              <w:t>d</w:t>
            </w:r>
            <w:r w:rsidRPr="00537112">
              <w:rPr>
                <w:rFonts w:cs="Verdana"/>
                <w:spacing w:val="-1"/>
                <w:position w:val="-1"/>
                <w:sz w:val="20"/>
                <w:szCs w:val="20"/>
              </w:rPr>
              <w:t>e</w:t>
            </w:r>
            <w:r w:rsidRPr="00537112">
              <w:rPr>
                <w:rFonts w:cs="Verdana"/>
                <w:position w:val="-1"/>
                <w:sz w:val="20"/>
                <w:szCs w:val="20"/>
              </w:rPr>
              <w:t>s</w:t>
            </w:r>
            <w:r w:rsidRPr="00537112">
              <w:rPr>
                <w:rFonts w:cs="Verdana"/>
                <w:spacing w:val="-10"/>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an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90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u</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av</w:t>
            </w:r>
            <w:r w:rsidRPr="00537112">
              <w:rPr>
                <w:rFonts w:cs="Verdana"/>
                <w:spacing w:val="-1"/>
                <w:position w:val="-1"/>
                <w:sz w:val="20"/>
                <w:szCs w:val="20"/>
              </w:rPr>
              <w:t>e</w:t>
            </w:r>
            <w:r w:rsidRPr="00537112">
              <w:rPr>
                <w:rFonts w:cs="Verdana"/>
                <w:spacing w:val="1"/>
                <w:position w:val="-1"/>
                <w:sz w:val="20"/>
                <w:szCs w:val="20"/>
              </w:rPr>
              <w:t>ntu</w:t>
            </w:r>
            <w:r w:rsidRPr="00537112">
              <w:rPr>
                <w:rFonts w:cs="Verdana"/>
                <w:spacing w:val="-1"/>
                <w:position w:val="-1"/>
                <w:sz w:val="20"/>
                <w:szCs w:val="20"/>
              </w:rPr>
              <w:t>r</w:t>
            </w:r>
            <w:r w:rsidRPr="00537112">
              <w:rPr>
                <w:rFonts w:cs="Verdana"/>
                <w:position w:val="-1"/>
                <w:sz w:val="20"/>
                <w:szCs w:val="20"/>
              </w:rPr>
              <w:t>a</w:t>
            </w:r>
            <w:r w:rsidRPr="00537112">
              <w:rPr>
                <w:rFonts w:cs="Verdana"/>
                <w:spacing w:val="-14"/>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91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Agu</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í</w:t>
            </w:r>
            <w:r w:rsidRPr="00537112">
              <w:rPr>
                <w:rFonts w:cs="Verdana"/>
                <w:position w:val="-1"/>
                <w:sz w:val="20"/>
                <w:szCs w:val="20"/>
              </w:rPr>
              <w:t>n</w:t>
            </w:r>
            <w:r w:rsidRPr="00537112">
              <w:rPr>
                <w:rFonts w:cs="Verdana"/>
                <w:spacing w:val="-8"/>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92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96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pacing w:val="1"/>
                <w:sz w:val="20"/>
                <w:szCs w:val="20"/>
              </w:rPr>
              <w:t>Ju</w:t>
            </w:r>
            <w:r w:rsidRPr="00537112">
              <w:rPr>
                <w:rFonts w:cs="Verdana"/>
                <w:sz w:val="20"/>
                <w:szCs w:val="20"/>
              </w:rPr>
              <w:t>a</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Lo</w:t>
            </w:r>
            <w:r w:rsidRPr="00537112">
              <w:rPr>
                <w:rFonts w:cs="Verdana"/>
                <w:spacing w:val="1"/>
                <w:sz w:val="20"/>
                <w:szCs w:val="20"/>
              </w:rPr>
              <w:t>p</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93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J</w:t>
            </w:r>
            <w:r w:rsidRPr="00537112">
              <w:rPr>
                <w:rFonts w:cs="Verdana"/>
                <w:spacing w:val="-1"/>
                <w:position w:val="-1"/>
                <w:sz w:val="20"/>
                <w:szCs w:val="20"/>
              </w:rPr>
              <w:t>osef</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94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Ló</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95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n</w:t>
            </w:r>
            <w:r w:rsidRPr="00537112">
              <w:rPr>
                <w:rFonts w:cs="Verdana"/>
                <w:spacing w:val="-1"/>
                <w:position w:val="-1"/>
                <w:sz w:val="20"/>
                <w:szCs w:val="20"/>
              </w:rPr>
              <w:t>oce</w:t>
            </w:r>
            <w:r w:rsidRPr="00537112">
              <w:rPr>
                <w:rFonts w:cs="Verdana"/>
                <w:spacing w:val="1"/>
                <w:position w:val="-1"/>
                <w:sz w:val="20"/>
                <w:szCs w:val="20"/>
              </w:rPr>
              <w:t>nt</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96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osef</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0"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97</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0"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Agu</w:t>
            </w:r>
            <w:r w:rsidRPr="00537112">
              <w:rPr>
                <w:rFonts w:cs="Verdana"/>
                <w:spacing w:val="-1"/>
                <w:sz w:val="20"/>
                <w:szCs w:val="20"/>
              </w:rPr>
              <w:t>s</w:t>
            </w:r>
            <w:r w:rsidRPr="00537112">
              <w:rPr>
                <w:rFonts w:cs="Verdana"/>
                <w:spacing w:val="1"/>
                <w:sz w:val="20"/>
                <w:szCs w:val="20"/>
              </w:rPr>
              <w:t>t</w:t>
            </w:r>
            <w:r w:rsidRPr="00537112">
              <w:rPr>
                <w:rFonts w:cs="Verdana"/>
                <w:spacing w:val="3"/>
                <w:sz w:val="20"/>
                <w:szCs w:val="20"/>
              </w:rPr>
              <w:t>í</w:t>
            </w:r>
            <w:r w:rsidRPr="00537112">
              <w:rPr>
                <w:rFonts w:cs="Verdana"/>
                <w:sz w:val="20"/>
                <w:szCs w:val="20"/>
              </w:rPr>
              <w:t>n</w:t>
            </w:r>
            <w:r w:rsidRPr="00537112">
              <w:rPr>
                <w:rFonts w:cs="Verdana"/>
                <w:spacing w:val="-8"/>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97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g</w:t>
            </w:r>
            <w:r w:rsidRPr="00537112">
              <w:rPr>
                <w:rFonts w:cs="Verdana"/>
                <w:spacing w:val="-1"/>
                <w:position w:val="-1"/>
                <w:sz w:val="20"/>
                <w:szCs w:val="20"/>
              </w:rPr>
              <w:t>o</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co</w:t>
            </w:r>
            <w:r w:rsidRPr="00537112">
              <w:rPr>
                <w:rFonts w:cs="Verdana"/>
                <w:spacing w:val="1"/>
                <w:position w:val="-1"/>
                <w:sz w:val="20"/>
                <w:szCs w:val="20"/>
              </w:rPr>
              <w:t>p</w:t>
            </w:r>
            <w:r w:rsidRPr="00537112">
              <w:rPr>
                <w:rFonts w:cs="Verdana"/>
                <w:position w:val="-1"/>
                <w:sz w:val="20"/>
                <w:szCs w:val="20"/>
              </w:rPr>
              <w:t>al</w:t>
            </w:r>
            <w:r w:rsidRPr="00537112">
              <w:rPr>
                <w:rFonts w:cs="Verdana"/>
                <w:spacing w:val="-5"/>
                <w:position w:val="-1"/>
                <w:sz w:val="20"/>
                <w:szCs w:val="20"/>
              </w:rPr>
              <w:t xml:space="preserve"> </w:t>
            </w:r>
            <w:r w:rsidRPr="00537112">
              <w:rPr>
                <w:rFonts w:cs="Verdana"/>
                <w:spacing w:val="-1"/>
                <w:position w:val="-1"/>
                <w:sz w:val="20"/>
                <w:szCs w:val="20"/>
              </w:rPr>
              <w:t>Ló</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98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co</w:t>
            </w:r>
            <w:r w:rsidRPr="00537112">
              <w:rPr>
                <w:rFonts w:cs="Verdana"/>
                <w:spacing w:val="1"/>
                <w:position w:val="-1"/>
                <w:sz w:val="20"/>
                <w:szCs w:val="20"/>
              </w:rPr>
              <w:t>p</w:t>
            </w:r>
            <w:r w:rsidRPr="00537112">
              <w:rPr>
                <w:rFonts w:cs="Verdana"/>
                <w:position w:val="-1"/>
                <w:sz w:val="20"/>
                <w:szCs w:val="20"/>
              </w:rPr>
              <w:t>al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4</w:t>
            </w:r>
            <w:r w:rsidRPr="00537112">
              <w:rPr>
                <w:rFonts w:cs="Verdana"/>
                <w:spacing w:val="1"/>
                <w:position w:val="-1"/>
                <w:sz w:val="20"/>
                <w:szCs w:val="20"/>
              </w:rPr>
              <w:t>99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c</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co</w:t>
            </w:r>
            <w:r w:rsidRPr="00537112">
              <w:rPr>
                <w:rFonts w:cs="Verdana"/>
                <w:spacing w:val="1"/>
                <w:position w:val="-1"/>
                <w:sz w:val="20"/>
                <w:szCs w:val="20"/>
              </w:rPr>
              <w:t>p</w:t>
            </w:r>
            <w:r w:rsidRPr="00537112">
              <w:rPr>
                <w:rFonts w:cs="Verdana"/>
                <w:position w:val="-1"/>
                <w:sz w:val="20"/>
                <w:szCs w:val="20"/>
              </w:rPr>
              <w:t>al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00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Z</w:t>
            </w:r>
            <w:r w:rsidRPr="00537112">
              <w:rPr>
                <w:rFonts w:cs="Verdana"/>
                <w:spacing w:val="-1"/>
                <w:position w:val="-1"/>
                <w:sz w:val="20"/>
                <w:szCs w:val="20"/>
              </w:rPr>
              <w:t>o</w:t>
            </w:r>
            <w:r w:rsidRPr="00537112">
              <w:rPr>
                <w:rFonts w:cs="Verdana"/>
                <w:spacing w:val="3"/>
                <w:position w:val="-1"/>
                <w:sz w:val="20"/>
                <w:szCs w:val="20"/>
              </w:rPr>
              <w:t>il</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co</w:t>
            </w:r>
            <w:r w:rsidRPr="00537112">
              <w:rPr>
                <w:rFonts w:cs="Verdana"/>
                <w:spacing w:val="1"/>
                <w:position w:val="-1"/>
                <w:sz w:val="20"/>
                <w:szCs w:val="20"/>
              </w:rPr>
              <w:t>p</w:t>
            </w:r>
            <w:r w:rsidRPr="00537112">
              <w:rPr>
                <w:rFonts w:cs="Verdana"/>
                <w:position w:val="-1"/>
                <w:sz w:val="20"/>
                <w:szCs w:val="20"/>
              </w:rPr>
              <w:t>al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01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co</w:t>
            </w:r>
            <w:r w:rsidRPr="00537112">
              <w:rPr>
                <w:rFonts w:cs="Verdana"/>
                <w:spacing w:val="1"/>
                <w:position w:val="-1"/>
                <w:sz w:val="20"/>
                <w:szCs w:val="20"/>
              </w:rPr>
              <w:t>p</w:t>
            </w:r>
            <w:r w:rsidRPr="00537112">
              <w:rPr>
                <w:rFonts w:cs="Verdana"/>
                <w:position w:val="-1"/>
                <w:sz w:val="20"/>
                <w:szCs w:val="20"/>
              </w:rPr>
              <w:t>al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02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co</w:t>
            </w:r>
            <w:r w:rsidRPr="00537112">
              <w:rPr>
                <w:rFonts w:cs="Verdana"/>
                <w:spacing w:val="1"/>
                <w:position w:val="-1"/>
                <w:sz w:val="20"/>
                <w:szCs w:val="20"/>
              </w:rPr>
              <w:t>p</w:t>
            </w:r>
            <w:r w:rsidRPr="00537112">
              <w:rPr>
                <w:rFonts w:cs="Verdana"/>
                <w:position w:val="-1"/>
                <w:sz w:val="20"/>
                <w:szCs w:val="20"/>
              </w:rPr>
              <w:t>al</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98</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V</w:t>
            </w:r>
            <w:r w:rsidRPr="00537112">
              <w:rPr>
                <w:rFonts w:cs="Verdana"/>
                <w:spacing w:val="3"/>
                <w:sz w:val="20"/>
                <w:szCs w:val="20"/>
              </w:rPr>
              <w:t>i</w:t>
            </w:r>
            <w:r w:rsidRPr="00537112">
              <w:rPr>
                <w:rFonts w:cs="Verdana"/>
                <w:spacing w:val="-1"/>
                <w:sz w:val="20"/>
                <w:szCs w:val="20"/>
              </w:rPr>
              <w:t>c</w:t>
            </w:r>
            <w:r w:rsidRPr="00537112">
              <w:rPr>
                <w:rFonts w:cs="Verdana"/>
                <w:spacing w:val="1"/>
                <w:sz w:val="20"/>
                <w:szCs w:val="20"/>
              </w:rPr>
              <w:t>t</w:t>
            </w:r>
            <w:r w:rsidRPr="00537112">
              <w:rPr>
                <w:rFonts w:cs="Verdana"/>
                <w:spacing w:val="-1"/>
                <w:sz w:val="20"/>
                <w:szCs w:val="20"/>
              </w:rPr>
              <w:t>o</w:t>
            </w:r>
            <w:r w:rsidRPr="00537112">
              <w:rPr>
                <w:rFonts w:cs="Verdana"/>
                <w:sz w:val="20"/>
                <w:szCs w:val="20"/>
              </w:rPr>
              <w:t>r</w:t>
            </w:r>
            <w:r w:rsidRPr="00537112">
              <w:rPr>
                <w:rFonts w:cs="Verdana"/>
                <w:spacing w:val="-8"/>
                <w:sz w:val="20"/>
                <w:szCs w:val="20"/>
              </w:rPr>
              <w:t xml:space="preserve"> </w:t>
            </w:r>
            <w:r w:rsidRPr="00537112">
              <w:rPr>
                <w:rFonts w:cs="Verdana"/>
                <w:sz w:val="20"/>
                <w:szCs w:val="20"/>
              </w:rPr>
              <w:t>C</w:t>
            </w:r>
            <w:r w:rsidRPr="00537112">
              <w:rPr>
                <w:rFonts w:cs="Verdana"/>
                <w:spacing w:val="1"/>
                <w:sz w:val="20"/>
                <w:szCs w:val="20"/>
              </w:rPr>
              <w:t>uqu</w:t>
            </w:r>
            <w:r w:rsidRPr="00537112">
              <w:rPr>
                <w:rFonts w:cs="Verdana"/>
                <w:spacing w:val="-1"/>
                <w:sz w:val="20"/>
                <w:szCs w:val="20"/>
              </w:rPr>
              <w:t>e</w:t>
            </w:r>
            <w:r w:rsidRPr="00537112">
              <w:rPr>
                <w:rFonts w:cs="Verdana"/>
                <w:sz w:val="20"/>
                <w:szCs w:val="20"/>
              </w:rPr>
              <w:t>j</w:t>
            </w:r>
            <w:r w:rsidRPr="00537112">
              <w:rPr>
                <w:rFonts w:cs="Verdana"/>
                <w:spacing w:val="-7"/>
                <w:sz w:val="20"/>
                <w:szCs w:val="20"/>
              </w:rPr>
              <w:t xml:space="preserve"> </w:t>
            </w:r>
            <w:r w:rsidRPr="00537112">
              <w:rPr>
                <w:rFonts w:cs="Verdana"/>
                <w:sz w:val="20"/>
                <w:szCs w:val="20"/>
              </w:rPr>
              <w:t>M</w:t>
            </w:r>
            <w:r w:rsidRPr="00537112">
              <w:rPr>
                <w:rFonts w:cs="Verdana"/>
                <w:spacing w:val="-1"/>
                <w:sz w:val="20"/>
                <w:szCs w:val="20"/>
              </w:rPr>
              <w:t>ore</w:t>
            </w:r>
            <w:r w:rsidRPr="00537112">
              <w:rPr>
                <w:rFonts w:cs="Verdana"/>
                <w:spacing w:val="1"/>
                <w:sz w:val="20"/>
                <w:szCs w:val="20"/>
              </w:rPr>
              <w:t>nt</w:t>
            </w:r>
            <w:r w:rsidRPr="00537112">
              <w:rPr>
                <w:rFonts w:cs="Verdana"/>
                <w:sz w:val="20"/>
                <w:szCs w:val="20"/>
              </w:rPr>
              <w:t>e</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03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spacing w:val="1"/>
                <w:position w:val="-1"/>
                <w:sz w:val="20"/>
                <w:szCs w:val="20"/>
              </w:rPr>
              <w:t>b</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04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w:t>
            </w:r>
            <w:r w:rsidRPr="00537112">
              <w:rPr>
                <w:rFonts w:cs="Verdana"/>
                <w:position w:val="-1"/>
                <w:sz w:val="20"/>
                <w:szCs w:val="20"/>
              </w:rPr>
              <w:t>r</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uqu</w:t>
            </w:r>
            <w:r w:rsidRPr="00537112">
              <w:rPr>
                <w:rFonts w:cs="Verdana"/>
                <w:spacing w:val="-1"/>
                <w:position w:val="-1"/>
                <w:sz w:val="20"/>
                <w:szCs w:val="20"/>
              </w:rPr>
              <w:t>e</w:t>
            </w:r>
            <w:r w:rsidRPr="00537112">
              <w:rPr>
                <w:rFonts w:cs="Verdana"/>
                <w:position w:val="-1"/>
                <w:sz w:val="20"/>
                <w:szCs w:val="20"/>
              </w:rPr>
              <w:t>j</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position w:val="-1"/>
                <w:sz w:val="20"/>
                <w:szCs w:val="20"/>
              </w:rPr>
              <w:t>e</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05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as</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position w:val="-1"/>
                <w:sz w:val="20"/>
                <w:szCs w:val="20"/>
              </w:rPr>
              <w:t>e</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06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position w:val="-1"/>
                <w:sz w:val="20"/>
                <w:szCs w:val="20"/>
              </w:rPr>
              <w:t>e</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1"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73"/>
              <w:jc w:val="center"/>
              <w:textAlignment w:val="auto"/>
              <w:rPr>
                <w:rFonts w:ascii="Times New Roman" w:hAnsi="Times New Roman"/>
              </w:rPr>
            </w:pPr>
            <w:r w:rsidRPr="00537112">
              <w:rPr>
                <w:rFonts w:cs="Verdana"/>
                <w:b/>
                <w:bCs/>
                <w:w w:val="99"/>
                <w:sz w:val="20"/>
                <w:szCs w:val="20"/>
              </w:rPr>
              <w:t>99</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1"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Ba</w:t>
            </w:r>
            <w:r w:rsidRPr="00537112">
              <w:rPr>
                <w:rFonts w:cs="Verdana"/>
                <w:spacing w:val="3"/>
                <w:sz w:val="20"/>
                <w:szCs w:val="20"/>
              </w:rPr>
              <w:t>l</w:t>
            </w:r>
            <w:r w:rsidRPr="00537112">
              <w:rPr>
                <w:rFonts w:cs="Verdana"/>
                <w:spacing w:val="1"/>
                <w:sz w:val="20"/>
                <w:szCs w:val="20"/>
              </w:rPr>
              <w:t>b</w:t>
            </w:r>
            <w:r w:rsidRPr="00537112">
              <w:rPr>
                <w:rFonts w:cs="Verdana"/>
                <w:spacing w:val="3"/>
                <w:sz w:val="20"/>
                <w:szCs w:val="20"/>
              </w:rPr>
              <w:t>i</w:t>
            </w:r>
            <w:r w:rsidRPr="00537112">
              <w:rPr>
                <w:rFonts w:cs="Verdana"/>
                <w:spacing w:val="1"/>
                <w:sz w:val="20"/>
                <w:szCs w:val="20"/>
              </w:rPr>
              <w:t>n</w:t>
            </w:r>
            <w:r w:rsidRPr="00537112">
              <w:rPr>
                <w:rFonts w:cs="Verdana"/>
                <w:sz w:val="20"/>
                <w:szCs w:val="20"/>
              </w:rPr>
              <w:t>o</w:t>
            </w:r>
            <w:r w:rsidRPr="00537112">
              <w:rPr>
                <w:rFonts w:cs="Verdana"/>
                <w:spacing w:val="-9"/>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07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08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án</w:t>
            </w:r>
            <w:r w:rsidRPr="00537112">
              <w:rPr>
                <w:rFonts w:cs="Verdana"/>
                <w:spacing w:val="-5"/>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tumú</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09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u</w:t>
            </w:r>
            <w:r w:rsidRPr="00537112">
              <w:rPr>
                <w:rFonts w:cs="Verdana"/>
                <w:spacing w:val="3"/>
                <w:position w:val="-1"/>
                <w:sz w:val="20"/>
                <w:szCs w:val="20"/>
              </w:rPr>
              <w:t>l</w:t>
            </w:r>
            <w:r w:rsidRPr="00537112">
              <w:rPr>
                <w:rFonts w:cs="Verdana"/>
                <w:spacing w:val="-1"/>
                <w:position w:val="-1"/>
                <w:sz w:val="20"/>
                <w:szCs w:val="20"/>
              </w:rPr>
              <w:t>o</w:t>
            </w:r>
            <w:r w:rsidRPr="00537112">
              <w:rPr>
                <w:rFonts w:cs="Verdana"/>
                <w:spacing w:val="1"/>
                <w:position w:val="-1"/>
                <w:sz w:val="20"/>
                <w:szCs w:val="20"/>
              </w:rPr>
              <w:t>g</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406"/>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69" w:line="240" w:lineRule="auto"/>
              <w:ind w:right="-20"/>
              <w:jc w:val="left"/>
              <w:textAlignment w:val="auto"/>
              <w:rPr>
                <w:rFonts w:ascii="Times New Roman" w:hAnsi="Times New Roman"/>
              </w:rPr>
            </w:pPr>
            <w:r w:rsidRPr="00537112">
              <w:rPr>
                <w:rFonts w:cs="Verdana"/>
                <w:sz w:val="20"/>
                <w:szCs w:val="20"/>
              </w:rPr>
              <w:t>5</w:t>
            </w:r>
            <w:r w:rsidRPr="00537112">
              <w:rPr>
                <w:rFonts w:cs="Verdana"/>
                <w:spacing w:val="1"/>
                <w:sz w:val="20"/>
                <w:szCs w:val="20"/>
              </w:rPr>
              <w:t>10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69" w:line="240" w:lineRule="auto"/>
              <w:ind w:right="-20"/>
              <w:jc w:val="left"/>
              <w:textAlignment w:val="auto"/>
              <w:rPr>
                <w:rFonts w:ascii="Times New Roman" w:hAnsi="Times New Roman"/>
              </w:rPr>
            </w:pPr>
            <w:r w:rsidRPr="00537112">
              <w:rPr>
                <w:rFonts w:cs="Verdana"/>
                <w:spacing w:val="-1"/>
                <w:sz w:val="20"/>
                <w:szCs w:val="20"/>
              </w:rPr>
              <w:t>L</w:t>
            </w:r>
            <w:r w:rsidRPr="00537112">
              <w:rPr>
                <w:rFonts w:cs="Verdana"/>
                <w:spacing w:val="1"/>
                <w:sz w:val="20"/>
                <w:szCs w:val="20"/>
              </w:rPr>
              <w:t>u</w:t>
            </w:r>
            <w:r w:rsidRPr="00537112">
              <w:rPr>
                <w:rFonts w:cs="Verdana"/>
                <w:spacing w:val="3"/>
                <w:sz w:val="20"/>
                <w:szCs w:val="20"/>
              </w:rPr>
              <w:t>i</w:t>
            </w:r>
            <w:r w:rsidRPr="00537112">
              <w:rPr>
                <w:rFonts w:cs="Verdana"/>
                <w:sz w:val="20"/>
                <w:szCs w:val="20"/>
              </w:rPr>
              <w:t>s</w:t>
            </w:r>
            <w:r w:rsidRPr="00537112">
              <w:rPr>
                <w:rFonts w:cs="Verdana"/>
                <w:spacing w:val="-5"/>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r w:rsidRPr="00537112">
              <w:rPr>
                <w:rFonts w:cs="Verdana"/>
                <w:spacing w:val="-6"/>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p>
        </w:tc>
      </w:tr>
      <w:tr w:rsidR="00537112" w:rsidRPr="00537112" w:rsidTr="00630EEC">
        <w:trPr>
          <w:trHeight w:hRule="exact" w:val="348"/>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100</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D</w:t>
            </w:r>
            <w:r w:rsidRPr="00537112">
              <w:rPr>
                <w:rFonts w:cs="Verdana"/>
                <w:spacing w:val="3"/>
                <w:sz w:val="20"/>
                <w:szCs w:val="20"/>
              </w:rPr>
              <w:t>i</w:t>
            </w:r>
            <w:r w:rsidRPr="00537112">
              <w:rPr>
                <w:rFonts w:cs="Verdana"/>
                <w:spacing w:val="-1"/>
                <w:sz w:val="20"/>
                <w:szCs w:val="20"/>
              </w:rPr>
              <w:t>o</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c</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40" w:line="240" w:lineRule="auto"/>
              <w:ind w:right="-20"/>
              <w:jc w:val="left"/>
              <w:textAlignment w:val="auto"/>
              <w:rPr>
                <w:rFonts w:ascii="Times New Roman" w:hAnsi="Times New Roman"/>
              </w:rPr>
            </w:pPr>
            <w:r w:rsidRPr="00537112">
              <w:rPr>
                <w:rFonts w:cs="Verdana"/>
                <w:sz w:val="20"/>
                <w:szCs w:val="20"/>
              </w:rPr>
              <w:t>5</w:t>
            </w:r>
            <w:r w:rsidRPr="00537112">
              <w:rPr>
                <w:rFonts w:cs="Verdana"/>
                <w:spacing w:val="1"/>
                <w:sz w:val="20"/>
                <w:szCs w:val="20"/>
              </w:rPr>
              <w:t>11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40" w:line="240" w:lineRule="auto"/>
              <w:ind w:right="-20"/>
              <w:jc w:val="left"/>
              <w:textAlignment w:val="auto"/>
              <w:rPr>
                <w:rFonts w:ascii="Times New Roman" w:hAnsi="Times New Roman"/>
              </w:rPr>
            </w:pPr>
            <w:r w:rsidRPr="00537112">
              <w:rPr>
                <w:rFonts w:cs="Verdana"/>
                <w:spacing w:val="-1"/>
                <w:sz w:val="20"/>
                <w:szCs w:val="20"/>
              </w:rPr>
              <w:t>E</w:t>
            </w:r>
            <w:r w:rsidRPr="00537112">
              <w:rPr>
                <w:rFonts w:cs="Verdana"/>
                <w:spacing w:val="1"/>
                <w:sz w:val="20"/>
                <w:szCs w:val="20"/>
              </w:rPr>
              <w:t>m</w:t>
            </w:r>
            <w:r w:rsidRPr="00537112">
              <w:rPr>
                <w:rFonts w:cs="Verdana"/>
                <w:spacing w:val="3"/>
                <w:sz w:val="20"/>
                <w:szCs w:val="20"/>
              </w:rPr>
              <w:t>ili</w:t>
            </w:r>
            <w:r w:rsidRPr="00537112">
              <w:rPr>
                <w:rFonts w:cs="Verdana"/>
                <w:sz w:val="20"/>
                <w:szCs w:val="20"/>
              </w:rPr>
              <w:t>a</w:t>
            </w:r>
            <w:r w:rsidRPr="00537112">
              <w:rPr>
                <w:rFonts w:cs="Verdana"/>
                <w:spacing w:val="1"/>
                <w:sz w:val="20"/>
                <w:szCs w:val="20"/>
              </w:rPr>
              <w:t>n</w:t>
            </w:r>
            <w:r w:rsidRPr="00537112">
              <w:rPr>
                <w:rFonts w:cs="Verdana"/>
                <w:sz w:val="20"/>
                <w:szCs w:val="20"/>
              </w:rPr>
              <w:t>a</w:t>
            </w:r>
            <w:r w:rsidRPr="00537112">
              <w:rPr>
                <w:rFonts w:cs="Verdana"/>
                <w:spacing w:val="-9"/>
                <w:sz w:val="20"/>
                <w:szCs w:val="20"/>
              </w:rPr>
              <w:t xml:space="preserve"> </w:t>
            </w:r>
            <w:r w:rsidRPr="00537112">
              <w:rPr>
                <w:rFonts w:cs="Verdana"/>
                <w:spacing w:val="-1"/>
                <w:sz w:val="20"/>
                <w:szCs w:val="20"/>
              </w:rPr>
              <w:t>Ló</w:t>
            </w:r>
            <w:r w:rsidRPr="00537112">
              <w:rPr>
                <w:rFonts w:cs="Verdana"/>
                <w:spacing w:val="1"/>
                <w:sz w:val="20"/>
                <w:szCs w:val="20"/>
              </w:rPr>
              <w:t>p</w:t>
            </w:r>
            <w:r w:rsidRPr="00537112">
              <w:rPr>
                <w:rFonts w:cs="Verdana"/>
                <w:spacing w:val="-1"/>
                <w:sz w:val="20"/>
                <w:szCs w:val="20"/>
              </w:rPr>
              <w:t>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p>
        </w:tc>
      </w:tr>
      <w:tr w:rsidR="00537112" w:rsidRPr="00537112" w:rsidTr="00630EEC">
        <w:trPr>
          <w:trHeight w:hRule="exact" w:val="334"/>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40"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40"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33" w:line="240" w:lineRule="auto"/>
              <w:ind w:right="-20"/>
              <w:jc w:val="left"/>
              <w:textAlignment w:val="auto"/>
              <w:rPr>
                <w:rFonts w:ascii="Times New Roman" w:hAnsi="Times New Roman"/>
              </w:rPr>
            </w:pPr>
            <w:r w:rsidRPr="00537112">
              <w:rPr>
                <w:rFonts w:cs="Verdana"/>
                <w:sz w:val="20"/>
                <w:szCs w:val="20"/>
              </w:rPr>
              <w:t>5</w:t>
            </w:r>
            <w:r w:rsidRPr="00537112">
              <w:rPr>
                <w:rFonts w:cs="Verdana"/>
                <w:spacing w:val="1"/>
                <w:sz w:val="20"/>
                <w:szCs w:val="20"/>
              </w:rPr>
              <w:t>12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33" w:line="240" w:lineRule="auto"/>
              <w:ind w:right="-20"/>
              <w:jc w:val="left"/>
              <w:textAlignment w:val="auto"/>
              <w:rPr>
                <w:rFonts w:ascii="Times New Roman" w:hAnsi="Times New Roman"/>
              </w:rPr>
            </w:pPr>
            <w:r w:rsidRPr="00537112">
              <w:rPr>
                <w:rFonts w:cs="Verdana"/>
                <w:spacing w:val="1"/>
                <w:sz w:val="20"/>
                <w:szCs w:val="20"/>
              </w:rPr>
              <w:t>Ju</w:t>
            </w:r>
            <w:r w:rsidRPr="00537112">
              <w:rPr>
                <w:rFonts w:cs="Verdana"/>
                <w:sz w:val="20"/>
                <w:szCs w:val="20"/>
              </w:rPr>
              <w:t>a</w:t>
            </w:r>
            <w:r w:rsidRPr="00537112">
              <w:rPr>
                <w:rFonts w:cs="Verdana"/>
                <w:spacing w:val="1"/>
                <w:sz w:val="20"/>
                <w:szCs w:val="20"/>
              </w:rPr>
              <w:t>n</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Ló</w:t>
            </w:r>
            <w:r w:rsidRPr="00537112">
              <w:rPr>
                <w:rFonts w:cs="Verdana"/>
                <w:spacing w:val="1"/>
                <w:sz w:val="20"/>
                <w:szCs w:val="20"/>
              </w:rPr>
              <w:t>p</w:t>
            </w:r>
            <w:r w:rsidRPr="00537112">
              <w:rPr>
                <w:rFonts w:cs="Verdana"/>
                <w:spacing w:val="-1"/>
                <w:sz w:val="20"/>
                <w:szCs w:val="20"/>
              </w:rPr>
              <w:t>e</w:t>
            </w:r>
            <w:r w:rsidRPr="00537112">
              <w:rPr>
                <w:rFonts w:cs="Verdana"/>
                <w:sz w:val="20"/>
                <w:szCs w:val="20"/>
              </w:rPr>
              <w:t>z</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pgSz w:w="12260" w:h="15840"/>
          <w:pgMar w:top="760" w:right="900" w:bottom="280" w:left="900" w:header="493" w:footer="0" w:gutter="0"/>
          <w:cols w:space="720"/>
          <w:noEndnote/>
        </w:sectPr>
      </w:pPr>
    </w:p>
    <w:p w:rsidR="00537112" w:rsidRPr="00537112" w:rsidRDefault="00537112" w:rsidP="00537112">
      <w:pPr>
        <w:autoSpaceDE w:val="0"/>
        <w:autoSpaceDN w:val="0"/>
        <w:spacing w:before="16" w:line="280" w:lineRule="exact"/>
        <w:jc w:val="left"/>
        <w:textAlignment w:val="auto"/>
        <w:rPr>
          <w:rFonts w:ascii="Times New Roman" w:hAnsi="Times New Roman"/>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772"/>
        <w:gridCol w:w="4496"/>
      </w:tblGrid>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101</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Ca</w:t>
            </w:r>
            <w:r w:rsidRPr="00537112">
              <w:rPr>
                <w:rFonts w:cs="Verdana"/>
                <w:spacing w:val="1"/>
                <w:sz w:val="20"/>
                <w:szCs w:val="20"/>
              </w:rPr>
              <w:t>t</w:t>
            </w:r>
            <w:r w:rsidRPr="00537112">
              <w:rPr>
                <w:rFonts w:cs="Verdana"/>
                <w:sz w:val="20"/>
                <w:szCs w:val="20"/>
              </w:rPr>
              <w:t>a</w:t>
            </w:r>
            <w:r w:rsidRPr="00537112">
              <w:rPr>
                <w:rFonts w:cs="Verdana"/>
                <w:spacing w:val="-1"/>
                <w:sz w:val="20"/>
                <w:szCs w:val="20"/>
              </w:rPr>
              <w:t>r</w:t>
            </w:r>
            <w:r w:rsidRPr="00537112">
              <w:rPr>
                <w:rFonts w:cs="Verdana"/>
                <w:spacing w:val="3"/>
                <w:sz w:val="20"/>
                <w:szCs w:val="20"/>
              </w:rPr>
              <w:t>i</w:t>
            </w:r>
            <w:r w:rsidRPr="00537112">
              <w:rPr>
                <w:rFonts w:cs="Verdana"/>
                <w:spacing w:val="1"/>
                <w:sz w:val="20"/>
                <w:szCs w:val="20"/>
              </w:rPr>
              <w:t>n</w:t>
            </w:r>
            <w:r w:rsidRPr="00537112">
              <w:rPr>
                <w:rFonts w:cs="Verdana"/>
                <w:sz w:val="20"/>
                <w:szCs w:val="20"/>
              </w:rPr>
              <w:t>o</w:t>
            </w:r>
            <w:r w:rsidRPr="00537112">
              <w:rPr>
                <w:rFonts w:cs="Verdana"/>
                <w:spacing w:val="-10"/>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13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nd</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De</w:t>
            </w:r>
            <w:r w:rsidRPr="00537112">
              <w:rPr>
                <w:rFonts w:cs="Verdana"/>
                <w:spacing w:val="-5"/>
                <w:position w:val="-1"/>
                <w:sz w:val="20"/>
                <w:szCs w:val="20"/>
              </w:rPr>
              <w:t xml:space="preserve"> </w:t>
            </w:r>
            <w:r w:rsidRPr="00537112">
              <w:rPr>
                <w:rFonts w:cs="Verdana"/>
                <w:position w:val="-1"/>
                <w:sz w:val="20"/>
                <w:szCs w:val="20"/>
              </w:rPr>
              <w:t>Paz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14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t</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15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c</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16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17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n</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102</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Ju</w:t>
            </w:r>
            <w:r w:rsidRPr="00537112">
              <w:rPr>
                <w:rFonts w:cs="Verdana"/>
                <w:spacing w:val="-1"/>
                <w:sz w:val="20"/>
                <w:szCs w:val="20"/>
              </w:rPr>
              <w:t>s</w:t>
            </w:r>
            <w:r w:rsidRPr="00537112">
              <w:rPr>
                <w:rFonts w:cs="Verdana"/>
                <w:spacing w:val="1"/>
                <w:sz w:val="20"/>
                <w:szCs w:val="20"/>
              </w:rPr>
              <w:t>t</w:t>
            </w:r>
            <w:r w:rsidRPr="00537112">
              <w:rPr>
                <w:rFonts w:cs="Verdana"/>
                <w:sz w:val="20"/>
                <w:szCs w:val="20"/>
              </w:rPr>
              <w:t>o</w:t>
            </w:r>
            <w:r w:rsidRPr="00537112">
              <w:rPr>
                <w:rFonts w:cs="Verdana"/>
                <w:spacing w:val="-7"/>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pacing w:val="-2"/>
                <w:sz w:val="20"/>
                <w:szCs w:val="20"/>
              </w:rPr>
              <w:t>I</w:t>
            </w:r>
            <w:r w:rsidRPr="00537112">
              <w:rPr>
                <w:rFonts w:cs="Verdana"/>
                <w:sz w:val="20"/>
                <w:szCs w:val="20"/>
              </w:rPr>
              <w:t>x</w:t>
            </w:r>
            <w:r w:rsidRPr="00537112">
              <w:rPr>
                <w:rFonts w:cs="Verdana"/>
                <w:spacing w:val="1"/>
                <w:sz w:val="20"/>
                <w:szCs w:val="20"/>
              </w:rPr>
              <w:t>p</w:t>
            </w:r>
            <w:r w:rsidRPr="00537112">
              <w:rPr>
                <w:rFonts w:cs="Verdana"/>
                <w:sz w:val="20"/>
                <w:szCs w:val="20"/>
              </w:rPr>
              <w:t>a</w:t>
            </w:r>
            <w:r w:rsidRPr="00537112">
              <w:rPr>
                <w:rFonts w:cs="Verdana"/>
                <w:spacing w:val="1"/>
                <w:sz w:val="20"/>
                <w:szCs w:val="20"/>
              </w:rPr>
              <w:t>t</w:t>
            </w:r>
            <w:r w:rsidRPr="00537112">
              <w:rPr>
                <w:rFonts w:cs="Verdana"/>
                <w:sz w:val="20"/>
                <w:szCs w:val="20"/>
              </w:rPr>
              <w:t>á</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18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lang w:val="pt-BR"/>
              </w:rPr>
            </w:pPr>
            <w:r w:rsidRPr="00537112">
              <w:rPr>
                <w:rFonts w:cs="Verdana"/>
                <w:spacing w:val="1"/>
                <w:position w:val="-1"/>
                <w:sz w:val="20"/>
                <w:szCs w:val="20"/>
                <w:lang w:val="pt-BR"/>
              </w:rPr>
              <w:t>F</w:t>
            </w:r>
            <w:r w:rsidRPr="00537112">
              <w:rPr>
                <w:rFonts w:cs="Verdana"/>
                <w:spacing w:val="-1"/>
                <w:position w:val="-1"/>
                <w:sz w:val="20"/>
                <w:szCs w:val="20"/>
                <w:lang w:val="pt-BR"/>
              </w:rPr>
              <w:t>e</w:t>
            </w:r>
            <w:r w:rsidRPr="00537112">
              <w:rPr>
                <w:rFonts w:cs="Verdana"/>
                <w:spacing w:val="3"/>
                <w:position w:val="-1"/>
                <w:sz w:val="20"/>
                <w:szCs w:val="20"/>
                <w:lang w:val="pt-BR"/>
              </w:rPr>
              <w:t>li</w:t>
            </w:r>
            <w:r w:rsidRPr="00537112">
              <w:rPr>
                <w:rFonts w:cs="Verdana"/>
                <w:spacing w:val="1"/>
                <w:position w:val="-1"/>
                <w:sz w:val="20"/>
                <w:szCs w:val="20"/>
                <w:lang w:val="pt-BR"/>
              </w:rPr>
              <w:t>p</w:t>
            </w:r>
            <w:r w:rsidRPr="00537112">
              <w:rPr>
                <w:rFonts w:cs="Verdana"/>
                <w:position w:val="-1"/>
                <w:sz w:val="20"/>
                <w:szCs w:val="20"/>
                <w:lang w:val="pt-BR"/>
              </w:rPr>
              <w:t>a</w:t>
            </w:r>
            <w:r w:rsidRPr="00537112">
              <w:rPr>
                <w:rFonts w:cs="Verdana"/>
                <w:spacing w:val="-6"/>
                <w:position w:val="-1"/>
                <w:sz w:val="20"/>
                <w:szCs w:val="20"/>
                <w:lang w:val="pt-BR"/>
              </w:rPr>
              <w:t xml:space="preserve"> </w:t>
            </w:r>
            <w:r w:rsidRPr="00537112">
              <w:rPr>
                <w:rFonts w:cs="Verdana"/>
                <w:spacing w:val="1"/>
                <w:position w:val="-1"/>
                <w:sz w:val="20"/>
                <w:szCs w:val="20"/>
                <w:lang w:val="pt-BR"/>
              </w:rPr>
              <w:t>Ju</w:t>
            </w:r>
            <w:r w:rsidRPr="00537112">
              <w:rPr>
                <w:rFonts w:cs="Verdana"/>
                <w:position w:val="-1"/>
                <w:sz w:val="20"/>
                <w:szCs w:val="20"/>
                <w:lang w:val="pt-BR"/>
              </w:rPr>
              <w:t>a</w:t>
            </w:r>
            <w:r w:rsidRPr="00537112">
              <w:rPr>
                <w:rFonts w:cs="Verdana"/>
                <w:spacing w:val="-1"/>
                <w:position w:val="-1"/>
                <w:sz w:val="20"/>
                <w:szCs w:val="20"/>
                <w:lang w:val="pt-BR"/>
              </w:rPr>
              <w:t>re</w:t>
            </w:r>
            <w:r w:rsidRPr="00537112">
              <w:rPr>
                <w:rFonts w:cs="Verdana"/>
                <w:position w:val="-1"/>
                <w:sz w:val="20"/>
                <w:szCs w:val="20"/>
                <w:lang w:val="pt-BR"/>
              </w:rPr>
              <w:t>z</w:t>
            </w:r>
            <w:r w:rsidRPr="00537112">
              <w:rPr>
                <w:rFonts w:cs="Verdana"/>
                <w:spacing w:val="-6"/>
                <w:position w:val="-1"/>
                <w:sz w:val="20"/>
                <w:szCs w:val="20"/>
                <w:lang w:val="pt-BR"/>
              </w:rPr>
              <w:t xml:space="preserve"> </w:t>
            </w:r>
            <w:r w:rsidRPr="00537112">
              <w:rPr>
                <w:rFonts w:cs="Verdana"/>
                <w:spacing w:val="-1"/>
                <w:position w:val="-1"/>
                <w:sz w:val="20"/>
                <w:szCs w:val="20"/>
                <w:lang w:val="pt-BR"/>
              </w:rPr>
              <w:t>Lo</w:t>
            </w:r>
            <w:r w:rsidRPr="00537112">
              <w:rPr>
                <w:rFonts w:cs="Verdana"/>
                <w:spacing w:val="1"/>
                <w:position w:val="-1"/>
                <w:sz w:val="20"/>
                <w:szCs w:val="20"/>
                <w:lang w:val="pt-BR"/>
              </w:rPr>
              <w:t>p</w:t>
            </w:r>
            <w:r w:rsidRPr="00537112">
              <w:rPr>
                <w:rFonts w:cs="Verdana"/>
                <w:spacing w:val="-1"/>
                <w:position w:val="-1"/>
                <w:sz w:val="20"/>
                <w:szCs w:val="20"/>
                <w:lang w:val="pt-BR"/>
              </w:rPr>
              <w:t>e</w:t>
            </w:r>
            <w:r w:rsidRPr="00537112">
              <w:rPr>
                <w:rFonts w:cs="Verdana"/>
                <w:position w:val="-1"/>
                <w:sz w:val="20"/>
                <w:szCs w:val="20"/>
                <w:lang w:val="pt-BR"/>
              </w:rPr>
              <w:t>z</w:t>
            </w:r>
            <w:r w:rsidRPr="00537112">
              <w:rPr>
                <w:rFonts w:cs="Verdana"/>
                <w:spacing w:val="-6"/>
                <w:position w:val="-1"/>
                <w:sz w:val="20"/>
                <w:szCs w:val="20"/>
                <w:lang w:val="pt-BR"/>
              </w:rPr>
              <w:t xml:space="preserve"> </w:t>
            </w:r>
            <w:r w:rsidRPr="00537112">
              <w:rPr>
                <w:rFonts w:cs="Verdana"/>
                <w:spacing w:val="1"/>
                <w:position w:val="-1"/>
                <w:sz w:val="20"/>
                <w:szCs w:val="20"/>
                <w:lang w:val="pt-BR"/>
              </w:rPr>
              <w:t>d</w:t>
            </w:r>
            <w:r w:rsidRPr="00537112">
              <w:rPr>
                <w:rFonts w:cs="Verdana"/>
                <w:position w:val="-1"/>
                <w:sz w:val="20"/>
                <w:szCs w:val="20"/>
                <w:lang w:val="pt-BR"/>
              </w:rPr>
              <w:t>e</w:t>
            </w:r>
            <w:r w:rsidRPr="00537112">
              <w:rPr>
                <w:rFonts w:cs="Verdana"/>
                <w:spacing w:val="-4"/>
                <w:position w:val="-1"/>
                <w:sz w:val="20"/>
                <w:szCs w:val="20"/>
                <w:lang w:val="pt-BR"/>
              </w:rPr>
              <w:t xml:space="preserve"> </w:t>
            </w:r>
            <w:r w:rsidRPr="00537112">
              <w:rPr>
                <w:rFonts w:cs="Verdana"/>
                <w:position w:val="-1"/>
                <w:sz w:val="20"/>
                <w:szCs w:val="20"/>
                <w:lang w:val="pt-BR"/>
              </w:rPr>
              <w:t>Ma</w:t>
            </w:r>
            <w:r w:rsidRPr="00537112">
              <w:rPr>
                <w:rFonts w:cs="Verdana"/>
                <w:spacing w:val="1"/>
                <w:position w:val="-1"/>
                <w:sz w:val="20"/>
                <w:szCs w:val="20"/>
                <w:lang w:val="pt-BR"/>
              </w:rPr>
              <w:t>nu</w:t>
            </w:r>
            <w:r w:rsidRPr="00537112">
              <w:rPr>
                <w:rFonts w:cs="Verdana"/>
                <w:spacing w:val="-1"/>
                <w:position w:val="-1"/>
                <w:sz w:val="20"/>
                <w:szCs w:val="20"/>
                <w:lang w:val="pt-BR"/>
              </w:rPr>
              <w:t>e</w:t>
            </w:r>
            <w:r w:rsidRPr="00537112">
              <w:rPr>
                <w:rFonts w:cs="Verdana"/>
                <w:position w:val="-1"/>
                <w:sz w:val="20"/>
                <w:szCs w:val="20"/>
                <w:lang w:val="pt-BR"/>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lang w:val="pt-BR"/>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lang w:val="pt-BR"/>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19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eres</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20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21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position w:val="-1"/>
                <w:sz w:val="20"/>
                <w:szCs w:val="20"/>
              </w:rPr>
              <w:t>o</w:t>
            </w:r>
            <w:r w:rsidRPr="00537112">
              <w:rPr>
                <w:rFonts w:cs="Verdana"/>
                <w:spacing w:val="-8"/>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22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osef</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103</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T</w:t>
            </w:r>
            <w:r w:rsidRPr="00537112">
              <w:rPr>
                <w:rFonts w:cs="Verdana"/>
                <w:spacing w:val="-1"/>
                <w:sz w:val="20"/>
                <w:szCs w:val="20"/>
              </w:rPr>
              <w:t>o</w:t>
            </w:r>
            <w:r w:rsidRPr="00537112">
              <w:rPr>
                <w:rFonts w:cs="Verdana"/>
                <w:spacing w:val="1"/>
                <w:sz w:val="20"/>
                <w:szCs w:val="20"/>
              </w:rPr>
              <w:t>m</w:t>
            </w:r>
            <w:r w:rsidRPr="00537112">
              <w:rPr>
                <w:rFonts w:cs="Verdana"/>
                <w:sz w:val="20"/>
                <w:szCs w:val="20"/>
              </w:rPr>
              <w:t>as</w:t>
            </w:r>
            <w:r w:rsidRPr="00537112">
              <w:rPr>
                <w:rFonts w:cs="Verdana"/>
                <w:spacing w:val="-8"/>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r w:rsidRPr="00537112">
              <w:rPr>
                <w:rFonts w:cs="Verdana"/>
                <w:spacing w:val="-6"/>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23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24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as</w:t>
            </w:r>
            <w:r w:rsidRPr="00537112">
              <w:rPr>
                <w:rFonts w:cs="Verdana"/>
                <w:spacing w:val="-8"/>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25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spacing w:val="-1"/>
                <w:position w:val="-1"/>
                <w:sz w:val="20"/>
                <w:szCs w:val="20"/>
              </w:rPr>
              <w:t>se</w:t>
            </w:r>
            <w:r w:rsidRPr="00537112">
              <w:rPr>
                <w:rFonts w:cs="Verdana"/>
                <w:spacing w:val="3"/>
                <w:position w:val="-1"/>
                <w:sz w:val="20"/>
                <w:szCs w:val="20"/>
              </w:rPr>
              <w:t>l</w:t>
            </w:r>
            <w:r w:rsidRPr="00537112">
              <w:rPr>
                <w:rFonts w:cs="Verdana"/>
                <w:spacing w:val="1"/>
                <w:position w:val="-1"/>
                <w:sz w:val="20"/>
                <w:szCs w:val="20"/>
              </w:rPr>
              <w:t>m</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3"/>
                <w:position w:val="-1"/>
                <w:sz w:val="20"/>
                <w:szCs w:val="20"/>
              </w:rPr>
              <w:t>l</w:t>
            </w:r>
            <w:r w:rsidRPr="00537112">
              <w:rPr>
                <w:rFonts w:cs="Verdana"/>
                <w:position w:val="-1"/>
                <w:sz w:val="20"/>
                <w:szCs w:val="20"/>
              </w:rPr>
              <w:t>a</w:t>
            </w:r>
            <w:r w:rsidRPr="00537112">
              <w:rPr>
                <w:rFonts w:cs="Verdana"/>
                <w:spacing w:val="-2"/>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ú</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26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position w:val="-1"/>
                <w:sz w:val="20"/>
                <w:szCs w:val="20"/>
              </w:rPr>
              <w:t>a</w:t>
            </w:r>
            <w:r w:rsidRPr="00537112">
              <w:rPr>
                <w:rFonts w:cs="Verdana"/>
                <w:spacing w:val="1"/>
                <w:position w:val="-1"/>
                <w:sz w:val="20"/>
                <w:szCs w:val="20"/>
              </w:rPr>
              <w:t>u</w:t>
            </w:r>
            <w:r w:rsidRPr="00537112">
              <w:rPr>
                <w:rFonts w:cs="Verdana"/>
                <w:spacing w:val="-1"/>
                <w:position w:val="-1"/>
                <w:sz w:val="20"/>
                <w:szCs w:val="20"/>
              </w:rPr>
              <w:t>s</w:t>
            </w:r>
            <w:r w:rsidRPr="00537112">
              <w:rPr>
                <w:rFonts w:cs="Verdana"/>
                <w:spacing w:val="1"/>
                <w:position w:val="-1"/>
                <w:sz w:val="20"/>
                <w:szCs w:val="20"/>
              </w:rPr>
              <w:t>t</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E</w:t>
            </w:r>
            <w:r w:rsidRPr="00537112">
              <w:rPr>
                <w:rFonts w:cs="Verdana"/>
                <w:spacing w:val="1"/>
                <w:position w:val="-1"/>
                <w:sz w:val="20"/>
                <w:szCs w:val="20"/>
              </w:rPr>
              <w:t>du</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4"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104</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4"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L</w:t>
            </w:r>
            <w:r w:rsidRPr="00537112">
              <w:rPr>
                <w:rFonts w:cs="Verdana"/>
                <w:spacing w:val="1"/>
                <w:sz w:val="20"/>
                <w:szCs w:val="20"/>
              </w:rPr>
              <w:t>u</w:t>
            </w:r>
            <w:r w:rsidRPr="00537112">
              <w:rPr>
                <w:rFonts w:cs="Verdana"/>
                <w:spacing w:val="3"/>
                <w:sz w:val="20"/>
                <w:szCs w:val="20"/>
              </w:rPr>
              <w:t>i</w:t>
            </w:r>
            <w:r w:rsidRPr="00537112">
              <w:rPr>
                <w:rFonts w:cs="Verdana"/>
                <w:sz w:val="20"/>
                <w:szCs w:val="20"/>
              </w:rPr>
              <w:t>s</w:t>
            </w:r>
            <w:r w:rsidRPr="00537112">
              <w:rPr>
                <w:rFonts w:cs="Verdana"/>
                <w:spacing w:val="-5"/>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r w:rsidRPr="00537112">
              <w:rPr>
                <w:rFonts w:cs="Verdana"/>
                <w:spacing w:val="-6"/>
                <w:sz w:val="20"/>
                <w:szCs w:val="20"/>
              </w:rPr>
              <w:t xml:space="preserve"> </w:t>
            </w:r>
            <w:r w:rsidRPr="00537112">
              <w:rPr>
                <w:rFonts w:cs="Verdana"/>
                <w:sz w:val="20"/>
                <w:szCs w:val="20"/>
              </w:rPr>
              <w:t>C</w:t>
            </w:r>
            <w:r w:rsidRPr="00537112">
              <w:rPr>
                <w:rFonts w:cs="Verdana"/>
                <w:spacing w:val="3"/>
                <w:sz w:val="20"/>
                <w:szCs w:val="20"/>
              </w:rPr>
              <w:t>i</w:t>
            </w:r>
            <w:r w:rsidRPr="00537112">
              <w:rPr>
                <w:rFonts w:cs="Verdana"/>
                <w:spacing w:val="1"/>
                <w:sz w:val="20"/>
                <w:szCs w:val="20"/>
              </w:rPr>
              <w:t>p</w:t>
            </w:r>
            <w:r w:rsidRPr="00537112">
              <w:rPr>
                <w:rFonts w:cs="Verdana"/>
                <w:spacing w:val="-1"/>
                <w:sz w:val="20"/>
                <w:szCs w:val="20"/>
              </w:rPr>
              <w:t>r</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27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t</w:t>
            </w:r>
            <w:r w:rsidRPr="00537112">
              <w:rPr>
                <w:rFonts w:cs="Verdana"/>
                <w:spacing w:val="-1"/>
                <w:position w:val="-1"/>
                <w:sz w:val="20"/>
                <w:szCs w:val="20"/>
              </w:rPr>
              <w:t>roc</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Ca</w:t>
            </w:r>
            <w:r w:rsidRPr="00537112">
              <w:rPr>
                <w:rFonts w:cs="Verdana"/>
                <w:spacing w:val="1"/>
                <w:position w:val="-1"/>
                <w:sz w:val="20"/>
                <w:szCs w:val="20"/>
              </w:rPr>
              <w:t>m</w:t>
            </w:r>
            <w:r w:rsidRPr="00537112">
              <w:rPr>
                <w:rFonts w:cs="Verdana"/>
                <w:position w:val="-1"/>
                <w:sz w:val="20"/>
                <w:szCs w:val="20"/>
              </w:rPr>
              <w:t>ó</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28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í</w:t>
            </w:r>
            <w:r w:rsidRPr="00537112">
              <w:rPr>
                <w:rFonts w:cs="Verdana"/>
                <w:position w:val="-1"/>
                <w:sz w:val="20"/>
                <w:szCs w:val="20"/>
              </w:rPr>
              <w:t>n</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391"/>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62" w:line="240" w:lineRule="auto"/>
              <w:ind w:right="-20"/>
              <w:jc w:val="left"/>
              <w:textAlignment w:val="auto"/>
              <w:rPr>
                <w:rFonts w:ascii="Times New Roman" w:hAnsi="Times New Roman"/>
              </w:rPr>
            </w:pPr>
            <w:r w:rsidRPr="00537112">
              <w:rPr>
                <w:rFonts w:cs="Verdana"/>
                <w:sz w:val="20"/>
                <w:szCs w:val="20"/>
              </w:rPr>
              <w:t>5</w:t>
            </w:r>
            <w:r w:rsidRPr="00537112">
              <w:rPr>
                <w:rFonts w:cs="Verdana"/>
                <w:spacing w:val="1"/>
                <w:sz w:val="20"/>
                <w:szCs w:val="20"/>
              </w:rPr>
              <w:t>29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62" w:line="240" w:lineRule="auto"/>
              <w:ind w:right="-20"/>
              <w:jc w:val="left"/>
              <w:textAlignment w:val="auto"/>
              <w:rPr>
                <w:rFonts w:ascii="Times New Roman" w:hAnsi="Times New Roman"/>
              </w:rPr>
            </w:pPr>
            <w:r w:rsidRPr="00537112">
              <w:rPr>
                <w:rFonts w:cs="Verdana"/>
                <w:sz w:val="20"/>
                <w:szCs w:val="20"/>
              </w:rPr>
              <w:t>T</w:t>
            </w:r>
            <w:r w:rsidRPr="00537112">
              <w:rPr>
                <w:rFonts w:cs="Verdana"/>
                <w:spacing w:val="-1"/>
                <w:sz w:val="20"/>
                <w:szCs w:val="20"/>
              </w:rPr>
              <w:t>e</w:t>
            </w:r>
            <w:r w:rsidRPr="00537112">
              <w:rPr>
                <w:rFonts w:cs="Verdana"/>
                <w:spacing w:val="3"/>
                <w:sz w:val="20"/>
                <w:szCs w:val="20"/>
              </w:rPr>
              <w:t>l</w:t>
            </w:r>
            <w:r w:rsidRPr="00537112">
              <w:rPr>
                <w:rFonts w:cs="Verdana"/>
                <w:spacing w:val="1"/>
                <w:sz w:val="20"/>
                <w:szCs w:val="20"/>
              </w:rPr>
              <w:t>m</w:t>
            </w:r>
            <w:r w:rsidRPr="00537112">
              <w:rPr>
                <w:rFonts w:cs="Verdana"/>
                <w:sz w:val="20"/>
                <w:szCs w:val="20"/>
              </w:rPr>
              <w:t>a</w:t>
            </w:r>
            <w:r w:rsidRPr="00537112">
              <w:rPr>
                <w:rFonts w:cs="Verdana"/>
                <w:spacing w:val="-6"/>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r w:rsidRPr="00537112">
              <w:rPr>
                <w:rFonts w:cs="Verdana"/>
                <w:spacing w:val="-6"/>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p>
        </w:tc>
      </w:tr>
      <w:tr w:rsidR="00537112" w:rsidRPr="00537112" w:rsidTr="00630EEC">
        <w:trPr>
          <w:trHeight w:hRule="exact" w:val="610"/>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62"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62"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2" w:line="170" w:lineRule="exact"/>
              <w:jc w:val="left"/>
              <w:textAlignment w:val="auto"/>
              <w:rPr>
                <w:rFonts w:ascii="Times New Roman" w:hAnsi="Times New Roman"/>
                <w:sz w:val="17"/>
                <w:szCs w:val="17"/>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5</w:t>
            </w:r>
            <w:r w:rsidRPr="00537112">
              <w:rPr>
                <w:rFonts w:cs="Verdana"/>
                <w:spacing w:val="1"/>
                <w:sz w:val="20"/>
                <w:szCs w:val="20"/>
              </w:rPr>
              <w:t>30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70" w:lineRule="exact"/>
              <w:jc w:val="left"/>
              <w:textAlignment w:val="auto"/>
              <w:rPr>
                <w:rFonts w:ascii="Times New Roman" w:hAnsi="Times New Roman"/>
                <w:sz w:val="17"/>
                <w:szCs w:val="17"/>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os</w:t>
            </w:r>
            <w:r w:rsidRPr="00537112">
              <w:rPr>
                <w:rFonts w:cs="Verdana"/>
                <w:sz w:val="20"/>
                <w:szCs w:val="20"/>
              </w:rPr>
              <w:t>é</w:t>
            </w:r>
            <w:r w:rsidRPr="00537112">
              <w:rPr>
                <w:rFonts w:cs="Verdana"/>
                <w:spacing w:val="-6"/>
                <w:sz w:val="20"/>
                <w:szCs w:val="20"/>
              </w:rPr>
              <w:t xml:space="preserve"> </w:t>
            </w:r>
            <w:r w:rsidRPr="00537112">
              <w:rPr>
                <w:rFonts w:cs="Verdana"/>
                <w:sz w:val="20"/>
                <w:szCs w:val="20"/>
              </w:rPr>
              <w:t>Ma</w:t>
            </w:r>
            <w:r w:rsidRPr="00537112">
              <w:rPr>
                <w:rFonts w:cs="Verdana"/>
                <w:spacing w:val="-1"/>
                <w:sz w:val="20"/>
                <w:szCs w:val="20"/>
              </w:rPr>
              <w:t>r</w:t>
            </w:r>
            <w:r w:rsidRPr="00537112">
              <w:rPr>
                <w:rFonts w:cs="Verdana"/>
                <w:spacing w:val="3"/>
                <w:sz w:val="20"/>
                <w:szCs w:val="20"/>
              </w:rPr>
              <w:t>i</w:t>
            </w:r>
            <w:r w:rsidRPr="00537112">
              <w:rPr>
                <w:rFonts w:cs="Verdana"/>
                <w:sz w:val="20"/>
                <w:szCs w:val="20"/>
              </w:rPr>
              <w:t>o</w:t>
            </w:r>
            <w:r w:rsidRPr="00537112">
              <w:rPr>
                <w:rFonts w:cs="Verdana"/>
                <w:spacing w:val="-7"/>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r w:rsidRPr="00537112">
              <w:rPr>
                <w:rFonts w:cs="Verdana"/>
                <w:spacing w:val="-6"/>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60" w:lineRule="exact"/>
              <w:jc w:val="left"/>
              <w:textAlignment w:val="auto"/>
              <w:rPr>
                <w:rFonts w:ascii="Times New Roman" w:hAnsi="Times New Roman"/>
                <w:sz w:val="16"/>
                <w:szCs w:val="16"/>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105</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 w:line="160" w:lineRule="exact"/>
              <w:jc w:val="left"/>
              <w:textAlignment w:val="auto"/>
              <w:rPr>
                <w:rFonts w:ascii="Times New Roman" w:hAnsi="Times New Roman"/>
                <w:sz w:val="16"/>
                <w:szCs w:val="16"/>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B</w:t>
            </w:r>
            <w:r w:rsidRPr="00537112">
              <w:rPr>
                <w:rFonts w:cs="Verdana"/>
                <w:spacing w:val="-1"/>
                <w:sz w:val="20"/>
                <w:szCs w:val="20"/>
              </w:rPr>
              <w:t>er</w:t>
            </w:r>
            <w:r w:rsidRPr="00537112">
              <w:rPr>
                <w:rFonts w:cs="Verdana"/>
                <w:spacing w:val="1"/>
                <w:sz w:val="20"/>
                <w:szCs w:val="20"/>
              </w:rPr>
              <w:t>n</w:t>
            </w:r>
            <w:r w:rsidRPr="00537112">
              <w:rPr>
                <w:rFonts w:cs="Verdana"/>
                <w:sz w:val="20"/>
                <w:szCs w:val="20"/>
              </w:rPr>
              <w:t>a</w:t>
            </w:r>
            <w:r w:rsidRPr="00537112">
              <w:rPr>
                <w:rFonts w:cs="Verdana"/>
                <w:spacing w:val="-1"/>
                <w:sz w:val="20"/>
                <w:szCs w:val="20"/>
              </w:rPr>
              <w:t>r</w:t>
            </w:r>
            <w:r w:rsidRPr="00537112">
              <w:rPr>
                <w:rFonts w:cs="Verdana"/>
                <w:spacing w:val="1"/>
                <w:sz w:val="20"/>
                <w:szCs w:val="20"/>
              </w:rPr>
              <w:t>d</w:t>
            </w:r>
            <w:r w:rsidRPr="00537112">
              <w:rPr>
                <w:rFonts w:cs="Verdana"/>
                <w:spacing w:val="3"/>
                <w:sz w:val="20"/>
                <w:szCs w:val="20"/>
              </w:rPr>
              <w:t>i</w:t>
            </w:r>
            <w:r w:rsidRPr="00537112">
              <w:rPr>
                <w:rFonts w:cs="Verdana"/>
                <w:spacing w:val="1"/>
                <w:sz w:val="20"/>
                <w:szCs w:val="20"/>
              </w:rPr>
              <w:t>n</w:t>
            </w:r>
            <w:r w:rsidRPr="00537112">
              <w:rPr>
                <w:rFonts w:cs="Verdana"/>
                <w:sz w:val="20"/>
                <w:szCs w:val="20"/>
              </w:rPr>
              <w:t>o</w:t>
            </w:r>
            <w:r w:rsidRPr="00537112">
              <w:rPr>
                <w:rFonts w:cs="Verdana"/>
                <w:spacing w:val="-13"/>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31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o</w:t>
            </w:r>
            <w:r w:rsidRPr="00537112">
              <w:rPr>
                <w:rFonts w:cs="Verdana"/>
                <w:spacing w:val="-13"/>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32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s</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as</w:t>
            </w:r>
            <w:r w:rsidRPr="00537112">
              <w:rPr>
                <w:rFonts w:cs="Verdana"/>
                <w:spacing w:val="-7"/>
                <w:position w:val="-1"/>
                <w:sz w:val="20"/>
                <w:szCs w:val="20"/>
              </w:rPr>
              <w:t xml:space="preserve"> </w:t>
            </w:r>
            <w:r w:rsidRPr="00537112">
              <w:rPr>
                <w:rFonts w:cs="Verdana"/>
                <w:spacing w:val="-1"/>
                <w:position w:val="-1"/>
                <w:sz w:val="20"/>
                <w:szCs w:val="20"/>
              </w:rPr>
              <w:t>O</w:t>
            </w:r>
            <w:r w:rsidRPr="00537112">
              <w:rPr>
                <w:rFonts w:cs="Verdana"/>
                <w:spacing w:val="1"/>
                <w:position w:val="-1"/>
                <w:sz w:val="20"/>
                <w:szCs w:val="20"/>
              </w:rPr>
              <w:t>j</w:t>
            </w:r>
            <w:r w:rsidRPr="00537112">
              <w:rPr>
                <w:rFonts w:cs="Verdana"/>
                <w:spacing w:val="-1"/>
                <w:position w:val="-1"/>
                <w:sz w:val="20"/>
                <w:szCs w:val="20"/>
              </w:rPr>
              <w:t>ó</w:t>
            </w:r>
            <w:r w:rsidRPr="00537112">
              <w:rPr>
                <w:rFonts w:cs="Verdana"/>
                <w:position w:val="-1"/>
                <w:sz w:val="20"/>
                <w:szCs w:val="20"/>
              </w:rPr>
              <w:t>m</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33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34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35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3"/>
                <w:position w:val="-1"/>
                <w:sz w:val="20"/>
                <w:szCs w:val="20"/>
              </w:rPr>
              <w:t>l</w:t>
            </w:r>
            <w:r w:rsidRPr="00537112">
              <w:rPr>
                <w:rFonts w:cs="Verdana"/>
                <w:position w:val="-1"/>
                <w:sz w:val="20"/>
                <w:szCs w:val="20"/>
              </w:rPr>
              <w:t>a</w:t>
            </w:r>
            <w:r w:rsidRPr="00537112">
              <w:rPr>
                <w:rFonts w:cs="Verdana"/>
                <w:spacing w:val="-2"/>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í</w:t>
            </w:r>
            <w:r w:rsidRPr="00537112">
              <w:rPr>
                <w:rFonts w:cs="Verdana"/>
                <w:position w:val="-1"/>
                <w:sz w:val="20"/>
                <w:szCs w:val="20"/>
              </w:rPr>
              <w:t>as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36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osef</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b</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í</w:t>
            </w:r>
            <w:r w:rsidRPr="00537112">
              <w:rPr>
                <w:rFonts w:cs="Verdana"/>
                <w:position w:val="-1"/>
                <w:sz w:val="20"/>
                <w:szCs w:val="20"/>
              </w:rPr>
              <w:t>as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37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í</w:t>
            </w:r>
            <w:r w:rsidRPr="00537112">
              <w:rPr>
                <w:rFonts w:cs="Verdana"/>
                <w:position w:val="-1"/>
                <w:sz w:val="20"/>
                <w:szCs w:val="20"/>
              </w:rPr>
              <w:t>as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38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í</w:t>
            </w:r>
            <w:r w:rsidRPr="00537112">
              <w:rPr>
                <w:rFonts w:cs="Verdana"/>
                <w:position w:val="-1"/>
                <w:sz w:val="20"/>
                <w:szCs w:val="20"/>
              </w:rPr>
              <w:t>as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39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í</w:t>
            </w:r>
            <w:r w:rsidRPr="00537112">
              <w:rPr>
                <w:rFonts w:cs="Verdana"/>
                <w:position w:val="-1"/>
                <w:sz w:val="20"/>
                <w:szCs w:val="20"/>
              </w:rPr>
              <w:t>as</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106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F</w:t>
            </w:r>
            <w:r w:rsidRPr="00537112">
              <w:rPr>
                <w:rFonts w:cs="Verdana"/>
                <w:spacing w:val="-1"/>
                <w:sz w:val="20"/>
                <w:szCs w:val="20"/>
              </w:rPr>
              <w:t>r</w:t>
            </w:r>
            <w:r w:rsidRPr="00537112">
              <w:rPr>
                <w:rFonts w:cs="Verdana"/>
                <w:sz w:val="20"/>
                <w:szCs w:val="20"/>
              </w:rPr>
              <w:t>a</w:t>
            </w:r>
            <w:r w:rsidRPr="00537112">
              <w:rPr>
                <w:rFonts w:cs="Verdana"/>
                <w:spacing w:val="1"/>
                <w:sz w:val="20"/>
                <w:szCs w:val="20"/>
              </w:rPr>
              <w:t>n</w:t>
            </w:r>
            <w:r w:rsidRPr="00537112">
              <w:rPr>
                <w:rFonts w:cs="Verdana"/>
                <w:spacing w:val="-1"/>
                <w:sz w:val="20"/>
                <w:szCs w:val="20"/>
              </w:rPr>
              <w:t>c</w:t>
            </w:r>
            <w:r w:rsidRPr="00537112">
              <w:rPr>
                <w:rFonts w:cs="Verdana"/>
                <w:spacing w:val="3"/>
                <w:sz w:val="20"/>
                <w:szCs w:val="20"/>
              </w:rPr>
              <w:t>i</w:t>
            </w:r>
            <w:r w:rsidRPr="00537112">
              <w:rPr>
                <w:rFonts w:cs="Verdana"/>
                <w:spacing w:val="-1"/>
                <w:sz w:val="20"/>
                <w:szCs w:val="20"/>
              </w:rPr>
              <w:t>sc</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z w:val="20"/>
                <w:szCs w:val="20"/>
              </w:rPr>
              <w:t>C</w:t>
            </w:r>
            <w:r w:rsidRPr="00537112">
              <w:rPr>
                <w:rFonts w:cs="Verdana"/>
                <w:spacing w:val="1"/>
                <w:sz w:val="20"/>
                <w:szCs w:val="20"/>
              </w:rPr>
              <w:t>u</w:t>
            </w:r>
            <w:r w:rsidRPr="00537112">
              <w:rPr>
                <w:rFonts w:cs="Verdana"/>
                <w:sz w:val="20"/>
                <w:szCs w:val="20"/>
              </w:rPr>
              <w:t>x</w:t>
            </w:r>
            <w:r w:rsidRPr="00537112">
              <w:rPr>
                <w:rFonts w:cs="Verdana"/>
                <w:spacing w:val="1"/>
                <w:sz w:val="20"/>
                <w:szCs w:val="20"/>
              </w:rPr>
              <w:t>ú</w:t>
            </w:r>
            <w:r w:rsidRPr="00537112">
              <w:rPr>
                <w:rFonts w:cs="Verdana"/>
                <w:sz w:val="20"/>
                <w:szCs w:val="20"/>
              </w:rPr>
              <w:t>m</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40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io</w:t>
            </w:r>
          </w:p>
        </w:tc>
      </w:tr>
      <w:tr w:rsidR="00537112" w:rsidRPr="00537112" w:rsidTr="00630EEC">
        <w:trPr>
          <w:trHeight w:hRule="exact" w:val="305"/>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z w:val="20"/>
                <w:szCs w:val="20"/>
              </w:rPr>
              <w:t>5</w:t>
            </w:r>
            <w:r w:rsidRPr="00537112">
              <w:rPr>
                <w:rFonts w:cs="Verdana"/>
                <w:spacing w:val="1"/>
                <w:sz w:val="20"/>
                <w:szCs w:val="20"/>
              </w:rPr>
              <w:t>41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osef</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S</w:t>
            </w:r>
            <w:r w:rsidRPr="00537112">
              <w:rPr>
                <w:rFonts w:cs="Verdana"/>
                <w:spacing w:val="3"/>
                <w:sz w:val="20"/>
                <w:szCs w:val="20"/>
              </w:rPr>
              <w:t>í</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S</w:t>
            </w:r>
            <w:r w:rsidRPr="00537112">
              <w:rPr>
                <w:rFonts w:cs="Verdana"/>
                <w:spacing w:val="3"/>
                <w:sz w:val="20"/>
                <w:szCs w:val="20"/>
              </w:rPr>
              <w:t>í</w:t>
            </w:r>
            <w:r w:rsidRPr="00537112">
              <w:rPr>
                <w:rFonts w:cs="Verdana"/>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42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position w:val="-1"/>
                <w:sz w:val="20"/>
                <w:szCs w:val="20"/>
              </w:rPr>
              <w:t>a</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43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44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45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w:t>
            </w:r>
            <w:r w:rsidRPr="00537112">
              <w:rPr>
                <w:rFonts w:cs="Verdana"/>
                <w:spacing w:val="3"/>
                <w:position w:val="-1"/>
                <w:sz w:val="20"/>
                <w:szCs w:val="20"/>
              </w:rPr>
              <w:t>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107</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F</w:t>
            </w:r>
            <w:r w:rsidRPr="00537112">
              <w:rPr>
                <w:rFonts w:cs="Verdana"/>
                <w:spacing w:val="-1"/>
                <w:sz w:val="20"/>
                <w:szCs w:val="20"/>
              </w:rPr>
              <w:t>é</w:t>
            </w:r>
            <w:r w:rsidRPr="00537112">
              <w:rPr>
                <w:rFonts w:cs="Verdana"/>
                <w:spacing w:val="3"/>
                <w:sz w:val="20"/>
                <w:szCs w:val="20"/>
              </w:rPr>
              <w:t>li</w:t>
            </w:r>
            <w:r w:rsidRPr="00537112">
              <w:rPr>
                <w:rFonts w:cs="Verdana"/>
                <w:sz w:val="20"/>
                <w:szCs w:val="20"/>
              </w:rPr>
              <w:t>x</w:t>
            </w:r>
            <w:r w:rsidRPr="00537112">
              <w:rPr>
                <w:rFonts w:cs="Verdana"/>
                <w:spacing w:val="-6"/>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r w:rsidRPr="00537112">
              <w:rPr>
                <w:rFonts w:cs="Verdana"/>
                <w:spacing w:val="-6"/>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46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t</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47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w:t>
            </w:r>
            <w:r w:rsidRPr="00537112">
              <w:rPr>
                <w:rFonts w:cs="Verdana"/>
                <w:spacing w:val="3"/>
                <w:position w:val="-1"/>
                <w:sz w:val="20"/>
                <w:szCs w:val="20"/>
              </w:rPr>
              <w:t>li</w:t>
            </w:r>
            <w:r w:rsidRPr="00537112">
              <w:rPr>
                <w:rFonts w:cs="Verdana"/>
                <w:position w:val="-1"/>
                <w:sz w:val="20"/>
                <w:szCs w:val="20"/>
              </w:rPr>
              <w:t>x</w:t>
            </w:r>
            <w:r w:rsidRPr="00537112">
              <w:rPr>
                <w:rFonts w:cs="Verdana"/>
                <w:spacing w:val="-6"/>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48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49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fo</w:t>
            </w:r>
            <w:r w:rsidRPr="00537112">
              <w:rPr>
                <w:rFonts w:cs="Verdana"/>
                <w:spacing w:val="1"/>
                <w:position w:val="-1"/>
                <w:sz w:val="20"/>
                <w:szCs w:val="20"/>
              </w:rPr>
              <w:t>n</w:t>
            </w:r>
            <w:r w:rsidRPr="00537112">
              <w:rPr>
                <w:rFonts w:cs="Verdana"/>
                <w:spacing w:val="-1"/>
                <w:position w:val="-1"/>
                <w:sz w:val="20"/>
                <w:szCs w:val="20"/>
              </w:rPr>
              <w:t>s</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50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g</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51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gu</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Ang</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108</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spacing w:val="-1"/>
                <w:position w:val="-1"/>
                <w:sz w:val="20"/>
                <w:szCs w:val="20"/>
              </w:rPr>
              <w:t>s</w:t>
            </w:r>
            <w:r w:rsidRPr="00537112">
              <w:rPr>
                <w:rFonts w:cs="Verdana"/>
                <w:spacing w:val="1"/>
                <w:position w:val="-1"/>
                <w:sz w:val="20"/>
                <w:szCs w:val="20"/>
              </w:rPr>
              <w:t>t</w:t>
            </w:r>
            <w:r w:rsidRPr="00537112">
              <w:rPr>
                <w:rFonts w:cs="Verdana"/>
                <w:position w:val="-1"/>
                <w:sz w:val="20"/>
                <w:szCs w:val="20"/>
              </w:rPr>
              <w:t>o</w:t>
            </w:r>
            <w:r w:rsidRPr="00537112">
              <w:rPr>
                <w:rFonts w:cs="Verdana"/>
                <w:spacing w:val="-7"/>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z</w:t>
            </w:r>
            <w:r w:rsidRPr="00537112">
              <w:rPr>
                <w:rFonts w:cs="Verdana"/>
                <w:position w:val="-1"/>
                <w:sz w:val="20"/>
                <w:szCs w:val="20"/>
              </w:rPr>
              <w:t>a</w:t>
            </w:r>
            <w:r w:rsidRPr="00537112">
              <w:rPr>
                <w:rFonts w:cs="Verdana"/>
                <w:spacing w:val="1"/>
                <w:position w:val="-1"/>
                <w:sz w:val="20"/>
                <w:szCs w:val="20"/>
              </w:rPr>
              <w:t>gu</w:t>
            </w:r>
            <w:r w:rsidRPr="00537112">
              <w:rPr>
                <w:rFonts w:cs="Verdana"/>
                <w:spacing w:val="3"/>
                <w:position w:val="-1"/>
                <w:sz w:val="20"/>
                <w:szCs w:val="20"/>
              </w:rPr>
              <w:t>i</w:t>
            </w:r>
            <w:r w:rsidRPr="00537112">
              <w:rPr>
                <w:rFonts w:cs="Verdana"/>
                <w:spacing w:val="-1"/>
                <w:position w:val="-1"/>
                <w:sz w:val="20"/>
                <w:szCs w:val="20"/>
              </w:rPr>
              <w:t>rr</w:t>
            </w:r>
            <w:r w:rsidRPr="00537112">
              <w:rPr>
                <w:rFonts w:cs="Verdana"/>
                <w:position w:val="-1"/>
                <w:sz w:val="20"/>
                <w:szCs w:val="20"/>
              </w:rPr>
              <w:t>e</w:t>
            </w:r>
            <w:r w:rsidRPr="00537112">
              <w:rPr>
                <w:rFonts w:cs="Verdana"/>
                <w:spacing w:val="-11"/>
                <w:position w:val="-1"/>
                <w:sz w:val="20"/>
                <w:szCs w:val="20"/>
              </w:rPr>
              <w:t xml:space="preserve"> </w:t>
            </w:r>
            <w:r w:rsidRPr="00537112">
              <w:rPr>
                <w:rFonts w:cs="Verdana"/>
                <w:spacing w:val="1"/>
                <w:position w:val="-1"/>
                <w:sz w:val="20"/>
                <w:szCs w:val="20"/>
              </w:rPr>
              <w:t>V</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t</w:t>
            </w:r>
            <w:r w:rsidRPr="00537112">
              <w:rPr>
                <w:rFonts w:cs="Verdana"/>
                <w:spacing w:val="-1"/>
                <w:position w:val="-1"/>
                <w:sz w:val="20"/>
                <w:szCs w:val="20"/>
              </w:rPr>
              <w:t>r</w:t>
            </w:r>
            <w:r w:rsidRPr="00537112">
              <w:rPr>
                <w:rFonts w:cs="Verdana"/>
                <w:position w:val="-1"/>
                <w:sz w:val="20"/>
                <w:szCs w:val="20"/>
              </w:rPr>
              <w:t>án</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52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z w:val="20"/>
                <w:szCs w:val="20"/>
              </w:rPr>
              <w:t>D</w:t>
            </w:r>
            <w:r w:rsidRPr="00537112">
              <w:rPr>
                <w:rFonts w:cs="Verdana"/>
                <w:spacing w:val="-1"/>
                <w:sz w:val="20"/>
                <w:szCs w:val="20"/>
              </w:rPr>
              <w:t>o</w:t>
            </w:r>
            <w:r w:rsidRPr="00537112">
              <w:rPr>
                <w:rFonts w:cs="Verdana"/>
                <w:spacing w:val="1"/>
                <w:sz w:val="20"/>
                <w:szCs w:val="20"/>
              </w:rPr>
              <w:t>m</w:t>
            </w:r>
            <w:r w:rsidRPr="00537112">
              <w:rPr>
                <w:rFonts w:cs="Verdana"/>
                <w:spacing w:val="3"/>
                <w:sz w:val="20"/>
                <w:szCs w:val="20"/>
              </w:rPr>
              <w:t>i</w:t>
            </w:r>
            <w:r w:rsidRPr="00537112">
              <w:rPr>
                <w:rFonts w:cs="Verdana"/>
                <w:spacing w:val="1"/>
                <w:sz w:val="20"/>
                <w:szCs w:val="20"/>
              </w:rPr>
              <w:t>ng</w:t>
            </w:r>
            <w:r w:rsidRPr="00537112">
              <w:rPr>
                <w:rFonts w:cs="Verdana"/>
                <w:sz w:val="20"/>
                <w:szCs w:val="20"/>
              </w:rPr>
              <w:t>a</w:t>
            </w:r>
            <w:r w:rsidRPr="00537112">
              <w:rPr>
                <w:rFonts w:cs="Verdana"/>
                <w:spacing w:val="-9"/>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3"/>
                <w:sz w:val="20"/>
                <w:szCs w:val="20"/>
              </w:rPr>
              <w:t>i</w:t>
            </w:r>
            <w:r w:rsidRPr="00537112">
              <w:rPr>
                <w:rFonts w:cs="Verdana"/>
                <w:spacing w:val="1"/>
                <w:sz w:val="20"/>
                <w:szCs w:val="20"/>
              </w:rPr>
              <w:t>n</w:t>
            </w:r>
            <w:r w:rsidRPr="00537112">
              <w:rPr>
                <w:rFonts w:cs="Verdana"/>
                <w:spacing w:val="-1"/>
                <w:sz w:val="20"/>
                <w:szCs w:val="20"/>
              </w:rPr>
              <w:t>c</w:t>
            </w:r>
            <w:r w:rsidRPr="00537112">
              <w:rPr>
                <w:rFonts w:cs="Verdana"/>
                <w:spacing w:val="1"/>
                <w:sz w:val="20"/>
                <w:szCs w:val="20"/>
              </w:rPr>
              <w:t>h</w:t>
            </w:r>
            <w:r w:rsidRPr="00537112">
              <w:rPr>
                <w:rFonts w:cs="Verdana"/>
                <w:spacing w:val="3"/>
                <w:sz w:val="20"/>
                <w:szCs w:val="20"/>
              </w:rPr>
              <w:t>ill</w:t>
            </w:r>
            <w:r w:rsidRPr="00537112">
              <w:rPr>
                <w:rFonts w:cs="Verdana"/>
                <w:sz w:val="20"/>
                <w:szCs w:val="20"/>
              </w:rPr>
              <w:t>a</w:t>
            </w:r>
            <w:r w:rsidRPr="00537112">
              <w:rPr>
                <w:rFonts w:cs="Verdana"/>
                <w:spacing w:val="-10"/>
                <w:sz w:val="20"/>
                <w:szCs w:val="20"/>
              </w:rPr>
              <w:t xml:space="preserve"> </w:t>
            </w:r>
            <w:r w:rsidRPr="00537112">
              <w:rPr>
                <w:rFonts w:cs="Verdana"/>
                <w:sz w:val="20"/>
                <w:szCs w:val="20"/>
              </w:rPr>
              <w:t>Pa</w:t>
            </w:r>
            <w:r w:rsidRPr="00537112">
              <w:rPr>
                <w:rFonts w:cs="Verdana"/>
                <w:spacing w:val="-1"/>
                <w:sz w:val="20"/>
                <w:szCs w:val="20"/>
              </w:rPr>
              <w:t>re</w:t>
            </w:r>
            <w:r w:rsidRPr="00537112">
              <w:rPr>
                <w:rFonts w:cs="Verdana"/>
                <w:spacing w:val="1"/>
                <w:sz w:val="20"/>
                <w:szCs w:val="20"/>
              </w:rPr>
              <w:t>d</w:t>
            </w:r>
            <w:r w:rsidRPr="00537112">
              <w:rPr>
                <w:rFonts w:cs="Verdana"/>
                <w:spacing w:val="-1"/>
                <w:sz w:val="20"/>
                <w:szCs w:val="20"/>
              </w:rPr>
              <w:t>e</w:t>
            </w:r>
            <w:r w:rsidRPr="00537112">
              <w:rPr>
                <w:rFonts w:cs="Verdana"/>
                <w:sz w:val="20"/>
                <w:szCs w:val="20"/>
              </w:rPr>
              <w:t>s</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109</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T</w:t>
            </w:r>
            <w:r w:rsidRPr="00537112">
              <w:rPr>
                <w:rFonts w:cs="Verdana"/>
                <w:spacing w:val="-1"/>
                <w:sz w:val="20"/>
                <w:szCs w:val="20"/>
              </w:rPr>
              <w:t>or</w:t>
            </w:r>
            <w:r w:rsidRPr="00537112">
              <w:rPr>
                <w:rFonts w:cs="Verdana"/>
                <w:spacing w:val="3"/>
                <w:sz w:val="20"/>
                <w:szCs w:val="20"/>
              </w:rPr>
              <w:t>i</w:t>
            </w:r>
            <w:r w:rsidRPr="00537112">
              <w:rPr>
                <w:rFonts w:cs="Verdana"/>
                <w:spacing w:val="1"/>
                <w:sz w:val="20"/>
                <w:szCs w:val="20"/>
              </w:rPr>
              <w:t>b</w:t>
            </w:r>
            <w:r w:rsidRPr="00537112">
              <w:rPr>
                <w:rFonts w:cs="Verdana"/>
                <w:spacing w:val="3"/>
                <w:sz w:val="20"/>
                <w:szCs w:val="20"/>
              </w:rPr>
              <w:t>i</w:t>
            </w:r>
            <w:r w:rsidRPr="00537112">
              <w:rPr>
                <w:rFonts w:cs="Verdana"/>
                <w:sz w:val="20"/>
                <w:szCs w:val="20"/>
              </w:rPr>
              <w:t>o</w:t>
            </w:r>
            <w:r w:rsidRPr="00537112">
              <w:rPr>
                <w:rFonts w:cs="Verdana"/>
                <w:spacing w:val="-9"/>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53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J</w:t>
            </w:r>
            <w:r w:rsidRPr="00537112">
              <w:rPr>
                <w:rFonts w:cs="Verdana"/>
                <w:spacing w:val="-1"/>
                <w:position w:val="-1"/>
                <w:sz w:val="20"/>
                <w:szCs w:val="20"/>
              </w:rPr>
              <w:t>es</w:t>
            </w:r>
            <w:r w:rsidRPr="00537112">
              <w:rPr>
                <w:rFonts w:cs="Verdana"/>
                <w:spacing w:val="1"/>
                <w:position w:val="-1"/>
                <w:sz w:val="20"/>
                <w:szCs w:val="20"/>
              </w:rPr>
              <w:t>u</w:t>
            </w:r>
            <w:r w:rsidRPr="00537112">
              <w:rPr>
                <w:rFonts w:cs="Verdana"/>
                <w:position w:val="-1"/>
                <w:sz w:val="20"/>
                <w:szCs w:val="20"/>
              </w:rPr>
              <w:t>s</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as</w:t>
            </w:r>
            <w:r w:rsidRPr="00537112">
              <w:rPr>
                <w:rFonts w:cs="Verdana"/>
                <w:spacing w:val="-7"/>
                <w:position w:val="-1"/>
                <w:sz w:val="20"/>
                <w:szCs w:val="20"/>
              </w:rPr>
              <w:t xml:space="preserve"> </w:t>
            </w:r>
            <w:r w:rsidRPr="00537112">
              <w:rPr>
                <w:rFonts w:cs="Verdana"/>
                <w:spacing w:val="-1"/>
                <w:position w:val="-1"/>
                <w:sz w:val="20"/>
                <w:szCs w:val="20"/>
              </w:rPr>
              <w:t>O</w:t>
            </w:r>
            <w:r w:rsidRPr="00537112">
              <w:rPr>
                <w:rFonts w:cs="Verdana"/>
                <w:spacing w:val="1"/>
                <w:position w:val="-1"/>
                <w:sz w:val="20"/>
                <w:szCs w:val="20"/>
              </w:rPr>
              <w:t>j</w:t>
            </w:r>
            <w:r w:rsidRPr="00537112">
              <w:rPr>
                <w:rFonts w:cs="Verdana"/>
                <w:spacing w:val="-1"/>
                <w:position w:val="-1"/>
                <w:sz w:val="20"/>
                <w:szCs w:val="20"/>
              </w:rPr>
              <w:t>ó</w:t>
            </w:r>
            <w:r w:rsidRPr="00537112">
              <w:rPr>
                <w:rFonts w:cs="Verdana"/>
                <w:position w:val="-1"/>
                <w:sz w:val="20"/>
                <w:szCs w:val="20"/>
              </w:rPr>
              <w:t>m</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54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Max</w:t>
            </w:r>
            <w:r w:rsidRPr="00537112">
              <w:rPr>
                <w:rFonts w:cs="Verdana"/>
                <w:spacing w:val="3"/>
                <w:position w:val="-1"/>
                <w:sz w:val="20"/>
                <w:szCs w:val="20"/>
              </w:rPr>
              <w:t>i</w:t>
            </w:r>
            <w:r w:rsidRPr="00537112">
              <w:rPr>
                <w:rFonts w:cs="Verdana"/>
                <w:spacing w:val="1"/>
                <w:position w:val="-1"/>
                <w:sz w:val="20"/>
                <w:szCs w:val="20"/>
              </w:rPr>
              <w:t>m</w:t>
            </w:r>
            <w:r w:rsidRPr="00537112">
              <w:rPr>
                <w:rFonts w:cs="Verdana"/>
                <w:spacing w:val="3"/>
                <w:position w:val="-1"/>
                <w:sz w:val="20"/>
                <w:szCs w:val="20"/>
              </w:rPr>
              <w:t>ili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r w:rsidRPr="00537112">
              <w:rPr>
                <w:rFonts w:cs="Verdana"/>
                <w:spacing w:val="-1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55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Her</w:t>
            </w:r>
            <w:r w:rsidRPr="00537112">
              <w:rPr>
                <w:rFonts w:cs="Verdana"/>
                <w:spacing w:val="3"/>
                <w:position w:val="-1"/>
                <w:sz w:val="20"/>
                <w:szCs w:val="20"/>
              </w:rPr>
              <w:t>li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56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as</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110</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w:t>
            </w:r>
            <w:r w:rsidRPr="00537112">
              <w:rPr>
                <w:rFonts w:cs="Verdana"/>
                <w:spacing w:val="3"/>
                <w:sz w:val="20"/>
                <w:szCs w:val="20"/>
              </w:rPr>
              <w:t>i</w:t>
            </w:r>
            <w:r w:rsidRPr="00537112">
              <w:rPr>
                <w:rFonts w:cs="Verdana"/>
                <w:spacing w:val="1"/>
                <w:sz w:val="20"/>
                <w:szCs w:val="20"/>
              </w:rPr>
              <w:t>gu</w:t>
            </w:r>
            <w:r w:rsidRPr="00537112">
              <w:rPr>
                <w:rFonts w:cs="Verdana"/>
                <w:spacing w:val="-1"/>
                <w:sz w:val="20"/>
                <w:szCs w:val="20"/>
              </w:rPr>
              <w:t>e</w:t>
            </w:r>
            <w:r w:rsidRPr="00537112">
              <w:rPr>
                <w:rFonts w:cs="Verdana"/>
                <w:sz w:val="20"/>
                <w:szCs w:val="20"/>
              </w:rPr>
              <w:t>l</w:t>
            </w:r>
            <w:r w:rsidRPr="00537112">
              <w:rPr>
                <w:rFonts w:cs="Verdana"/>
                <w:spacing w:val="-4"/>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Osor</w:t>
            </w:r>
            <w:r w:rsidRPr="00537112">
              <w:rPr>
                <w:rFonts w:cs="Verdana"/>
                <w:spacing w:val="3"/>
                <w:sz w:val="20"/>
                <w:szCs w:val="20"/>
              </w:rPr>
              <w:t>io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57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tumú</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58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gu</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59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d</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60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Am</w:t>
            </w:r>
            <w:r w:rsidRPr="00537112">
              <w:rPr>
                <w:rFonts w:cs="Verdana"/>
                <w:position w:val="-1"/>
                <w:sz w:val="20"/>
                <w:szCs w:val="20"/>
              </w:rPr>
              <w:t>a</w:t>
            </w:r>
            <w:r w:rsidRPr="00537112">
              <w:rPr>
                <w:rFonts w:cs="Verdana"/>
                <w:spacing w:val="3"/>
                <w:position w:val="-1"/>
                <w:sz w:val="20"/>
                <w:szCs w:val="20"/>
              </w:rPr>
              <w:t>li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val="restart"/>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40" w:lineRule="auto"/>
              <w:jc w:val="left"/>
              <w:textAlignment w:val="auto"/>
              <w:rPr>
                <w:rFonts w:ascii="Times New Roman" w:hAnsi="Times New Roman"/>
              </w:rPr>
            </w:pPr>
          </w:p>
        </w:tc>
        <w:tc>
          <w:tcPr>
            <w:tcW w:w="3958" w:type="dxa"/>
            <w:vMerge w:val="restart"/>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40" w:lineRule="auto"/>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61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ng</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d</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gu</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62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3"/>
                <w:position w:val="-1"/>
                <w:sz w:val="20"/>
                <w:szCs w:val="20"/>
              </w:rPr>
              <w:t>i</w:t>
            </w:r>
            <w:r w:rsidRPr="00537112">
              <w:rPr>
                <w:rFonts w:cs="Verdana"/>
                <w:spacing w:val="-1"/>
                <w:position w:val="-1"/>
                <w:sz w:val="20"/>
                <w:szCs w:val="20"/>
              </w:rPr>
              <w:t>e</w:t>
            </w:r>
            <w:r w:rsidRPr="00537112">
              <w:rPr>
                <w:rFonts w:cs="Verdana"/>
                <w:spacing w:val="1"/>
                <w:position w:val="-1"/>
                <w:sz w:val="20"/>
                <w:szCs w:val="20"/>
              </w:rPr>
              <w:t>d</w:t>
            </w:r>
            <w:r w:rsidRPr="00537112">
              <w:rPr>
                <w:rFonts w:cs="Verdana"/>
                <w:position w:val="-1"/>
                <w:sz w:val="20"/>
                <w:szCs w:val="20"/>
              </w:rPr>
              <w:t>ad</w:t>
            </w:r>
            <w:r w:rsidRPr="00537112">
              <w:rPr>
                <w:rFonts w:cs="Verdana"/>
                <w:spacing w:val="-7"/>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63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64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Agu</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pgSz w:w="12260" w:h="15840"/>
          <w:pgMar w:top="760" w:right="900" w:bottom="280" w:left="900" w:header="493" w:footer="0" w:gutter="0"/>
          <w:cols w:space="720"/>
          <w:noEndnote/>
        </w:sectPr>
      </w:pPr>
    </w:p>
    <w:p w:rsidR="00537112" w:rsidRPr="00537112" w:rsidRDefault="00537112" w:rsidP="00537112">
      <w:pPr>
        <w:autoSpaceDE w:val="0"/>
        <w:autoSpaceDN w:val="0"/>
        <w:spacing w:before="16" w:line="280" w:lineRule="exact"/>
        <w:jc w:val="left"/>
        <w:textAlignment w:val="auto"/>
        <w:rPr>
          <w:rFonts w:ascii="Times New Roman" w:hAnsi="Times New Roman"/>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772"/>
        <w:gridCol w:w="4496"/>
      </w:tblGrid>
      <w:tr w:rsidR="00537112" w:rsidRPr="00537112" w:rsidTr="00630EEC">
        <w:trPr>
          <w:trHeight w:hRule="exact" w:val="247"/>
        </w:trPr>
        <w:tc>
          <w:tcPr>
            <w:tcW w:w="977" w:type="dxa"/>
            <w:vMerge w:val="restart"/>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34" w:lineRule="exact"/>
              <w:ind w:right="-20"/>
              <w:jc w:val="left"/>
              <w:textAlignment w:val="auto"/>
              <w:rPr>
                <w:rFonts w:ascii="Times New Roman" w:hAnsi="Times New Roman"/>
              </w:rPr>
            </w:pPr>
            <w:r w:rsidRPr="00537112">
              <w:rPr>
                <w:rFonts w:cs="Verdana"/>
                <w:b/>
                <w:bCs/>
                <w:sz w:val="20"/>
                <w:szCs w:val="20"/>
              </w:rPr>
              <w:t>111</w:t>
            </w:r>
          </w:p>
        </w:tc>
        <w:tc>
          <w:tcPr>
            <w:tcW w:w="3958" w:type="dxa"/>
            <w:vMerge w:val="restart"/>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34" w:lineRule="exact"/>
              <w:ind w:right="-20"/>
              <w:jc w:val="left"/>
              <w:textAlignment w:val="auto"/>
              <w:rPr>
                <w:rFonts w:ascii="Times New Roman" w:hAnsi="Times New Roman"/>
              </w:rPr>
            </w:pPr>
            <w:r w:rsidRPr="00537112">
              <w:rPr>
                <w:rFonts w:cs="Verdana"/>
                <w:sz w:val="20"/>
                <w:szCs w:val="20"/>
              </w:rPr>
              <w:t>P</w:t>
            </w:r>
            <w:r w:rsidRPr="00537112">
              <w:rPr>
                <w:rFonts w:cs="Verdana"/>
                <w:spacing w:val="-1"/>
                <w:sz w:val="20"/>
                <w:szCs w:val="20"/>
              </w:rPr>
              <w:t>e</w:t>
            </w:r>
            <w:r w:rsidRPr="00537112">
              <w:rPr>
                <w:rFonts w:cs="Verdana"/>
                <w:spacing w:val="1"/>
                <w:sz w:val="20"/>
                <w:szCs w:val="20"/>
              </w:rPr>
              <w:t>d</w:t>
            </w:r>
            <w:r w:rsidRPr="00537112">
              <w:rPr>
                <w:rFonts w:cs="Verdana"/>
                <w:spacing w:val="-1"/>
                <w:sz w:val="20"/>
                <w:szCs w:val="20"/>
              </w:rPr>
              <w:t>r</w:t>
            </w:r>
            <w:r w:rsidRPr="00537112">
              <w:rPr>
                <w:rFonts w:cs="Verdana"/>
                <w:sz w:val="20"/>
                <w:szCs w:val="20"/>
              </w:rPr>
              <w:t>o</w:t>
            </w:r>
            <w:r w:rsidRPr="00537112">
              <w:rPr>
                <w:rFonts w:cs="Verdana"/>
                <w:spacing w:val="-8"/>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r w:rsidRPr="00537112">
              <w:rPr>
                <w:rFonts w:cs="Verdana"/>
                <w:spacing w:val="-6"/>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65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eres</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66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He</w:t>
            </w:r>
            <w:r w:rsidRPr="00537112">
              <w:rPr>
                <w:rFonts w:cs="Verdana"/>
                <w:spacing w:val="3"/>
                <w:position w:val="-1"/>
                <w:sz w:val="20"/>
                <w:szCs w:val="20"/>
              </w:rPr>
              <w:t>l</w:t>
            </w:r>
            <w:r w:rsidRPr="00537112">
              <w:rPr>
                <w:rFonts w:cs="Verdana"/>
                <w:spacing w:val="-1"/>
                <w:position w:val="-1"/>
                <w:sz w:val="20"/>
                <w:szCs w:val="20"/>
              </w:rPr>
              <w:t>c</w:t>
            </w:r>
            <w:r w:rsidRPr="00537112">
              <w:rPr>
                <w:rFonts w:cs="Verdana"/>
                <w:spacing w:val="3"/>
                <w:position w:val="-1"/>
                <w:sz w:val="20"/>
                <w:szCs w:val="20"/>
              </w:rPr>
              <w:t>ili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67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spacing w:val="-1"/>
                <w:position w:val="-1"/>
                <w:sz w:val="20"/>
                <w:szCs w:val="20"/>
              </w:rPr>
              <w:t>o</w:t>
            </w:r>
            <w:r w:rsidRPr="00537112">
              <w:rPr>
                <w:rFonts w:cs="Verdana"/>
                <w:position w:val="-1"/>
                <w:sz w:val="20"/>
                <w:szCs w:val="20"/>
              </w:rPr>
              <w:t>s</w:t>
            </w:r>
            <w:r w:rsidRPr="00537112">
              <w:rPr>
                <w:rFonts w:cs="Verdana"/>
                <w:spacing w:val="-8"/>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68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69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es</w:t>
            </w:r>
            <w:r w:rsidRPr="00537112">
              <w:rPr>
                <w:rFonts w:cs="Verdana"/>
                <w:spacing w:val="1"/>
                <w:position w:val="-1"/>
                <w:sz w:val="20"/>
                <w:szCs w:val="20"/>
              </w:rPr>
              <w:t>u</w:t>
            </w:r>
            <w:r w:rsidRPr="00537112">
              <w:rPr>
                <w:rFonts w:cs="Verdana"/>
                <w:position w:val="-1"/>
                <w:sz w:val="20"/>
                <w:szCs w:val="20"/>
              </w:rPr>
              <w:t>s</w:t>
            </w:r>
            <w:r w:rsidRPr="00537112">
              <w:rPr>
                <w:rFonts w:cs="Verdana"/>
                <w:spacing w:val="-6"/>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112</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B</w:t>
            </w:r>
            <w:r w:rsidRPr="00537112">
              <w:rPr>
                <w:rFonts w:cs="Verdana"/>
                <w:spacing w:val="1"/>
                <w:sz w:val="20"/>
                <w:szCs w:val="20"/>
              </w:rPr>
              <w:t>u</w:t>
            </w:r>
            <w:r w:rsidRPr="00537112">
              <w:rPr>
                <w:rFonts w:cs="Verdana"/>
                <w:spacing w:val="-1"/>
                <w:sz w:val="20"/>
                <w:szCs w:val="20"/>
              </w:rPr>
              <w:t>e</w:t>
            </w:r>
            <w:r w:rsidRPr="00537112">
              <w:rPr>
                <w:rFonts w:cs="Verdana"/>
                <w:spacing w:val="1"/>
                <w:sz w:val="20"/>
                <w:szCs w:val="20"/>
              </w:rPr>
              <w:t>n</w:t>
            </w:r>
            <w:r w:rsidRPr="00537112">
              <w:rPr>
                <w:rFonts w:cs="Verdana"/>
                <w:sz w:val="20"/>
                <w:szCs w:val="20"/>
              </w:rPr>
              <w:t>av</w:t>
            </w:r>
            <w:r w:rsidRPr="00537112">
              <w:rPr>
                <w:rFonts w:cs="Verdana"/>
                <w:spacing w:val="-1"/>
                <w:sz w:val="20"/>
                <w:szCs w:val="20"/>
              </w:rPr>
              <w:t>e</w:t>
            </w:r>
            <w:r w:rsidRPr="00537112">
              <w:rPr>
                <w:rFonts w:cs="Verdana"/>
                <w:spacing w:val="1"/>
                <w:sz w:val="20"/>
                <w:szCs w:val="20"/>
              </w:rPr>
              <w:t>ntu</w:t>
            </w:r>
            <w:r w:rsidRPr="00537112">
              <w:rPr>
                <w:rFonts w:cs="Verdana"/>
                <w:spacing w:val="-1"/>
                <w:sz w:val="20"/>
                <w:szCs w:val="20"/>
              </w:rPr>
              <w:t>r</w:t>
            </w:r>
            <w:r w:rsidRPr="00537112">
              <w:rPr>
                <w:rFonts w:cs="Verdana"/>
                <w:sz w:val="20"/>
                <w:szCs w:val="20"/>
              </w:rPr>
              <w:t>a</w:t>
            </w:r>
            <w:r w:rsidRPr="00537112">
              <w:rPr>
                <w:rFonts w:cs="Verdana"/>
                <w:spacing w:val="-14"/>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r w:rsidRPr="00537112">
              <w:rPr>
                <w:rFonts w:cs="Verdana"/>
                <w:spacing w:val="-5"/>
                <w:sz w:val="20"/>
                <w:szCs w:val="20"/>
              </w:rPr>
              <w:t xml:space="preserve"> </w:t>
            </w:r>
            <w:r w:rsidRPr="00537112">
              <w:rPr>
                <w:rFonts w:cs="Verdana"/>
                <w:sz w:val="20"/>
                <w:szCs w:val="20"/>
              </w:rPr>
              <w:t>Ba</w:t>
            </w:r>
            <w:r w:rsidRPr="00537112">
              <w:rPr>
                <w:rFonts w:cs="Verdana"/>
                <w:spacing w:val="-1"/>
                <w:sz w:val="20"/>
                <w:szCs w:val="20"/>
              </w:rPr>
              <w:t>c</w:t>
            </w:r>
            <w:r w:rsidRPr="00537112">
              <w:rPr>
                <w:rFonts w:cs="Verdana"/>
                <w:spacing w:val="1"/>
                <w:sz w:val="20"/>
                <w:szCs w:val="20"/>
              </w:rPr>
              <w:t>h</w:t>
            </w:r>
            <w:r w:rsidRPr="00537112">
              <w:rPr>
                <w:rFonts w:cs="Verdana"/>
                <w:sz w:val="20"/>
                <w:szCs w:val="20"/>
              </w:rPr>
              <w:t>án</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70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J</w:t>
            </w:r>
            <w:r w:rsidRPr="00537112">
              <w:rPr>
                <w:rFonts w:cs="Verdana"/>
                <w:spacing w:val="-1"/>
                <w:position w:val="-1"/>
                <w:sz w:val="20"/>
                <w:szCs w:val="20"/>
              </w:rPr>
              <w:t>osef</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71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u</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av</w:t>
            </w:r>
            <w:r w:rsidRPr="00537112">
              <w:rPr>
                <w:rFonts w:cs="Verdana"/>
                <w:spacing w:val="-1"/>
                <w:position w:val="-1"/>
                <w:sz w:val="20"/>
                <w:szCs w:val="20"/>
              </w:rPr>
              <w:t>e</w:t>
            </w:r>
            <w:r w:rsidRPr="00537112">
              <w:rPr>
                <w:rFonts w:cs="Verdana"/>
                <w:spacing w:val="1"/>
                <w:position w:val="-1"/>
                <w:sz w:val="20"/>
                <w:szCs w:val="20"/>
              </w:rPr>
              <w:t>ntu</w:t>
            </w:r>
            <w:r w:rsidRPr="00537112">
              <w:rPr>
                <w:rFonts w:cs="Verdana"/>
                <w:spacing w:val="-1"/>
                <w:position w:val="-1"/>
                <w:sz w:val="20"/>
                <w:szCs w:val="20"/>
              </w:rPr>
              <w:t>r</w:t>
            </w:r>
            <w:r w:rsidRPr="00537112">
              <w:rPr>
                <w:rFonts w:cs="Verdana"/>
                <w:position w:val="-1"/>
                <w:sz w:val="20"/>
                <w:szCs w:val="20"/>
              </w:rPr>
              <w:t>a</w:t>
            </w:r>
            <w:r w:rsidRPr="00537112">
              <w:rPr>
                <w:rFonts w:cs="Verdana"/>
                <w:spacing w:val="-14"/>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72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position w:val="-1"/>
                <w:sz w:val="20"/>
                <w:szCs w:val="20"/>
              </w:rPr>
              <w:t>a</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73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113</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1"/>
                <w:sz w:val="20"/>
                <w:szCs w:val="20"/>
              </w:rPr>
              <w:t>g</w:t>
            </w:r>
            <w:r w:rsidRPr="00537112">
              <w:rPr>
                <w:rFonts w:cs="Verdana"/>
                <w:sz w:val="20"/>
                <w:szCs w:val="20"/>
              </w:rPr>
              <w:t>a</w:t>
            </w:r>
            <w:r w:rsidRPr="00537112">
              <w:rPr>
                <w:rFonts w:cs="Verdana"/>
                <w:spacing w:val="-1"/>
                <w:sz w:val="20"/>
                <w:szCs w:val="20"/>
              </w:rPr>
              <w:t>r</w:t>
            </w:r>
            <w:r w:rsidRPr="00537112">
              <w:rPr>
                <w:rFonts w:cs="Verdana"/>
                <w:spacing w:val="3"/>
                <w:sz w:val="20"/>
                <w:szCs w:val="20"/>
              </w:rPr>
              <w:t>i</w:t>
            </w:r>
            <w:r w:rsidRPr="00537112">
              <w:rPr>
                <w:rFonts w:cs="Verdana"/>
                <w:spacing w:val="1"/>
                <w:sz w:val="20"/>
                <w:szCs w:val="20"/>
              </w:rPr>
              <w:t>t</w:t>
            </w:r>
            <w:r w:rsidRPr="00537112">
              <w:rPr>
                <w:rFonts w:cs="Verdana"/>
                <w:sz w:val="20"/>
                <w:szCs w:val="20"/>
              </w:rPr>
              <w:t>o</w:t>
            </w:r>
            <w:r w:rsidRPr="00537112">
              <w:rPr>
                <w:rFonts w:cs="Verdana"/>
                <w:spacing w:val="-12"/>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74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er</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Leo</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Herrera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75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76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sr</w:t>
            </w:r>
            <w:r w:rsidRPr="00537112">
              <w:rPr>
                <w:rFonts w:cs="Verdana"/>
                <w:position w:val="-1"/>
                <w:sz w:val="20"/>
                <w:szCs w:val="20"/>
              </w:rPr>
              <w:t>a</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position w:val="-1"/>
                <w:sz w:val="20"/>
                <w:szCs w:val="20"/>
              </w:rPr>
              <w:t>D</w:t>
            </w:r>
            <w:r w:rsidRPr="00537112">
              <w:rPr>
                <w:rFonts w:cs="Verdana"/>
                <w:spacing w:val="-1"/>
                <w:position w:val="-1"/>
                <w:sz w:val="20"/>
                <w:szCs w:val="20"/>
              </w:rPr>
              <w:t>o</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h</w:t>
            </w:r>
            <w:r w:rsidRPr="00537112">
              <w:rPr>
                <w:rFonts w:cs="Verdana"/>
                <w:position w:val="-1"/>
                <w:sz w:val="20"/>
                <w:szCs w:val="20"/>
              </w:rPr>
              <w:t>í</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Herrera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114</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S</w:t>
            </w:r>
            <w:r w:rsidRPr="00537112">
              <w:rPr>
                <w:rFonts w:cs="Verdana"/>
                <w:spacing w:val="-1"/>
                <w:sz w:val="20"/>
                <w:szCs w:val="20"/>
              </w:rPr>
              <w:t>ec</w:t>
            </w:r>
            <w:r w:rsidRPr="00537112">
              <w:rPr>
                <w:rFonts w:cs="Verdana"/>
                <w:spacing w:val="1"/>
                <w:sz w:val="20"/>
                <w:szCs w:val="20"/>
              </w:rPr>
              <w:t>und</w:t>
            </w:r>
            <w:r w:rsidRPr="00537112">
              <w:rPr>
                <w:rFonts w:cs="Verdana"/>
                <w:spacing w:val="3"/>
                <w:sz w:val="20"/>
                <w:szCs w:val="20"/>
              </w:rPr>
              <w:t>i</w:t>
            </w:r>
            <w:r w:rsidRPr="00537112">
              <w:rPr>
                <w:rFonts w:cs="Verdana"/>
                <w:spacing w:val="1"/>
                <w:sz w:val="20"/>
                <w:szCs w:val="20"/>
              </w:rPr>
              <w:t>n</w:t>
            </w:r>
            <w:r w:rsidRPr="00537112">
              <w:rPr>
                <w:rFonts w:cs="Verdana"/>
                <w:sz w:val="20"/>
                <w:szCs w:val="20"/>
              </w:rPr>
              <w:t>o</w:t>
            </w:r>
            <w:r w:rsidRPr="00537112">
              <w:rPr>
                <w:rFonts w:cs="Verdana"/>
                <w:spacing w:val="-12"/>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77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78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áz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4"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115</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4"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V</w:t>
            </w:r>
            <w:r w:rsidRPr="00537112">
              <w:rPr>
                <w:rFonts w:cs="Verdana"/>
                <w:spacing w:val="3"/>
                <w:sz w:val="20"/>
                <w:szCs w:val="20"/>
              </w:rPr>
              <w:t>i</w:t>
            </w:r>
            <w:r w:rsidRPr="00537112">
              <w:rPr>
                <w:rFonts w:cs="Verdana"/>
                <w:spacing w:val="-1"/>
                <w:sz w:val="20"/>
                <w:szCs w:val="20"/>
              </w:rPr>
              <w:t>ce</w:t>
            </w:r>
            <w:r w:rsidRPr="00537112">
              <w:rPr>
                <w:rFonts w:cs="Verdana"/>
                <w:spacing w:val="1"/>
                <w:sz w:val="20"/>
                <w:szCs w:val="20"/>
              </w:rPr>
              <w:t>nt</w:t>
            </w:r>
            <w:r w:rsidRPr="00537112">
              <w:rPr>
                <w:rFonts w:cs="Verdana"/>
                <w:sz w:val="20"/>
                <w:szCs w:val="20"/>
              </w:rPr>
              <w:t>e</w:t>
            </w:r>
            <w:r w:rsidRPr="00537112">
              <w:rPr>
                <w:rFonts w:cs="Verdana"/>
                <w:spacing w:val="-9"/>
                <w:sz w:val="20"/>
                <w:szCs w:val="20"/>
              </w:rPr>
              <w:t xml:space="preserve"> </w:t>
            </w:r>
            <w:r w:rsidRPr="00537112">
              <w:rPr>
                <w:rFonts w:cs="Verdana"/>
                <w:spacing w:val="1"/>
                <w:sz w:val="20"/>
                <w:szCs w:val="20"/>
              </w:rPr>
              <w:t>d</w:t>
            </w:r>
            <w:r w:rsidRPr="00537112">
              <w:rPr>
                <w:rFonts w:cs="Verdana"/>
                <w:sz w:val="20"/>
                <w:szCs w:val="20"/>
              </w:rPr>
              <w:t>e</w:t>
            </w:r>
            <w:r w:rsidRPr="00537112">
              <w:rPr>
                <w:rFonts w:cs="Verdana"/>
                <w:spacing w:val="-4"/>
                <w:sz w:val="20"/>
                <w:szCs w:val="20"/>
              </w:rPr>
              <w:t xml:space="preserve"> </w:t>
            </w:r>
            <w:r w:rsidRPr="00537112">
              <w:rPr>
                <w:rFonts w:cs="Verdana"/>
                <w:sz w:val="20"/>
                <w:szCs w:val="20"/>
              </w:rPr>
              <w:t>Paz</w:t>
            </w:r>
            <w:r w:rsidRPr="00537112">
              <w:rPr>
                <w:rFonts w:cs="Verdana"/>
                <w:spacing w:val="-3"/>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79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il</w:t>
            </w:r>
            <w:r w:rsidRPr="00537112">
              <w:rPr>
                <w:rFonts w:cs="Verdana"/>
                <w:spacing w:val="1"/>
                <w:position w:val="-1"/>
                <w:sz w:val="20"/>
                <w:szCs w:val="20"/>
              </w:rPr>
              <w:t>d</w:t>
            </w:r>
            <w:r w:rsidRPr="00537112">
              <w:rPr>
                <w:rFonts w:cs="Verdana"/>
                <w:position w:val="-1"/>
                <w:sz w:val="20"/>
                <w:szCs w:val="20"/>
              </w:rPr>
              <w:t>e</w:t>
            </w:r>
            <w:r w:rsidRPr="00537112">
              <w:rPr>
                <w:rFonts w:cs="Verdana"/>
                <w:spacing w:val="-9"/>
                <w:position w:val="-1"/>
                <w:sz w:val="20"/>
                <w:szCs w:val="20"/>
              </w:rPr>
              <w:t xml:space="preserve"> </w:t>
            </w:r>
            <w:r w:rsidRPr="00537112">
              <w:rPr>
                <w:rFonts w:cs="Verdana"/>
                <w:spacing w:val="-1"/>
                <w:position w:val="-1"/>
                <w:sz w:val="20"/>
                <w:szCs w:val="20"/>
              </w:rPr>
              <w:t>Herrera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80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w:t>
            </w:r>
            <w:r w:rsidRPr="00537112">
              <w:rPr>
                <w:rFonts w:cs="Verdana"/>
                <w:spacing w:val="3"/>
                <w:position w:val="-1"/>
                <w:sz w:val="20"/>
                <w:szCs w:val="20"/>
              </w:rPr>
              <w:t>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De</w:t>
            </w:r>
            <w:r w:rsidRPr="00537112">
              <w:rPr>
                <w:rFonts w:cs="Verdana"/>
                <w:spacing w:val="-5"/>
                <w:position w:val="-1"/>
                <w:sz w:val="20"/>
                <w:szCs w:val="20"/>
              </w:rPr>
              <w:t xml:space="preserve"> </w:t>
            </w:r>
            <w:r w:rsidRPr="00537112">
              <w:rPr>
                <w:rFonts w:cs="Verdana"/>
                <w:position w:val="-1"/>
                <w:sz w:val="20"/>
                <w:szCs w:val="20"/>
              </w:rPr>
              <w:t>Paz</w:t>
            </w:r>
            <w:r w:rsidRPr="00537112">
              <w:rPr>
                <w:rFonts w:cs="Verdana"/>
                <w:spacing w:val="-3"/>
                <w:position w:val="-1"/>
                <w:sz w:val="20"/>
                <w:szCs w:val="20"/>
              </w:rPr>
              <w:t xml:space="preserve"> </w:t>
            </w:r>
            <w:r w:rsidRPr="00537112">
              <w:rPr>
                <w:rFonts w:cs="Verdana"/>
                <w:spacing w:val="-1"/>
                <w:position w:val="-1"/>
                <w:sz w:val="20"/>
                <w:szCs w:val="20"/>
              </w:rPr>
              <w:t>Herrera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81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3"/>
                <w:position w:val="-1"/>
                <w:sz w:val="20"/>
                <w:szCs w:val="20"/>
              </w:rPr>
              <w:t>i</w:t>
            </w:r>
            <w:r w:rsidRPr="00537112">
              <w:rPr>
                <w:rFonts w:cs="Verdana"/>
                <w:position w:val="-1"/>
                <w:sz w:val="20"/>
                <w:szCs w:val="20"/>
              </w:rPr>
              <w:t>as</w:t>
            </w:r>
            <w:r w:rsidRPr="00537112">
              <w:rPr>
                <w:rFonts w:cs="Verdana"/>
                <w:spacing w:val="-7"/>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r w:rsidRPr="00537112">
              <w:rPr>
                <w:rFonts w:cs="Verdana"/>
                <w:spacing w:val="-3"/>
                <w:position w:val="-1"/>
                <w:sz w:val="20"/>
                <w:szCs w:val="20"/>
              </w:rPr>
              <w:t xml:space="preserve"> </w:t>
            </w:r>
            <w:r w:rsidRPr="00537112">
              <w:rPr>
                <w:rFonts w:cs="Verdana"/>
                <w:spacing w:val="-1"/>
                <w:position w:val="-1"/>
                <w:sz w:val="20"/>
                <w:szCs w:val="20"/>
              </w:rPr>
              <w:t>Herrera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82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1"/>
                <w:position w:val="-1"/>
                <w:sz w:val="20"/>
                <w:szCs w:val="20"/>
              </w:rPr>
              <w:t>o</w:t>
            </w:r>
            <w:r w:rsidRPr="00537112">
              <w:rPr>
                <w:rFonts w:cs="Verdana"/>
                <w:spacing w:val="3"/>
                <w:position w:val="-1"/>
                <w:sz w:val="20"/>
                <w:szCs w:val="20"/>
              </w:rPr>
              <w:t>i</w:t>
            </w:r>
            <w:r w:rsidRPr="00537112">
              <w:rPr>
                <w:rFonts w:cs="Verdana"/>
                <w:spacing w:val="-1"/>
                <w:position w:val="-1"/>
                <w:sz w:val="20"/>
                <w:szCs w:val="20"/>
              </w:rPr>
              <w:t>se</w:t>
            </w:r>
            <w:r w:rsidRPr="00537112">
              <w:rPr>
                <w:rFonts w:cs="Verdana"/>
                <w:position w:val="-1"/>
                <w:sz w:val="20"/>
                <w:szCs w:val="20"/>
              </w:rPr>
              <w:t>s</w:t>
            </w:r>
            <w:r w:rsidRPr="00537112">
              <w:rPr>
                <w:rFonts w:cs="Verdana"/>
                <w:spacing w:val="-8"/>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Páz</w:t>
            </w:r>
            <w:r w:rsidRPr="00537112">
              <w:rPr>
                <w:rFonts w:cs="Verdana"/>
                <w:spacing w:val="-3"/>
                <w:position w:val="-1"/>
                <w:sz w:val="20"/>
                <w:szCs w:val="20"/>
              </w:rPr>
              <w:t xml:space="preserve"> </w:t>
            </w:r>
            <w:r w:rsidRPr="00537112">
              <w:rPr>
                <w:rFonts w:cs="Verdana"/>
                <w:spacing w:val="-1"/>
                <w:position w:val="-1"/>
                <w:sz w:val="20"/>
                <w:szCs w:val="20"/>
              </w:rPr>
              <w:t>Herrera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83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an</w:t>
            </w:r>
            <w:r w:rsidRPr="00537112">
              <w:rPr>
                <w:rFonts w:cs="Verdana"/>
                <w:spacing w:val="-6"/>
                <w:position w:val="-1"/>
                <w:sz w:val="20"/>
                <w:szCs w:val="20"/>
              </w:rPr>
              <w:t xml:space="preserve"> </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g</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r w:rsidRPr="00537112">
              <w:rPr>
                <w:rFonts w:cs="Verdana"/>
                <w:spacing w:val="-3"/>
                <w:position w:val="-1"/>
                <w:sz w:val="20"/>
                <w:szCs w:val="20"/>
              </w:rPr>
              <w:t xml:space="preserve"> </w:t>
            </w:r>
            <w:r w:rsidRPr="00537112">
              <w:rPr>
                <w:rFonts w:cs="Verdana"/>
                <w:spacing w:val="-1"/>
                <w:position w:val="-1"/>
                <w:sz w:val="20"/>
                <w:szCs w:val="20"/>
              </w:rPr>
              <w:t>Herrera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116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Ju</w:t>
            </w:r>
            <w:r w:rsidRPr="00537112">
              <w:rPr>
                <w:rFonts w:cs="Verdana"/>
                <w:sz w:val="20"/>
                <w:szCs w:val="20"/>
              </w:rPr>
              <w:t>an</w:t>
            </w:r>
            <w:r w:rsidRPr="00537112">
              <w:rPr>
                <w:rFonts w:cs="Verdana"/>
                <w:spacing w:val="-5"/>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z w:val="20"/>
                <w:szCs w:val="20"/>
              </w:rPr>
              <w:t>C</w:t>
            </w:r>
            <w:r w:rsidRPr="00537112">
              <w:rPr>
                <w:rFonts w:cs="Verdana"/>
                <w:spacing w:val="1"/>
                <w:sz w:val="20"/>
                <w:szCs w:val="20"/>
              </w:rPr>
              <w:t>u</w:t>
            </w:r>
            <w:r w:rsidRPr="00537112">
              <w:rPr>
                <w:rFonts w:cs="Verdana"/>
                <w:sz w:val="20"/>
                <w:szCs w:val="20"/>
              </w:rPr>
              <w:t>x</w:t>
            </w:r>
            <w:r w:rsidRPr="00537112">
              <w:rPr>
                <w:rFonts w:cs="Verdana"/>
                <w:spacing w:val="1"/>
                <w:sz w:val="20"/>
                <w:szCs w:val="20"/>
              </w:rPr>
              <w:t>u</w:t>
            </w:r>
            <w:r w:rsidRPr="00537112">
              <w:rPr>
                <w:rFonts w:cs="Verdana"/>
                <w:sz w:val="20"/>
                <w:szCs w:val="20"/>
              </w:rPr>
              <w:t>m</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84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85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117</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E</w:t>
            </w:r>
            <w:r w:rsidRPr="00537112">
              <w:rPr>
                <w:rFonts w:cs="Verdana"/>
                <w:spacing w:val="1"/>
                <w:sz w:val="20"/>
                <w:szCs w:val="20"/>
              </w:rPr>
              <w:t>m</w:t>
            </w:r>
            <w:r w:rsidRPr="00537112">
              <w:rPr>
                <w:rFonts w:cs="Verdana"/>
                <w:spacing w:val="3"/>
                <w:sz w:val="20"/>
                <w:szCs w:val="20"/>
              </w:rPr>
              <w:t>ili</w:t>
            </w:r>
            <w:r w:rsidRPr="00537112">
              <w:rPr>
                <w:rFonts w:cs="Verdana"/>
                <w:sz w:val="20"/>
                <w:szCs w:val="20"/>
              </w:rPr>
              <w:t>a</w:t>
            </w:r>
            <w:r w:rsidRPr="00537112">
              <w:rPr>
                <w:rFonts w:cs="Verdana"/>
                <w:spacing w:val="1"/>
                <w:sz w:val="20"/>
                <w:szCs w:val="20"/>
              </w:rPr>
              <w:t>n</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s</w:t>
            </w:r>
            <w:r w:rsidRPr="00537112">
              <w:rPr>
                <w:rFonts w:cs="Verdana"/>
                <w:spacing w:val="-4"/>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86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Ló</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87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s</w:t>
            </w:r>
            <w:r w:rsidRPr="00537112">
              <w:rPr>
                <w:rFonts w:cs="Verdana"/>
                <w:spacing w:val="-4"/>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88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qu</w:t>
            </w:r>
            <w:r w:rsidRPr="00537112">
              <w:rPr>
                <w:rFonts w:cs="Verdana"/>
                <w:position w:val="-1"/>
                <w:sz w:val="20"/>
                <w:szCs w:val="20"/>
              </w:rPr>
              <w:t>e</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s</w:t>
            </w:r>
            <w:r w:rsidRPr="00537112">
              <w:rPr>
                <w:rFonts w:cs="Verdana"/>
                <w:spacing w:val="-4"/>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118</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lang w:val="pt-BR"/>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lang w:val="pt-BR"/>
              </w:rPr>
            </w:pPr>
          </w:p>
          <w:p w:rsidR="00537112" w:rsidRPr="00537112" w:rsidRDefault="00537112" w:rsidP="00537112">
            <w:pPr>
              <w:autoSpaceDE w:val="0"/>
              <w:autoSpaceDN w:val="0"/>
              <w:spacing w:line="240" w:lineRule="auto"/>
              <w:ind w:right="-20"/>
              <w:jc w:val="left"/>
              <w:textAlignment w:val="auto"/>
              <w:rPr>
                <w:rFonts w:ascii="Times New Roman" w:hAnsi="Times New Roman"/>
                <w:lang w:val="pt-BR"/>
              </w:rPr>
            </w:pPr>
            <w:r w:rsidRPr="00537112">
              <w:rPr>
                <w:rFonts w:cs="Verdana"/>
                <w:sz w:val="20"/>
                <w:szCs w:val="20"/>
                <w:lang w:val="pt-BR"/>
              </w:rPr>
              <w:t>Ma</w:t>
            </w:r>
            <w:r w:rsidRPr="00537112">
              <w:rPr>
                <w:rFonts w:cs="Verdana"/>
                <w:spacing w:val="1"/>
                <w:sz w:val="20"/>
                <w:szCs w:val="20"/>
                <w:lang w:val="pt-BR"/>
              </w:rPr>
              <w:t>nu</w:t>
            </w:r>
            <w:r w:rsidRPr="00537112">
              <w:rPr>
                <w:rFonts w:cs="Verdana"/>
                <w:spacing w:val="-1"/>
                <w:sz w:val="20"/>
                <w:szCs w:val="20"/>
                <w:lang w:val="pt-BR"/>
              </w:rPr>
              <w:t>e</w:t>
            </w:r>
            <w:r w:rsidRPr="00537112">
              <w:rPr>
                <w:rFonts w:cs="Verdana"/>
                <w:sz w:val="20"/>
                <w:szCs w:val="20"/>
                <w:lang w:val="pt-BR"/>
              </w:rPr>
              <w:t>l</w:t>
            </w:r>
            <w:r w:rsidRPr="00537112">
              <w:rPr>
                <w:rFonts w:cs="Verdana"/>
                <w:spacing w:val="-5"/>
                <w:sz w:val="20"/>
                <w:szCs w:val="20"/>
                <w:lang w:val="pt-BR"/>
              </w:rPr>
              <w:t xml:space="preserve"> </w:t>
            </w:r>
            <w:r w:rsidRPr="00537112">
              <w:rPr>
                <w:rFonts w:cs="Verdana"/>
                <w:spacing w:val="1"/>
                <w:sz w:val="20"/>
                <w:szCs w:val="20"/>
                <w:lang w:val="pt-BR"/>
              </w:rPr>
              <w:t>d</w:t>
            </w:r>
            <w:r w:rsidRPr="00537112">
              <w:rPr>
                <w:rFonts w:cs="Verdana"/>
                <w:sz w:val="20"/>
                <w:szCs w:val="20"/>
                <w:lang w:val="pt-BR"/>
              </w:rPr>
              <w:t>e</w:t>
            </w:r>
            <w:r w:rsidRPr="00537112">
              <w:rPr>
                <w:rFonts w:cs="Verdana"/>
                <w:spacing w:val="-4"/>
                <w:sz w:val="20"/>
                <w:szCs w:val="20"/>
                <w:lang w:val="pt-BR"/>
              </w:rPr>
              <w:t xml:space="preserve"> </w:t>
            </w:r>
            <w:r w:rsidRPr="00537112">
              <w:rPr>
                <w:rFonts w:cs="Verdana"/>
                <w:spacing w:val="1"/>
                <w:sz w:val="20"/>
                <w:szCs w:val="20"/>
                <w:lang w:val="pt-BR"/>
              </w:rPr>
              <w:t>J</w:t>
            </w:r>
            <w:r w:rsidRPr="00537112">
              <w:rPr>
                <w:rFonts w:cs="Verdana"/>
                <w:spacing w:val="-1"/>
                <w:sz w:val="20"/>
                <w:szCs w:val="20"/>
                <w:lang w:val="pt-BR"/>
              </w:rPr>
              <w:t>es</w:t>
            </w:r>
            <w:r w:rsidRPr="00537112">
              <w:rPr>
                <w:rFonts w:cs="Verdana"/>
                <w:spacing w:val="1"/>
                <w:sz w:val="20"/>
                <w:szCs w:val="20"/>
                <w:lang w:val="pt-BR"/>
              </w:rPr>
              <w:t>u</w:t>
            </w:r>
            <w:r w:rsidRPr="00537112">
              <w:rPr>
                <w:rFonts w:cs="Verdana"/>
                <w:sz w:val="20"/>
                <w:szCs w:val="20"/>
                <w:lang w:val="pt-BR"/>
              </w:rPr>
              <w:t>s</w:t>
            </w:r>
            <w:r w:rsidRPr="00537112">
              <w:rPr>
                <w:rFonts w:cs="Verdana"/>
                <w:spacing w:val="-6"/>
                <w:sz w:val="20"/>
                <w:szCs w:val="20"/>
                <w:lang w:val="pt-BR"/>
              </w:rPr>
              <w:t xml:space="preserve"> </w:t>
            </w:r>
            <w:r w:rsidRPr="00537112">
              <w:rPr>
                <w:rFonts w:cs="Verdana"/>
                <w:spacing w:val="-1"/>
                <w:sz w:val="20"/>
                <w:szCs w:val="20"/>
                <w:lang w:val="pt-BR"/>
              </w:rPr>
              <w:t>G</w:t>
            </w:r>
            <w:r w:rsidRPr="00537112">
              <w:rPr>
                <w:rFonts w:cs="Verdana"/>
                <w:sz w:val="20"/>
                <w:szCs w:val="20"/>
                <w:lang w:val="pt-BR"/>
              </w:rPr>
              <w:t>a</w:t>
            </w:r>
            <w:r w:rsidRPr="00537112">
              <w:rPr>
                <w:rFonts w:cs="Verdana"/>
                <w:spacing w:val="3"/>
                <w:sz w:val="20"/>
                <w:szCs w:val="20"/>
                <w:lang w:val="pt-BR"/>
              </w:rPr>
              <w:t>li</w:t>
            </w:r>
            <w:r w:rsidRPr="00537112">
              <w:rPr>
                <w:rFonts w:cs="Verdana"/>
                <w:spacing w:val="-1"/>
                <w:sz w:val="20"/>
                <w:szCs w:val="20"/>
                <w:lang w:val="pt-BR"/>
              </w:rPr>
              <w:t>e</w:t>
            </w:r>
            <w:r w:rsidRPr="00537112">
              <w:rPr>
                <w:rFonts w:cs="Verdana"/>
                <w:spacing w:val="1"/>
                <w:sz w:val="20"/>
                <w:szCs w:val="20"/>
                <w:lang w:val="pt-BR"/>
              </w:rPr>
              <w:t>g</w:t>
            </w:r>
            <w:r w:rsidRPr="00537112">
              <w:rPr>
                <w:rFonts w:cs="Verdana"/>
                <w:sz w:val="20"/>
                <w:szCs w:val="20"/>
                <w:lang w:val="pt-BR"/>
              </w:rPr>
              <w:t>o</w:t>
            </w:r>
            <w:r w:rsidRPr="00537112">
              <w:rPr>
                <w:rFonts w:cs="Verdana"/>
                <w:spacing w:val="-9"/>
                <w:sz w:val="20"/>
                <w:szCs w:val="20"/>
                <w:lang w:val="pt-BR"/>
              </w:rPr>
              <w:t xml:space="preserve"> </w:t>
            </w:r>
            <w:r w:rsidRPr="00537112">
              <w:rPr>
                <w:rFonts w:cs="Verdana"/>
                <w:sz w:val="20"/>
                <w:szCs w:val="20"/>
                <w:lang w:val="pt-BR"/>
              </w:rPr>
              <w:t>M</w:t>
            </w:r>
            <w:r w:rsidRPr="00537112">
              <w:rPr>
                <w:rFonts w:cs="Verdana"/>
                <w:spacing w:val="-1"/>
                <w:sz w:val="20"/>
                <w:szCs w:val="20"/>
                <w:lang w:val="pt-BR"/>
              </w:rPr>
              <w:t>e</w:t>
            </w:r>
            <w:r w:rsidRPr="00537112">
              <w:rPr>
                <w:rFonts w:cs="Verdana"/>
                <w:spacing w:val="1"/>
                <w:sz w:val="20"/>
                <w:szCs w:val="20"/>
                <w:lang w:val="pt-BR"/>
              </w:rPr>
              <w:t>nd</w:t>
            </w:r>
            <w:r w:rsidRPr="00537112">
              <w:rPr>
                <w:rFonts w:cs="Verdana"/>
                <w:spacing w:val="-1"/>
                <w:sz w:val="20"/>
                <w:szCs w:val="20"/>
                <w:lang w:val="pt-BR"/>
              </w:rPr>
              <w:t>o</w:t>
            </w:r>
            <w:r w:rsidRPr="00537112">
              <w:rPr>
                <w:rFonts w:cs="Verdana"/>
                <w:spacing w:val="1"/>
                <w:sz w:val="20"/>
                <w:szCs w:val="20"/>
                <w:lang w:val="pt-BR"/>
              </w:rPr>
              <w:t>z</w:t>
            </w:r>
            <w:r w:rsidRPr="00537112">
              <w:rPr>
                <w:rFonts w:cs="Verdana"/>
                <w:sz w:val="20"/>
                <w:szCs w:val="20"/>
                <w:lang w:val="pt-BR"/>
              </w:rPr>
              <w:t>a</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89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g</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90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Es</w:t>
            </w:r>
            <w:r w:rsidRPr="00537112">
              <w:rPr>
                <w:rFonts w:cs="Verdana"/>
                <w:spacing w:val="1"/>
                <w:position w:val="-1"/>
                <w:sz w:val="20"/>
                <w:szCs w:val="20"/>
              </w:rPr>
              <w:t>t</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g</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91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e</w:t>
            </w:r>
            <w:r w:rsidRPr="00537112">
              <w:rPr>
                <w:rFonts w:cs="Verdana"/>
                <w:spacing w:val="-7"/>
                <w:position w:val="-1"/>
                <w:sz w:val="20"/>
                <w:szCs w:val="20"/>
              </w:rPr>
              <w:t xml:space="preserve"> </w:t>
            </w: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g</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92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Héc</w:t>
            </w:r>
            <w:r w:rsidRPr="00537112">
              <w:rPr>
                <w:rFonts w:cs="Verdana"/>
                <w:spacing w:val="1"/>
                <w:position w:val="-1"/>
                <w:sz w:val="20"/>
                <w:szCs w:val="20"/>
              </w:rPr>
              <w:t>t</w:t>
            </w:r>
            <w:r w:rsidRPr="00537112">
              <w:rPr>
                <w:rFonts w:cs="Verdana"/>
                <w:spacing w:val="-1"/>
                <w:position w:val="-1"/>
                <w:sz w:val="20"/>
                <w:szCs w:val="20"/>
              </w:rPr>
              <w:t>o</w:t>
            </w:r>
            <w:r w:rsidRPr="00537112">
              <w:rPr>
                <w:rFonts w:cs="Verdana"/>
                <w:position w:val="-1"/>
                <w:sz w:val="20"/>
                <w:szCs w:val="20"/>
              </w:rPr>
              <w:t>r</w:t>
            </w:r>
            <w:r w:rsidRPr="00537112">
              <w:rPr>
                <w:rFonts w:cs="Verdana"/>
                <w:spacing w:val="-9"/>
                <w:position w:val="-1"/>
                <w:sz w:val="20"/>
                <w:szCs w:val="20"/>
              </w:rPr>
              <w:t xml:space="preserve"> </w:t>
            </w: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g</w:t>
            </w:r>
            <w:r w:rsidRPr="00537112">
              <w:rPr>
                <w:rFonts w:cs="Verdana"/>
                <w:position w:val="-1"/>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119</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T</w:t>
            </w:r>
            <w:r w:rsidRPr="00537112">
              <w:rPr>
                <w:rFonts w:cs="Verdana"/>
                <w:spacing w:val="-1"/>
                <w:sz w:val="20"/>
                <w:szCs w:val="20"/>
              </w:rPr>
              <w:t>o</w:t>
            </w:r>
            <w:r w:rsidRPr="00537112">
              <w:rPr>
                <w:rFonts w:cs="Verdana"/>
                <w:spacing w:val="1"/>
                <w:sz w:val="20"/>
                <w:szCs w:val="20"/>
              </w:rPr>
              <w:t>m</w:t>
            </w:r>
            <w:r w:rsidRPr="00537112">
              <w:rPr>
                <w:rFonts w:cs="Verdana"/>
                <w:sz w:val="20"/>
                <w:szCs w:val="20"/>
              </w:rPr>
              <w:t>ás</w:t>
            </w:r>
            <w:r w:rsidRPr="00537112">
              <w:rPr>
                <w:rFonts w:cs="Verdana"/>
                <w:spacing w:val="-8"/>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R</w:t>
            </w:r>
            <w:r w:rsidRPr="00537112">
              <w:rPr>
                <w:rFonts w:cs="Verdana"/>
                <w:spacing w:val="-1"/>
                <w:sz w:val="20"/>
                <w:szCs w:val="20"/>
              </w:rPr>
              <w:t>e</w:t>
            </w:r>
            <w:r w:rsidRPr="00537112">
              <w:rPr>
                <w:rFonts w:cs="Verdana"/>
                <w:sz w:val="20"/>
                <w:szCs w:val="20"/>
              </w:rPr>
              <w:t>y</w:t>
            </w:r>
            <w:r w:rsidRPr="00537112">
              <w:rPr>
                <w:rFonts w:cs="Verdana"/>
                <w:spacing w:val="-1"/>
                <w:sz w:val="20"/>
                <w:szCs w:val="20"/>
              </w:rPr>
              <w:t>e</w:t>
            </w:r>
            <w:r w:rsidRPr="00537112">
              <w:rPr>
                <w:rFonts w:cs="Verdana"/>
                <w:sz w:val="20"/>
                <w:szCs w:val="20"/>
              </w:rPr>
              <w:t>s</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93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Gre</w:t>
            </w:r>
            <w:r w:rsidRPr="00537112">
              <w:rPr>
                <w:rFonts w:cs="Verdana"/>
                <w:spacing w:val="1"/>
                <w:position w:val="-1"/>
                <w:sz w:val="20"/>
                <w:szCs w:val="20"/>
              </w:rPr>
              <w:t>g</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94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120</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ng</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s</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95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z w:val="20"/>
                <w:szCs w:val="20"/>
              </w:rPr>
              <w:t>Pa</w:t>
            </w:r>
            <w:r w:rsidRPr="00537112">
              <w:rPr>
                <w:rFonts w:cs="Verdana"/>
                <w:spacing w:val="1"/>
                <w:sz w:val="20"/>
                <w:szCs w:val="20"/>
              </w:rPr>
              <w:t>u</w:t>
            </w:r>
            <w:r w:rsidRPr="00537112">
              <w:rPr>
                <w:rFonts w:cs="Verdana"/>
                <w:spacing w:val="3"/>
                <w:sz w:val="20"/>
                <w:szCs w:val="20"/>
              </w:rPr>
              <w:t>li</w:t>
            </w:r>
            <w:r w:rsidRPr="00537112">
              <w:rPr>
                <w:rFonts w:cs="Verdana"/>
                <w:spacing w:val="1"/>
                <w:sz w:val="20"/>
                <w:szCs w:val="20"/>
              </w:rPr>
              <w:t>n</w:t>
            </w:r>
            <w:r w:rsidRPr="00537112">
              <w:rPr>
                <w:rFonts w:cs="Verdana"/>
                <w:sz w:val="20"/>
                <w:szCs w:val="20"/>
              </w:rPr>
              <w:t>a</w:t>
            </w:r>
            <w:r w:rsidRPr="00537112">
              <w:rPr>
                <w:rFonts w:cs="Verdana"/>
                <w:spacing w:val="-7"/>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r w:rsidRPr="00537112">
              <w:rPr>
                <w:rFonts w:cs="Verdana"/>
                <w:spacing w:val="-6"/>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121</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7"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o</w:t>
            </w:r>
            <w:r w:rsidRPr="00537112">
              <w:rPr>
                <w:rFonts w:cs="Verdana"/>
                <w:spacing w:val="-10"/>
                <w:sz w:val="20"/>
                <w:szCs w:val="20"/>
              </w:rPr>
              <w:t xml:space="preserve"> </w:t>
            </w:r>
            <w:r w:rsidRPr="00537112">
              <w:rPr>
                <w:rFonts w:cs="Verdana"/>
                <w:sz w:val="20"/>
                <w:szCs w:val="20"/>
              </w:rPr>
              <w:t>D</w:t>
            </w:r>
            <w:r w:rsidRPr="00537112">
              <w:rPr>
                <w:rFonts w:cs="Verdana"/>
                <w:spacing w:val="3"/>
                <w:sz w:val="20"/>
                <w:szCs w:val="20"/>
              </w:rPr>
              <w:t>í</w:t>
            </w:r>
            <w:r w:rsidRPr="00537112">
              <w:rPr>
                <w:rFonts w:cs="Verdana"/>
                <w:sz w:val="20"/>
                <w:szCs w:val="20"/>
              </w:rPr>
              <w:t>az</w:t>
            </w:r>
            <w:r w:rsidRPr="00537112">
              <w:rPr>
                <w:rFonts w:cs="Verdana"/>
                <w:spacing w:val="-4"/>
                <w:sz w:val="20"/>
                <w:szCs w:val="20"/>
              </w:rPr>
              <w:t xml:space="preserve"> </w:t>
            </w:r>
            <w:r w:rsidRPr="00537112">
              <w:rPr>
                <w:rFonts w:cs="Verdana"/>
                <w:sz w:val="20"/>
                <w:szCs w:val="20"/>
              </w:rPr>
              <w:t>T</w:t>
            </w:r>
            <w:r w:rsidRPr="00537112">
              <w:rPr>
                <w:rFonts w:cs="Verdana"/>
                <w:spacing w:val="-1"/>
                <w:sz w:val="20"/>
                <w:szCs w:val="20"/>
              </w:rPr>
              <w:t>o</w:t>
            </w:r>
            <w:r w:rsidRPr="00537112">
              <w:rPr>
                <w:rFonts w:cs="Verdana"/>
                <w:spacing w:val="3"/>
                <w:sz w:val="20"/>
                <w:szCs w:val="20"/>
              </w:rPr>
              <w:t>l</w:t>
            </w:r>
            <w:r w:rsidRPr="00537112">
              <w:rPr>
                <w:rFonts w:cs="Verdana"/>
                <w:spacing w:val="-1"/>
                <w:sz w:val="20"/>
                <w:szCs w:val="20"/>
              </w:rPr>
              <w:t>o</w:t>
            </w:r>
            <w:r w:rsidRPr="00537112">
              <w:rPr>
                <w:rFonts w:cs="Verdana"/>
                <w:sz w:val="20"/>
                <w:szCs w:val="20"/>
              </w:rPr>
              <w:t>m</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96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Cay</w:t>
            </w:r>
            <w:r w:rsidRPr="00537112">
              <w:rPr>
                <w:rFonts w:cs="Verdana"/>
                <w:spacing w:val="-1"/>
                <w:position w:val="-1"/>
                <w:sz w:val="20"/>
                <w:szCs w:val="20"/>
              </w:rPr>
              <w:t>e</w:t>
            </w:r>
            <w:r w:rsidRPr="00537112">
              <w:rPr>
                <w:rFonts w:cs="Verdana"/>
                <w:spacing w:val="1"/>
                <w:position w:val="-1"/>
                <w:sz w:val="20"/>
                <w:szCs w:val="20"/>
              </w:rPr>
              <w:t>t</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97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D</w:t>
            </w:r>
            <w:r w:rsidRPr="00537112">
              <w:rPr>
                <w:rFonts w:cs="Verdana"/>
                <w:spacing w:val="3"/>
                <w:position w:val="-1"/>
                <w:sz w:val="20"/>
                <w:szCs w:val="20"/>
              </w:rPr>
              <w:t>í</w:t>
            </w:r>
            <w:r w:rsidRPr="00537112">
              <w:rPr>
                <w:rFonts w:cs="Verdana"/>
                <w:position w:val="-1"/>
                <w:sz w:val="20"/>
                <w:szCs w:val="20"/>
              </w:rPr>
              <w:t>az</w:t>
            </w:r>
            <w:r w:rsidRPr="00537112">
              <w:rPr>
                <w:rFonts w:cs="Verdana"/>
                <w:spacing w:val="-4"/>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98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orf</w:t>
            </w:r>
            <w:r w:rsidRPr="00537112">
              <w:rPr>
                <w:rFonts w:cs="Verdana"/>
                <w:spacing w:val="3"/>
                <w:position w:val="-1"/>
                <w:sz w:val="20"/>
                <w:szCs w:val="20"/>
              </w:rPr>
              <w:t>i</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D</w:t>
            </w:r>
            <w:r w:rsidRPr="00537112">
              <w:rPr>
                <w:rFonts w:cs="Verdana"/>
                <w:spacing w:val="3"/>
                <w:position w:val="-1"/>
                <w:sz w:val="20"/>
                <w:szCs w:val="20"/>
              </w:rPr>
              <w:t>í</w:t>
            </w:r>
            <w:r w:rsidRPr="00537112">
              <w:rPr>
                <w:rFonts w:cs="Verdana"/>
                <w:position w:val="-1"/>
                <w:sz w:val="20"/>
                <w:szCs w:val="20"/>
              </w:rPr>
              <w:t>az</w:t>
            </w:r>
            <w:r w:rsidRPr="00537112">
              <w:rPr>
                <w:rFonts w:cs="Verdana"/>
                <w:spacing w:val="-4"/>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122</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And</w:t>
            </w:r>
            <w:r w:rsidRPr="00537112">
              <w:rPr>
                <w:rFonts w:cs="Verdana"/>
                <w:spacing w:val="-1"/>
                <w:sz w:val="20"/>
                <w:szCs w:val="20"/>
              </w:rPr>
              <w:t>ré</w:t>
            </w:r>
            <w:r w:rsidRPr="00537112">
              <w:rPr>
                <w:rFonts w:cs="Verdana"/>
                <w:sz w:val="20"/>
                <w:szCs w:val="20"/>
              </w:rPr>
              <w:t>s</w:t>
            </w:r>
            <w:r w:rsidRPr="00537112">
              <w:rPr>
                <w:rFonts w:cs="Verdana"/>
                <w:spacing w:val="-8"/>
                <w:sz w:val="20"/>
                <w:szCs w:val="20"/>
              </w:rPr>
              <w:t xml:space="preserve"> </w:t>
            </w:r>
            <w:r w:rsidRPr="00537112">
              <w:rPr>
                <w:rFonts w:cs="Verdana"/>
                <w:spacing w:val="-2"/>
                <w:sz w:val="20"/>
                <w:szCs w:val="20"/>
              </w:rPr>
              <w:t>I</w:t>
            </w:r>
            <w:r w:rsidRPr="00537112">
              <w:rPr>
                <w:rFonts w:cs="Verdana"/>
                <w:sz w:val="20"/>
                <w:szCs w:val="20"/>
              </w:rPr>
              <w:t>x</w:t>
            </w:r>
            <w:r w:rsidRPr="00537112">
              <w:rPr>
                <w:rFonts w:cs="Verdana"/>
                <w:spacing w:val="1"/>
                <w:sz w:val="20"/>
                <w:szCs w:val="20"/>
              </w:rPr>
              <w:t>t</w:t>
            </w:r>
            <w:r w:rsidRPr="00537112">
              <w:rPr>
                <w:rFonts w:cs="Verdana"/>
                <w:spacing w:val="-1"/>
                <w:sz w:val="20"/>
                <w:szCs w:val="20"/>
              </w:rPr>
              <w:t>eco</w:t>
            </w:r>
            <w:r w:rsidRPr="00537112">
              <w:rPr>
                <w:rFonts w:cs="Verdana"/>
                <w:sz w:val="20"/>
                <w:szCs w:val="20"/>
              </w:rPr>
              <w:t>c</w:t>
            </w:r>
            <w:r w:rsidRPr="00537112">
              <w:rPr>
                <w:rFonts w:cs="Verdana"/>
                <w:spacing w:val="-8"/>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5</w:t>
            </w:r>
            <w:r w:rsidRPr="00537112">
              <w:rPr>
                <w:rFonts w:cs="Verdana"/>
                <w:spacing w:val="1"/>
                <w:position w:val="-1"/>
                <w:sz w:val="20"/>
                <w:szCs w:val="20"/>
              </w:rPr>
              <w:t>99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Herc</w:t>
            </w:r>
            <w:r w:rsidRPr="00537112">
              <w:rPr>
                <w:rFonts w:cs="Verdana"/>
                <w:spacing w:val="3"/>
                <w:position w:val="-1"/>
                <w:sz w:val="20"/>
                <w:szCs w:val="20"/>
              </w:rPr>
              <w:t>ili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n</w:t>
            </w:r>
            <w:r w:rsidRPr="00537112">
              <w:rPr>
                <w:rFonts w:cs="Verdana"/>
                <w:position w:val="-1"/>
                <w:sz w:val="20"/>
                <w:szCs w:val="20"/>
              </w:rPr>
              <w:t>á</w:t>
            </w:r>
            <w:r w:rsidRPr="00537112">
              <w:rPr>
                <w:rFonts w:cs="Verdana"/>
                <w:spacing w:val="1"/>
                <w:position w:val="-1"/>
                <w:sz w:val="20"/>
                <w:szCs w:val="20"/>
              </w:rPr>
              <w:t>nd</w:t>
            </w:r>
            <w:r w:rsidRPr="00537112">
              <w:rPr>
                <w:rFonts w:cs="Verdana"/>
                <w:spacing w:val="-1"/>
                <w:position w:val="-1"/>
                <w:sz w:val="20"/>
                <w:szCs w:val="20"/>
              </w:rPr>
              <w:t>e</w:t>
            </w:r>
            <w:r w:rsidRPr="00537112">
              <w:rPr>
                <w:rFonts w:cs="Verdana"/>
                <w:position w:val="-1"/>
                <w:sz w:val="20"/>
                <w:szCs w:val="20"/>
              </w:rPr>
              <w:t>z</w:t>
            </w:r>
            <w:r w:rsidRPr="00537112">
              <w:rPr>
                <w:rFonts w:cs="Verdana"/>
                <w:spacing w:val="-11"/>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00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w:t>
            </w:r>
            <w:r w:rsidRPr="00537112">
              <w:rPr>
                <w:rFonts w:cs="Verdana"/>
                <w:spacing w:val="1"/>
                <w:position w:val="-1"/>
                <w:sz w:val="20"/>
                <w:szCs w:val="20"/>
              </w:rPr>
              <w:t>nj</w:t>
            </w:r>
            <w:r w:rsidRPr="00537112">
              <w:rPr>
                <w:rFonts w:cs="Verdana"/>
                <w:position w:val="-1"/>
                <w:sz w:val="20"/>
                <w:szCs w:val="20"/>
              </w:rPr>
              <w:t>a</w:t>
            </w:r>
            <w:r w:rsidRPr="00537112">
              <w:rPr>
                <w:rFonts w:cs="Verdana"/>
                <w:spacing w:val="1"/>
                <w:position w:val="-1"/>
                <w:sz w:val="20"/>
                <w:szCs w:val="20"/>
              </w:rPr>
              <w:t>m</w:t>
            </w:r>
            <w:r w:rsidRPr="00537112">
              <w:rPr>
                <w:rFonts w:cs="Verdana"/>
                <w:spacing w:val="3"/>
                <w:position w:val="-1"/>
                <w:sz w:val="20"/>
                <w:szCs w:val="20"/>
              </w:rPr>
              <w:t>i</w:t>
            </w:r>
            <w:r w:rsidRPr="00537112">
              <w:rPr>
                <w:rFonts w:cs="Verdana"/>
                <w:position w:val="-1"/>
                <w:sz w:val="20"/>
                <w:szCs w:val="20"/>
              </w:rPr>
              <w:t>n</w:t>
            </w:r>
            <w:r w:rsidRPr="00537112">
              <w:rPr>
                <w:rFonts w:cs="Verdana"/>
                <w:spacing w:val="-9"/>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n</w:t>
            </w:r>
            <w:r w:rsidRPr="00537112">
              <w:rPr>
                <w:rFonts w:cs="Verdana"/>
                <w:position w:val="-1"/>
                <w:sz w:val="20"/>
                <w:szCs w:val="20"/>
              </w:rPr>
              <w:t>á</w:t>
            </w:r>
            <w:r w:rsidRPr="00537112">
              <w:rPr>
                <w:rFonts w:cs="Verdana"/>
                <w:spacing w:val="1"/>
                <w:position w:val="-1"/>
                <w:sz w:val="20"/>
                <w:szCs w:val="20"/>
              </w:rPr>
              <w:t>nd</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01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n</w:t>
            </w:r>
            <w:r w:rsidRPr="00537112">
              <w:rPr>
                <w:rFonts w:cs="Verdana"/>
                <w:position w:val="-1"/>
                <w:sz w:val="20"/>
                <w:szCs w:val="20"/>
              </w:rPr>
              <w:t>á</w:t>
            </w:r>
            <w:r w:rsidRPr="00537112">
              <w:rPr>
                <w:rFonts w:cs="Verdana"/>
                <w:spacing w:val="1"/>
                <w:position w:val="-1"/>
                <w:sz w:val="20"/>
                <w:szCs w:val="20"/>
              </w:rPr>
              <w:t>nd</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02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n</w:t>
            </w:r>
            <w:r w:rsidRPr="00537112">
              <w:rPr>
                <w:rFonts w:cs="Verdana"/>
                <w:position w:val="-1"/>
                <w:sz w:val="20"/>
                <w:szCs w:val="20"/>
              </w:rPr>
              <w:t>á</w:t>
            </w:r>
            <w:r w:rsidRPr="00537112">
              <w:rPr>
                <w:rFonts w:cs="Verdana"/>
                <w:spacing w:val="1"/>
                <w:position w:val="-1"/>
                <w:sz w:val="20"/>
                <w:szCs w:val="20"/>
              </w:rPr>
              <w:t>nd</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03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fre</w:t>
            </w:r>
            <w:r w:rsidRPr="00537112">
              <w:rPr>
                <w:rFonts w:cs="Verdana"/>
                <w:spacing w:val="1"/>
                <w:position w:val="-1"/>
                <w:sz w:val="20"/>
                <w:szCs w:val="20"/>
              </w:rPr>
              <w:t>d</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n</w:t>
            </w:r>
            <w:r w:rsidRPr="00537112">
              <w:rPr>
                <w:rFonts w:cs="Verdana"/>
                <w:position w:val="-1"/>
                <w:sz w:val="20"/>
                <w:szCs w:val="20"/>
              </w:rPr>
              <w:t>á</w:t>
            </w:r>
            <w:r w:rsidRPr="00537112">
              <w:rPr>
                <w:rFonts w:cs="Verdana"/>
                <w:spacing w:val="1"/>
                <w:position w:val="-1"/>
                <w:sz w:val="20"/>
                <w:szCs w:val="20"/>
              </w:rPr>
              <w:t>nd</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123</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Z</w:t>
            </w:r>
            <w:r w:rsidRPr="00537112">
              <w:rPr>
                <w:rFonts w:cs="Verdana"/>
                <w:spacing w:val="-1"/>
                <w:sz w:val="20"/>
                <w:szCs w:val="20"/>
              </w:rPr>
              <w:t>e</w:t>
            </w:r>
            <w:r w:rsidRPr="00537112">
              <w:rPr>
                <w:rFonts w:cs="Verdana"/>
                <w:spacing w:val="1"/>
                <w:sz w:val="20"/>
                <w:szCs w:val="20"/>
              </w:rPr>
              <w:t>n</w:t>
            </w:r>
            <w:r w:rsidRPr="00537112">
              <w:rPr>
                <w:rFonts w:cs="Verdana"/>
                <w:spacing w:val="-1"/>
                <w:sz w:val="20"/>
                <w:szCs w:val="20"/>
              </w:rPr>
              <w:t>ó</w:t>
            </w:r>
            <w:r w:rsidRPr="00537112">
              <w:rPr>
                <w:rFonts w:cs="Verdana"/>
                <w:sz w:val="20"/>
                <w:szCs w:val="20"/>
              </w:rPr>
              <w:t>n</w:t>
            </w:r>
            <w:r w:rsidRPr="00537112">
              <w:rPr>
                <w:rFonts w:cs="Verdana"/>
                <w:spacing w:val="-6"/>
                <w:sz w:val="20"/>
                <w:szCs w:val="20"/>
              </w:rPr>
              <w:t xml:space="preserve"> </w:t>
            </w:r>
            <w:r w:rsidRPr="00537112">
              <w:rPr>
                <w:rFonts w:cs="Verdana"/>
                <w:spacing w:val="1"/>
                <w:sz w:val="20"/>
                <w:szCs w:val="20"/>
              </w:rPr>
              <w:t>U</w:t>
            </w:r>
            <w:r w:rsidRPr="00537112">
              <w:rPr>
                <w:rFonts w:cs="Verdana"/>
                <w:sz w:val="20"/>
                <w:szCs w:val="20"/>
              </w:rPr>
              <w:t>s</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04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g</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oc</w:t>
            </w:r>
            <w:r w:rsidRPr="00537112">
              <w:rPr>
                <w:rFonts w:cs="Verdana"/>
                <w:position w:val="-1"/>
                <w:sz w:val="20"/>
                <w:szCs w:val="20"/>
              </w:rPr>
              <w:t>h</w:t>
            </w:r>
            <w:r w:rsidRPr="00537112">
              <w:rPr>
                <w:rFonts w:cs="Verdana"/>
                <w:spacing w:val="-7"/>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05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U</w:t>
            </w:r>
            <w:r w:rsidRPr="00537112">
              <w:rPr>
                <w:rFonts w:cs="Verdana"/>
                <w:position w:val="-1"/>
                <w:sz w:val="20"/>
                <w:szCs w:val="20"/>
              </w:rPr>
              <w:t>s</w:t>
            </w:r>
            <w:r w:rsidRPr="00537112">
              <w:rPr>
                <w:rFonts w:cs="Verdana"/>
                <w:spacing w:val="-3"/>
                <w:position w:val="-1"/>
                <w:sz w:val="20"/>
                <w:szCs w:val="20"/>
              </w:rPr>
              <w:t xml:space="preserve"> </w:t>
            </w:r>
            <w:r w:rsidRPr="00537112">
              <w:rPr>
                <w:rFonts w:cs="Verdana"/>
                <w:position w:val="-1"/>
                <w:sz w:val="20"/>
                <w:szCs w:val="20"/>
              </w:rPr>
              <w:t>C</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oc</w:t>
            </w:r>
            <w:r w:rsidRPr="00537112">
              <w:rPr>
                <w:rFonts w:cs="Verdana"/>
                <w:position w:val="-1"/>
                <w:sz w:val="20"/>
                <w:szCs w:val="20"/>
              </w:rPr>
              <w:t>h</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06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3"/>
                <w:position w:val="-1"/>
                <w:sz w:val="20"/>
                <w:szCs w:val="20"/>
              </w:rPr>
              <w:t>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U</w:t>
            </w:r>
            <w:r w:rsidRPr="00537112">
              <w:rPr>
                <w:rFonts w:cs="Verdana"/>
                <w:position w:val="-1"/>
                <w:sz w:val="20"/>
                <w:szCs w:val="20"/>
              </w:rPr>
              <w:t>s</w:t>
            </w:r>
            <w:r w:rsidRPr="00537112">
              <w:rPr>
                <w:rFonts w:cs="Verdana"/>
                <w:spacing w:val="-3"/>
                <w:position w:val="-1"/>
                <w:sz w:val="20"/>
                <w:szCs w:val="20"/>
              </w:rPr>
              <w:t xml:space="preserve"> </w:t>
            </w:r>
            <w:r w:rsidRPr="00537112">
              <w:rPr>
                <w:rFonts w:cs="Verdana"/>
                <w:position w:val="-1"/>
                <w:sz w:val="20"/>
                <w:szCs w:val="20"/>
              </w:rPr>
              <w:t>C</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oc</w:t>
            </w:r>
            <w:r w:rsidRPr="00537112">
              <w:rPr>
                <w:rFonts w:cs="Verdana"/>
                <w:position w:val="-1"/>
                <w:sz w:val="20"/>
                <w:szCs w:val="20"/>
              </w:rPr>
              <w:t>h</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07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U</w:t>
            </w:r>
            <w:r w:rsidRPr="00537112">
              <w:rPr>
                <w:rFonts w:cs="Verdana"/>
                <w:position w:val="-1"/>
                <w:sz w:val="20"/>
                <w:szCs w:val="20"/>
              </w:rPr>
              <w:t>s</w:t>
            </w:r>
            <w:r w:rsidRPr="00537112">
              <w:rPr>
                <w:rFonts w:cs="Verdana"/>
                <w:spacing w:val="-3"/>
                <w:position w:val="-1"/>
                <w:sz w:val="20"/>
                <w:szCs w:val="20"/>
              </w:rPr>
              <w:t xml:space="preserve"> </w:t>
            </w:r>
            <w:r w:rsidRPr="00537112">
              <w:rPr>
                <w:rFonts w:cs="Verdana"/>
                <w:position w:val="-1"/>
                <w:sz w:val="20"/>
                <w:szCs w:val="20"/>
              </w:rPr>
              <w:t>C</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och</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08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Na</w:t>
            </w:r>
            <w:r w:rsidRPr="00537112">
              <w:rPr>
                <w:rFonts w:cs="Verdana"/>
                <w:spacing w:val="-1"/>
                <w:position w:val="-1"/>
                <w:sz w:val="20"/>
                <w:szCs w:val="20"/>
              </w:rPr>
              <w:t>rc</w:t>
            </w:r>
            <w:r w:rsidRPr="00537112">
              <w:rPr>
                <w:rFonts w:cs="Verdana"/>
                <w:spacing w:val="3"/>
                <w:position w:val="-1"/>
                <w:sz w:val="20"/>
                <w:szCs w:val="20"/>
              </w:rPr>
              <w:t>i</w:t>
            </w:r>
            <w:r w:rsidRPr="00537112">
              <w:rPr>
                <w:rFonts w:cs="Verdana"/>
                <w:spacing w:val="1"/>
                <w:position w:val="-1"/>
                <w:sz w:val="20"/>
                <w:szCs w:val="20"/>
              </w:rPr>
              <w:t>z</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U</w:t>
            </w:r>
            <w:r w:rsidRPr="00537112">
              <w:rPr>
                <w:rFonts w:cs="Verdana"/>
                <w:position w:val="-1"/>
                <w:sz w:val="20"/>
                <w:szCs w:val="20"/>
              </w:rPr>
              <w:t>s</w:t>
            </w:r>
            <w:r w:rsidRPr="00537112">
              <w:rPr>
                <w:rFonts w:cs="Verdana"/>
                <w:spacing w:val="-3"/>
                <w:position w:val="-1"/>
                <w:sz w:val="20"/>
                <w:szCs w:val="20"/>
              </w:rPr>
              <w:t xml:space="preserve"> </w:t>
            </w:r>
            <w:r w:rsidRPr="00537112">
              <w:rPr>
                <w:rFonts w:cs="Verdana"/>
                <w:position w:val="-1"/>
                <w:sz w:val="20"/>
                <w:szCs w:val="20"/>
              </w:rPr>
              <w:t>C</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och</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124</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B</w:t>
            </w:r>
            <w:r w:rsidRPr="00537112">
              <w:rPr>
                <w:rFonts w:cs="Verdana"/>
                <w:spacing w:val="-1"/>
                <w:sz w:val="20"/>
                <w:szCs w:val="20"/>
              </w:rPr>
              <w:t>er</w:t>
            </w:r>
            <w:r w:rsidRPr="00537112">
              <w:rPr>
                <w:rFonts w:cs="Verdana"/>
                <w:spacing w:val="1"/>
                <w:sz w:val="20"/>
                <w:szCs w:val="20"/>
              </w:rPr>
              <w:t>n</w:t>
            </w:r>
            <w:r w:rsidRPr="00537112">
              <w:rPr>
                <w:rFonts w:cs="Verdana"/>
                <w:sz w:val="20"/>
                <w:szCs w:val="20"/>
              </w:rPr>
              <w:t>a</w:t>
            </w:r>
            <w:r w:rsidRPr="00537112">
              <w:rPr>
                <w:rFonts w:cs="Verdana"/>
                <w:spacing w:val="-1"/>
                <w:sz w:val="20"/>
                <w:szCs w:val="20"/>
              </w:rPr>
              <w:t>r</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m</w:t>
            </w:r>
            <w:r w:rsidRPr="00537112">
              <w:rPr>
                <w:rFonts w:cs="Verdana"/>
                <w:sz w:val="20"/>
                <w:szCs w:val="20"/>
              </w:rPr>
              <w:t>an</w:t>
            </w:r>
            <w:r w:rsidRPr="00537112">
              <w:rPr>
                <w:rFonts w:cs="Verdana"/>
                <w:spacing w:val="-7"/>
                <w:sz w:val="20"/>
                <w:szCs w:val="20"/>
              </w:rPr>
              <w:t xml:space="preserve"> </w:t>
            </w:r>
            <w:r w:rsidRPr="00537112">
              <w:rPr>
                <w:rFonts w:cs="Verdana"/>
                <w:spacing w:val="-2"/>
                <w:sz w:val="20"/>
                <w:szCs w:val="20"/>
              </w:rPr>
              <w:t>I</w:t>
            </w:r>
            <w:r w:rsidRPr="00537112">
              <w:rPr>
                <w:rFonts w:cs="Verdana"/>
                <w:sz w:val="20"/>
                <w:szCs w:val="20"/>
              </w:rPr>
              <w:t>v</w:t>
            </w:r>
            <w:r w:rsidRPr="00537112">
              <w:rPr>
                <w:rFonts w:cs="Verdana"/>
                <w:spacing w:val="-1"/>
                <w:sz w:val="20"/>
                <w:szCs w:val="20"/>
              </w:rPr>
              <w:t>oy</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09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spacing w:val="-1"/>
                <w:position w:val="-1"/>
                <w:sz w:val="20"/>
                <w:szCs w:val="20"/>
              </w:rPr>
              <w:t>e</w:t>
            </w:r>
            <w:r w:rsidRPr="00537112">
              <w:rPr>
                <w:rFonts w:cs="Verdana"/>
                <w:spacing w:val="1"/>
                <w:position w:val="-1"/>
                <w:sz w:val="20"/>
                <w:szCs w:val="20"/>
              </w:rPr>
              <w:t>b</w:t>
            </w:r>
            <w:r w:rsidRPr="00537112">
              <w:rPr>
                <w:rFonts w:cs="Verdana"/>
                <w:position w:val="-1"/>
                <w:sz w:val="20"/>
                <w:szCs w:val="20"/>
              </w:rPr>
              <w:t>a</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an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10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gn</w:t>
            </w:r>
            <w:r w:rsidRPr="00537112">
              <w:rPr>
                <w:rFonts w:cs="Verdana"/>
                <w:position w:val="-1"/>
                <w:sz w:val="20"/>
                <w:szCs w:val="20"/>
              </w:rPr>
              <w:t>a</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an</w:t>
            </w:r>
            <w:r w:rsidRPr="00537112">
              <w:rPr>
                <w:rFonts w:cs="Verdana"/>
                <w:spacing w:val="-7"/>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an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11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an</w:t>
            </w:r>
            <w:r w:rsidRPr="00537112">
              <w:rPr>
                <w:rFonts w:cs="Verdana"/>
                <w:spacing w:val="-7"/>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12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3"/>
                <w:position w:val="-1"/>
                <w:sz w:val="20"/>
                <w:szCs w:val="20"/>
              </w:rPr>
              <w:t>i</w:t>
            </w:r>
            <w:r w:rsidRPr="00537112">
              <w:rPr>
                <w:rFonts w:cs="Verdana"/>
                <w:position w:val="-1"/>
                <w:sz w:val="20"/>
                <w:szCs w:val="20"/>
              </w:rPr>
              <w:t>s</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an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13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g</w:t>
            </w:r>
            <w:r w:rsidRPr="00537112">
              <w:rPr>
                <w:rFonts w:cs="Verdana"/>
                <w:spacing w:val="-1"/>
                <w:position w:val="-1"/>
                <w:sz w:val="20"/>
                <w:szCs w:val="20"/>
              </w:rPr>
              <w:t>o</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an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14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3"/>
                <w:position w:val="-1"/>
                <w:sz w:val="20"/>
                <w:szCs w:val="20"/>
              </w:rPr>
              <w:t>li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an</w:t>
            </w:r>
          </w:p>
        </w:tc>
      </w:tr>
      <w:tr w:rsidR="00537112" w:rsidRPr="00537112" w:rsidTr="00630EEC">
        <w:trPr>
          <w:trHeight w:hRule="exact" w:val="247"/>
        </w:trPr>
        <w:tc>
          <w:tcPr>
            <w:tcW w:w="977" w:type="dxa"/>
            <w:vMerge w:val="restart"/>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125</w:t>
            </w:r>
          </w:p>
        </w:tc>
        <w:tc>
          <w:tcPr>
            <w:tcW w:w="3958" w:type="dxa"/>
            <w:vMerge w:val="restart"/>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A</w:t>
            </w:r>
            <w:r w:rsidRPr="00537112">
              <w:rPr>
                <w:rFonts w:cs="Verdana"/>
                <w:spacing w:val="3"/>
                <w:sz w:val="20"/>
                <w:szCs w:val="20"/>
              </w:rPr>
              <w:t>l</w:t>
            </w:r>
            <w:r w:rsidRPr="00537112">
              <w:rPr>
                <w:rFonts w:cs="Verdana"/>
                <w:spacing w:val="1"/>
                <w:sz w:val="20"/>
                <w:szCs w:val="20"/>
              </w:rPr>
              <w:t>b</w:t>
            </w:r>
            <w:r w:rsidRPr="00537112">
              <w:rPr>
                <w:rFonts w:cs="Verdana"/>
                <w:spacing w:val="-1"/>
                <w:sz w:val="20"/>
                <w:szCs w:val="20"/>
              </w:rPr>
              <w:t>er</w:t>
            </w:r>
            <w:r w:rsidRPr="00537112">
              <w:rPr>
                <w:rFonts w:cs="Verdana"/>
                <w:spacing w:val="1"/>
                <w:sz w:val="20"/>
                <w:szCs w:val="20"/>
              </w:rPr>
              <w:t>t</w:t>
            </w:r>
            <w:r w:rsidRPr="00537112">
              <w:rPr>
                <w:rFonts w:cs="Verdana"/>
                <w:sz w:val="20"/>
                <w:szCs w:val="20"/>
              </w:rPr>
              <w:t>o</w:t>
            </w:r>
            <w:r w:rsidRPr="00537112">
              <w:rPr>
                <w:rFonts w:cs="Verdana"/>
                <w:spacing w:val="-9"/>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r w:rsidRPr="00537112">
              <w:rPr>
                <w:rFonts w:cs="Verdana"/>
                <w:spacing w:val="-6"/>
                <w:sz w:val="20"/>
                <w:szCs w:val="20"/>
              </w:rPr>
              <w:t xml:space="preserve"> </w:t>
            </w:r>
            <w:r w:rsidRPr="00537112">
              <w:rPr>
                <w:rFonts w:cs="Verdana"/>
                <w:spacing w:val="1"/>
                <w:sz w:val="20"/>
                <w:szCs w:val="20"/>
              </w:rPr>
              <w:t>R</w:t>
            </w:r>
            <w:r w:rsidRPr="00537112">
              <w:rPr>
                <w:rFonts w:cs="Verdana"/>
                <w:spacing w:val="-1"/>
                <w:sz w:val="20"/>
                <w:szCs w:val="20"/>
              </w:rPr>
              <w:t>e</w:t>
            </w:r>
            <w:r w:rsidRPr="00537112">
              <w:rPr>
                <w:rFonts w:cs="Verdana"/>
                <w:sz w:val="20"/>
                <w:szCs w:val="20"/>
              </w:rPr>
              <w:t>y</w:t>
            </w:r>
            <w:r w:rsidRPr="00537112">
              <w:rPr>
                <w:rFonts w:cs="Verdana"/>
                <w:spacing w:val="-1"/>
                <w:sz w:val="20"/>
                <w:szCs w:val="20"/>
              </w:rPr>
              <w:t>e</w:t>
            </w:r>
            <w:r w:rsidRPr="00537112">
              <w:rPr>
                <w:rFonts w:cs="Verdana"/>
                <w:sz w:val="20"/>
                <w:szCs w:val="20"/>
              </w:rPr>
              <w:t>s</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15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f</w:t>
            </w:r>
            <w:r w:rsidRPr="00537112">
              <w:rPr>
                <w:rFonts w:cs="Verdana"/>
                <w:position w:val="-1"/>
                <w:sz w:val="20"/>
                <w:szCs w:val="20"/>
              </w:rPr>
              <w:t>a</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p</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an</w:t>
            </w:r>
            <w:r w:rsidRPr="00537112">
              <w:rPr>
                <w:rFonts w:cs="Verdana"/>
                <w:spacing w:val="-7"/>
                <w:position w:val="-1"/>
                <w:sz w:val="20"/>
                <w:szCs w:val="20"/>
              </w:rPr>
              <w:t xml:space="preserve"> </w:t>
            </w:r>
            <w:r w:rsidRPr="00537112">
              <w:rPr>
                <w:rFonts w:cs="Verdana"/>
                <w:position w:val="-1"/>
                <w:sz w:val="20"/>
                <w:szCs w:val="20"/>
              </w:rPr>
              <w:t>C</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oc</w:t>
            </w:r>
            <w:r w:rsidRPr="00537112">
              <w:rPr>
                <w:rFonts w:cs="Verdana"/>
                <w:position w:val="-1"/>
                <w:sz w:val="20"/>
                <w:szCs w:val="20"/>
              </w:rPr>
              <w:t>h</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16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p</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an</w:t>
            </w:r>
            <w:r w:rsidRPr="00537112">
              <w:rPr>
                <w:rFonts w:cs="Verdana"/>
                <w:spacing w:val="-7"/>
                <w:position w:val="-1"/>
                <w:sz w:val="20"/>
                <w:szCs w:val="20"/>
              </w:rPr>
              <w:t xml:space="preserve"> </w:t>
            </w:r>
            <w:r w:rsidRPr="00537112">
              <w:rPr>
                <w:rFonts w:cs="Verdana"/>
                <w:position w:val="-1"/>
                <w:sz w:val="20"/>
                <w:szCs w:val="20"/>
              </w:rPr>
              <w:t>De</w:t>
            </w:r>
            <w:r w:rsidRPr="00537112">
              <w:rPr>
                <w:rFonts w:cs="Verdana"/>
                <w:spacing w:val="-5"/>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17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p</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an</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18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r</w:t>
            </w:r>
            <w:r w:rsidRPr="00537112">
              <w:rPr>
                <w:rFonts w:cs="Verdana"/>
                <w:spacing w:val="3"/>
                <w:position w:val="-1"/>
                <w:sz w:val="20"/>
                <w:szCs w:val="20"/>
              </w:rPr>
              <w:t>í</w:t>
            </w:r>
            <w:r w:rsidRPr="00537112">
              <w:rPr>
                <w:rFonts w:cs="Verdana"/>
                <w:spacing w:val="1"/>
                <w:position w:val="-1"/>
                <w:sz w:val="20"/>
                <w:szCs w:val="20"/>
              </w:rPr>
              <w:t>g</w:t>
            </w:r>
            <w:r w:rsidRPr="00537112">
              <w:rPr>
                <w:rFonts w:cs="Verdana"/>
                <w:spacing w:val="3"/>
                <w:position w:val="-1"/>
                <w:sz w:val="20"/>
                <w:szCs w:val="20"/>
              </w:rPr>
              <w:t>i</w:t>
            </w:r>
            <w:r w:rsidRPr="00537112">
              <w:rPr>
                <w:rFonts w:cs="Verdana"/>
                <w:spacing w:val="1"/>
                <w:position w:val="-1"/>
                <w:sz w:val="20"/>
                <w:szCs w:val="20"/>
              </w:rPr>
              <w:t>d</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p</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19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p</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án</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pgSz w:w="12260" w:h="15840"/>
          <w:pgMar w:top="760" w:right="900" w:bottom="280" w:left="900" w:header="493" w:footer="0" w:gutter="0"/>
          <w:cols w:space="720"/>
          <w:noEndnote/>
        </w:sectPr>
      </w:pPr>
    </w:p>
    <w:p w:rsidR="00537112" w:rsidRPr="00537112" w:rsidRDefault="00537112" w:rsidP="00537112">
      <w:pPr>
        <w:autoSpaceDE w:val="0"/>
        <w:autoSpaceDN w:val="0"/>
        <w:spacing w:before="16" w:line="280" w:lineRule="exact"/>
        <w:jc w:val="left"/>
        <w:textAlignment w:val="auto"/>
        <w:rPr>
          <w:rFonts w:ascii="Times New Roman" w:hAnsi="Times New Roman"/>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772"/>
        <w:gridCol w:w="4496"/>
      </w:tblGrid>
      <w:tr w:rsidR="00537112" w:rsidRPr="00537112" w:rsidTr="00630EEC">
        <w:trPr>
          <w:trHeight w:hRule="exact" w:val="247"/>
        </w:trPr>
        <w:tc>
          <w:tcPr>
            <w:tcW w:w="977" w:type="dxa"/>
            <w:vMerge w:val="restart"/>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40" w:lineRule="auto"/>
              <w:jc w:val="left"/>
              <w:textAlignment w:val="auto"/>
              <w:rPr>
                <w:rFonts w:ascii="Times New Roman" w:hAnsi="Times New Roman"/>
              </w:rPr>
            </w:pPr>
          </w:p>
        </w:tc>
        <w:tc>
          <w:tcPr>
            <w:tcW w:w="3958" w:type="dxa"/>
            <w:vMerge w:val="restart"/>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auto"/>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20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es</w:t>
            </w:r>
            <w:r w:rsidRPr="00537112">
              <w:rPr>
                <w:rFonts w:cs="Verdana"/>
                <w:spacing w:val="1"/>
                <w:position w:val="-1"/>
                <w:sz w:val="20"/>
                <w:szCs w:val="20"/>
              </w:rPr>
              <w:t>ú</w:t>
            </w:r>
            <w:r w:rsidRPr="00537112">
              <w:rPr>
                <w:rFonts w:cs="Verdana"/>
                <w:position w:val="-1"/>
                <w:sz w:val="20"/>
                <w:szCs w:val="20"/>
              </w:rPr>
              <w:t>s</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áz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p</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an</w:t>
            </w:r>
          </w:p>
        </w:tc>
      </w:tr>
      <w:tr w:rsidR="00537112" w:rsidRPr="00537112" w:rsidTr="00630EEC">
        <w:trPr>
          <w:trHeight w:hRule="exact" w:val="247"/>
        </w:trPr>
        <w:tc>
          <w:tcPr>
            <w:tcW w:w="977" w:type="dxa"/>
            <w:vMerge/>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21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And</w:t>
            </w:r>
            <w:r w:rsidRPr="00537112">
              <w:rPr>
                <w:rFonts w:cs="Verdana"/>
                <w:spacing w:val="-1"/>
                <w:position w:val="-1"/>
                <w:sz w:val="20"/>
                <w:szCs w:val="20"/>
              </w:rPr>
              <w:t>re</w:t>
            </w:r>
            <w:r w:rsidRPr="00537112">
              <w:rPr>
                <w:rFonts w:cs="Verdana"/>
                <w:position w:val="-1"/>
                <w:sz w:val="20"/>
                <w:szCs w:val="20"/>
              </w:rPr>
              <w:t>s</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spacing w:val="3"/>
                <w:position w:val="-1"/>
                <w:sz w:val="20"/>
                <w:szCs w:val="20"/>
              </w:rPr>
              <w:t>il</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p</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an</w:t>
            </w:r>
          </w:p>
        </w:tc>
      </w:tr>
      <w:tr w:rsidR="00537112" w:rsidRPr="00537112" w:rsidTr="00630EEC">
        <w:trPr>
          <w:trHeight w:hRule="exact" w:val="247"/>
        </w:trPr>
        <w:tc>
          <w:tcPr>
            <w:tcW w:w="977" w:type="dxa"/>
            <w:vMerge/>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22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7"/>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p</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126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S</w:t>
            </w:r>
            <w:r w:rsidRPr="00537112">
              <w:rPr>
                <w:rFonts w:cs="Verdana"/>
                <w:spacing w:val="3"/>
                <w:sz w:val="20"/>
                <w:szCs w:val="20"/>
              </w:rPr>
              <w:t>il</w:t>
            </w:r>
            <w:r w:rsidRPr="00537112">
              <w:rPr>
                <w:rFonts w:cs="Verdana"/>
                <w:sz w:val="20"/>
                <w:szCs w:val="20"/>
              </w:rPr>
              <w:t>v</w:t>
            </w:r>
            <w:r w:rsidRPr="00537112">
              <w:rPr>
                <w:rFonts w:cs="Verdana"/>
                <w:spacing w:val="-1"/>
                <w:sz w:val="20"/>
                <w:szCs w:val="20"/>
              </w:rPr>
              <w:t>er</w:t>
            </w:r>
            <w:r w:rsidRPr="00537112">
              <w:rPr>
                <w:rFonts w:cs="Verdana"/>
                <w:spacing w:val="3"/>
                <w:sz w:val="20"/>
                <w:szCs w:val="20"/>
              </w:rPr>
              <w:t>i</w:t>
            </w:r>
            <w:r w:rsidRPr="00537112">
              <w:rPr>
                <w:rFonts w:cs="Verdana"/>
                <w:sz w:val="20"/>
                <w:szCs w:val="20"/>
              </w:rPr>
              <w:t>o</w:t>
            </w:r>
            <w:r w:rsidRPr="00537112">
              <w:rPr>
                <w:rFonts w:cs="Verdana"/>
                <w:spacing w:val="-9"/>
                <w:sz w:val="20"/>
                <w:szCs w:val="20"/>
              </w:rPr>
              <w:t xml:space="preserve"> </w:t>
            </w:r>
            <w:r w:rsidRPr="00537112">
              <w:rPr>
                <w:rFonts w:cs="Verdana"/>
                <w:sz w:val="20"/>
                <w:szCs w:val="20"/>
              </w:rPr>
              <w:t>C</w:t>
            </w:r>
            <w:r w:rsidRPr="00537112">
              <w:rPr>
                <w:rFonts w:cs="Verdana"/>
                <w:spacing w:val="1"/>
                <w:sz w:val="20"/>
                <w:szCs w:val="20"/>
              </w:rPr>
              <w:t>he</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23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Ló</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24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Ba</w:t>
            </w:r>
            <w:r w:rsidRPr="00537112">
              <w:rPr>
                <w:rFonts w:cs="Verdana"/>
                <w:spacing w:val="1"/>
                <w:position w:val="-1"/>
                <w:sz w:val="20"/>
                <w:szCs w:val="20"/>
              </w:rPr>
              <w:t>ud</w:t>
            </w:r>
            <w:r w:rsidRPr="00537112">
              <w:rPr>
                <w:rFonts w:cs="Verdana"/>
                <w:spacing w:val="3"/>
                <w:position w:val="-1"/>
                <w:sz w:val="20"/>
                <w:szCs w:val="20"/>
              </w:rPr>
              <w:t>ili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25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Le</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127</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R</w:t>
            </w:r>
            <w:r w:rsidRPr="00537112">
              <w:rPr>
                <w:rFonts w:cs="Verdana"/>
                <w:sz w:val="20"/>
                <w:szCs w:val="20"/>
              </w:rPr>
              <w:t>a</w:t>
            </w:r>
            <w:r w:rsidRPr="00537112">
              <w:rPr>
                <w:rFonts w:cs="Verdana"/>
                <w:spacing w:val="1"/>
                <w:sz w:val="20"/>
                <w:szCs w:val="20"/>
              </w:rPr>
              <w:t>m</w:t>
            </w:r>
            <w:r w:rsidRPr="00537112">
              <w:rPr>
                <w:rFonts w:cs="Verdana"/>
                <w:spacing w:val="-1"/>
                <w:sz w:val="20"/>
                <w:szCs w:val="20"/>
              </w:rPr>
              <w:t>o</w:t>
            </w:r>
            <w:r w:rsidRPr="00537112">
              <w:rPr>
                <w:rFonts w:cs="Verdana"/>
                <w:sz w:val="20"/>
                <w:szCs w:val="20"/>
              </w:rPr>
              <w:t>n</w:t>
            </w:r>
            <w:r w:rsidRPr="00537112">
              <w:rPr>
                <w:rFonts w:cs="Verdana"/>
                <w:spacing w:val="-7"/>
                <w:sz w:val="20"/>
                <w:szCs w:val="20"/>
              </w:rPr>
              <w:t xml:space="preserve"> </w:t>
            </w:r>
            <w:r w:rsidRPr="00537112">
              <w:rPr>
                <w:rFonts w:cs="Verdana"/>
                <w:sz w:val="20"/>
                <w:szCs w:val="20"/>
              </w:rPr>
              <w:t>Ca</w:t>
            </w:r>
            <w:r w:rsidRPr="00537112">
              <w:rPr>
                <w:rFonts w:cs="Verdana"/>
                <w:spacing w:val="3"/>
                <w:sz w:val="20"/>
                <w:szCs w:val="20"/>
              </w:rPr>
              <w:t>l</w:t>
            </w:r>
            <w:r w:rsidRPr="00537112">
              <w:rPr>
                <w:rFonts w:cs="Verdana"/>
                <w:sz w:val="20"/>
                <w:szCs w:val="20"/>
              </w:rPr>
              <w:t>at</w:t>
            </w:r>
            <w:r w:rsidRPr="00537112">
              <w:rPr>
                <w:rFonts w:cs="Verdana"/>
                <w:spacing w:val="-5"/>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26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m</w:t>
            </w:r>
            <w:r w:rsidRPr="00537112">
              <w:rPr>
                <w:rFonts w:cs="Verdana"/>
                <w:spacing w:val="3"/>
                <w:position w:val="-1"/>
                <w:sz w:val="20"/>
                <w:szCs w:val="20"/>
              </w:rPr>
              <w:t>ili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27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at</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70" w:lineRule="exact"/>
              <w:jc w:val="left"/>
              <w:textAlignment w:val="auto"/>
              <w:rPr>
                <w:rFonts w:ascii="Times New Roman" w:hAnsi="Times New Roman"/>
                <w:sz w:val="17"/>
                <w:szCs w:val="17"/>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128</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 w:line="170" w:lineRule="exact"/>
              <w:jc w:val="left"/>
              <w:textAlignment w:val="auto"/>
              <w:rPr>
                <w:rFonts w:ascii="Times New Roman" w:hAnsi="Times New Roman"/>
                <w:sz w:val="17"/>
                <w:szCs w:val="17"/>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Ju</w:t>
            </w:r>
            <w:r w:rsidRPr="00537112">
              <w:rPr>
                <w:rFonts w:cs="Verdana"/>
                <w:sz w:val="20"/>
                <w:szCs w:val="20"/>
              </w:rPr>
              <w:t>an</w:t>
            </w:r>
            <w:r w:rsidRPr="00537112">
              <w:rPr>
                <w:rFonts w:cs="Verdana"/>
                <w:spacing w:val="-5"/>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28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305"/>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z w:val="20"/>
                <w:szCs w:val="20"/>
              </w:rPr>
              <w:t>6</w:t>
            </w:r>
            <w:r w:rsidRPr="00537112">
              <w:rPr>
                <w:rFonts w:cs="Verdana"/>
                <w:spacing w:val="1"/>
                <w:sz w:val="20"/>
                <w:szCs w:val="20"/>
              </w:rPr>
              <w:t>29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b</w:t>
            </w:r>
            <w:r w:rsidRPr="00537112">
              <w:rPr>
                <w:rFonts w:cs="Verdana"/>
                <w:spacing w:val="-1"/>
                <w:sz w:val="20"/>
                <w:szCs w:val="20"/>
              </w:rPr>
              <w:t>er</w:t>
            </w:r>
            <w:r w:rsidRPr="00537112">
              <w:rPr>
                <w:rFonts w:cs="Verdana"/>
                <w:spacing w:val="1"/>
                <w:sz w:val="20"/>
                <w:szCs w:val="20"/>
              </w:rPr>
              <w:t>t</w:t>
            </w:r>
            <w:r w:rsidRPr="00537112">
              <w:rPr>
                <w:rFonts w:cs="Verdana"/>
                <w:sz w:val="20"/>
                <w:szCs w:val="20"/>
              </w:rPr>
              <w:t>a</w:t>
            </w:r>
            <w:r w:rsidRPr="00537112">
              <w:rPr>
                <w:rFonts w:cs="Verdana"/>
                <w:spacing w:val="-8"/>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Ló</w:t>
            </w:r>
            <w:r w:rsidRPr="00537112">
              <w:rPr>
                <w:rFonts w:cs="Verdana"/>
                <w:spacing w:val="1"/>
                <w:sz w:val="20"/>
                <w:szCs w:val="20"/>
              </w:rPr>
              <w:t>p</w:t>
            </w:r>
            <w:r w:rsidRPr="00537112">
              <w:rPr>
                <w:rFonts w:cs="Verdana"/>
                <w:spacing w:val="-1"/>
                <w:sz w:val="20"/>
                <w:szCs w:val="20"/>
              </w:rPr>
              <w:t>e</w:t>
            </w:r>
            <w:r w:rsidRPr="00537112">
              <w:rPr>
                <w:rFonts w:cs="Verdana"/>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30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u</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av</w:t>
            </w:r>
            <w:r w:rsidRPr="00537112">
              <w:rPr>
                <w:rFonts w:cs="Verdana"/>
                <w:spacing w:val="-1"/>
                <w:position w:val="-1"/>
                <w:sz w:val="20"/>
                <w:szCs w:val="20"/>
              </w:rPr>
              <w:t>e</w:t>
            </w:r>
            <w:r w:rsidRPr="00537112">
              <w:rPr>
                <w:rFonts w:cs="Verdana"/>
                <w:spacing w:val="1"/>
                <w:position w:val="-1"/>
                <w:sz w:val="20"/>
                <w:szCs w:val="20"/>
              </w:rPr>
              <w:t>ntu</w:t>
            </w:r>
            <w:r w:rsidRPr="00537112">
              <w:rPr>
                <w:rFonts w:cs="Verdana"/>
                <w:spacing w:val="-1"/>
                <w:position w:val="-1"/>
                <w:sz w:val="20"/>
                <w:szCs w:val="20"/>
              </w:rPr>
              <w:t>r</w:t>
            </w:r>
            <w:r w:rsidRPr="00537112">
              <w:rPr>
                <w:rFonts w:cs="Verdana"/>
                <w:position w:val="-1"/>
                <w:sz w:val="20"/>
                <w:szCs w:val="20"/>
              </w:rPr>
              <w:t>a</w:t>
            </w:r>
            <w:r w:rsidRPr="00537112">
              <w:rPr>
                <w:rFonts w:cs="Verdana"/>
                <w:spacing w:val="-1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305"/>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z w:val="20"/>
                <w:szCs w:val="20"/>
              </w:rPr>
              <w:t>6</w:t>
            </w:r>
            <w:r w:rsidRPr="00537112">
              <w:rPr>
                <w:rFonts w:cs="Verdana"/>
                <w:spacing w:val="1"/>
                <w:sz w:val="20"/>
                <w:szCs w:val="20"/>
              </w:rPr>
              <w:t>31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pacing w:val="1"/>
                <w:sz w:val="20"/>
                <w:szCs w:val="20"/>
              </w:rPr>
              <w:t>R</w:t>
            </w:r>
            <w:r w:rsidRPr="00537112">
              <w:rPr>
                <w:rFonts w:cs="Verdana"/>
                <w:spacing w:val="-1"/>
                <w:sz w:val="20"/>
                <w:szCs w:val="20"/>
              </w:rPr>
              <w:t>os</w:t>
            </w:r>
            <w:r w:rsidRPr="00537112">
              <w:rPr>
                <w:rFonts w:cs="Verdana"/>
                <w:sz w:val="20"/>
                <w:szCs w:val="20"/>
              </w:rPr>
              <w:t>a</w:t>
            </w:r>
            <w:r w:rsidRPr="00537112">
              <w:rPr>
                <w:rFonts w:cs="Verdana"/>
                <w:spacing w:val="-5"/>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é</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32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position w:val="-1"/>
                <w:sz w:val="20"/>
                <w:szCs w:val="20"/>
              </w:rPr>
              <w:t>Ba</w:t>
            </w:r>
            <w:r w:rsidRPr="00537112">
              <w:rPr>
                <w:rFonts w:cs="Verdana"/>
                <w:spacing w:val="1"/>
                <w:position w:val="-1"/>
                <w:sz w:val="20"/>
                <w:szCs w:val="20"/>
              </w:rPr>
              <w:t>ut</w:t>
            </w:r>
            <w:r w:rsidRPr="00537112">
              <w:rPr>
                <w:rFonts w:cs="Verdana"/>
                <w:spacing w:val="3"/>
                <w:position w:val="-1"/>
                <w:sz w:val="20"/>
                <w:szCs w:val="20"/>
              </w:rPr>
              <w:t>i</w:t>
            </w:r>
            <w:r w:rsidRPr="00537112">
              <w:rPr>
                <w:rFonts w:cs="Verdana"/>
                <w:spacing w:val="-1"/>
                <w:position w:val="-1"/>
                <w:sz w:val="20"/>
                <w:szCs w:val="20"/>
              </w:rPr>
              <w:t>s</w:t>
            </w:r>
            <w:r w:rsidRPr="00537112">
              <w:rPr>
                <w:rFonts w:cs="Verdana"/>
                <w:spacing w:val="1"/>
                <w:position w:val="-1"/>
                <w:sz w:val="20"/>
                <w:szCs w:val="20"/>
              </w:rPr>
              <w:t>t</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33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w:t>
            </w:r>
            <w:r w:rsidRPr="00537112">
              <w:rPr>
                <w:rFonts w:cs="Verdana"/>
                <w:spacing w:val="3"/>
                <w:position w:val="-1"/>
                <w:sz w:val="20"/>
                <w:szCs w:val="20"/>
              </w:rPr>
              <w:t>l</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34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m</w:t>
            </w:r>
            <w:r w:rsidRPr="00537112">
              <w:rPr>
                <w:rFonts w:cs="Verdana"/>
                <w:spacing w:val="3"/>
                <w:position w:val="-1"/>
                <w:sz w:val="20"/>
                <w:szCs w:val="20"/>
              </w:rPr>
              <w:t>il</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3"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129</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3"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rco</w:t>
            </w:r>
            <w:r w:rsidRPr="00537112">
              <w:rPr>
                <w:rFonts w:cs="Verdana"/>
                <w:sz w:val="20"/>
                <w:szCs w:val="20"/>
              </w:rPr>
              <w:t>s</w:t>
            </w:r>
            <w:r w:rsidRPr="00537112">
              <w:rPr>
                <w:rFonts w:cs="Verdana"/>
                <w:spacing w:val="-8"/>
                <w:sz w:val="20"/>
                <w:szCs w:val="20"/>
              </w:rPr>
              <w:t xml:space="preserve"> </w:t>
            </w:r>
            <w:r w:rsidRPr="00537112">
              <w:rPr>
                <w:rFonts w:cs="Verdana"/>
                <w:spacing w:val="1"/>
                <w:sz w:val="20"/>
                <w:szCs w:val="20"/>
              </w:rPr>
              <w:t>U</w:t>
            </w:r>
            <w:r w:rsidRPr="00537112">
              <w:rPr>
                <w:rFonts w:cs="Verdana"/>
                <w:spacing w:val="-1"/>
                <w:sz w:val="20"/>
                <w:szCs w:val="20"/>
              </w:rPr>
              <w:t>sc</w:t>
            </w:r>
            <w:r w:rsidRPr="00537112">
              <w:rPr>
                <w:rFonts w:cs="Verdana"/>
                <w:sz w:val="20"/>
                <w:szCs w:val="20"/>
              </w:rPr>
              <w:t>ap</w:t>
            </w:r>
            <w:r w:rsidRPr="00537112">
              <w:rPr>
                <w:rFonts w:cs="Verdana"/>
                <w:spacing w:val="-6"/>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35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b</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De</w:t>
            </w:r>
            <w:r w:rsidRPr="00537112">
              <w:rPr>
                <w:rFonts w:cs="Verdana"/>
                <w:spacing w:val="-5"/>
                <w:position w:val="-1"/>
                <w:sz w:val="20"/>
                <w:szCs w:val="20"/>
              </w:rPr>
              <w:t xml:space="preserve"> </w:t>
            </w:r>
            <w:r w:rsidRPr="00537112">
              <w:rPr>
                <w:rFonts w:cs="Verdana"/>
                <w:spacing w:val="1"/>
                <w:position w:val="-1"/>
                <w:sz w:val="20"/>
                <w:szCs w:val="20"/>
              </w:rPr>
              <w:t>U</w:t>
            </w:r>
            <w:r w:rsidRPr="00537112">
              <w:rPr>
                <w:rFonts w:cs="Verdana"/>
                <w:spacing w:val="-1"/>
                <w:position w:val="-1"/>
                <w:sz w:val="20"/>
                <w:szCs w:val="20"/>
              </w:rPr>
              <w:t>sc</w:t>
            </w:r>
            <w:r w:rsidRPr="00537112">
              <w:rPr>
                <w:rFonts w:cs="Verdana"/>
                <w:position w:val="-1"/>
                <w:sz w:val="20"/>
                <w:szCs w:val="20"/>
              </w:rPr>
              <w:t>ap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36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rco</w:t>
            </w:r>
            <w:r w:rsidRPr="00537112">
              <w:rPr>
                <w:rFonts w:cs="Verdana"/>
                <w:position w:val="-1"/>
                <w:sz w:val="20"/>
                <w:szCs w:val="20"/>
              </w:rPr>
              <w:t>s</w:t>
            </w:r>
            <w:r w:rsidRPr="00537112">
              <w:rPr>
                <w:rFonts w:cs="Verdana"/>
                <w:spacing w:val="-8"/>
                <w:position w:val="-1"/>
                <w:sz w:val="20"/>
                <w:szCs w:val="20"/>
              </w:rPr>
              <w:t xml:space="preserve"> </w:t>
            </w:r>
            <w:r w:rsidRPr="00537112">
              <w:rPr>
                <w:rFonts w:cs="Verdana"/>
                <w:spacing w:val="1"/>
                <w:position w:val="-1"/>
                <w:sz w:val="20"/>
                <w:szCs w:val="20"/>
              </w:rPr>
              <w:t>U</w:t>
            </w:r>
            <w:r w:rsidRPr="00537112">
              <w:rPr>
                <w:rFonts w:cs="Verdana"/>
                <w:spacing w:val="-1"/>
                <w:position w:val="-1"/>
                <w:sz w:val="20"/>
                <w:szCs w:val="20"/>
              </w:rPr>
              <w:t>sc</w:t>
            </w:r>
            <w:r w:rsidRPr="00537112">
              <w:rPr>
                <w:rFonts w:cs="Verdana"/>
                <w:position w:val="-1"/>
                <w:sz w:val="20"/>
                <w:szCs w:val="20"/>
              </w:rPr>
              <w:t>ap</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spacing w:val="3"/>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37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osef</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U</w:t>
            </w:r>
            <w:r w:rsidRPr="00537112">
              <w:rPr>
                <w:rFonts w:cs="Verdana"/>
                <w:spacing w:val="-1"/>
                <w:position w:val="-1"/>
                <w:sz w:val="20"/>
                <w:szCs w:val="20"/>
              </w:rPr>
              <w:t>sc</w:t>
            </w:r>
            <w:r w:rsidRPr="00537112">
              <w:rPr>
                <w:rFonts w:cs="Verdana"/>
                <w:position w:val="-1"/>
                <w:sz w:val="20"/>
                <w:szCs w:val="20"/>
              </w:rPr>
              <w:t>ap</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449"/>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90" w:line="240" w:lineRule="auto"/>
              <w:ind w:right="-20"/>
              <w:jc w:val="left"/>
              <w:textAlignment w:val="auto"/>
              <w:rPr>
                <w:rFonts w:ascii="Times New Roman" w:hAnsi="Times New Roman"/>
              </w:rPr>
            </w:pPr>
            <w:r w:rsidRPr="00537112">
              <w:rPr>
                <w:rFonts w:cs="Verdana"/>
                <w:sz w:val="20"/>
                <w:szCs w:val="20"/>
              </w:rPr>
              <w:t>6</w:t>
            </w:r>
            <w:r w:rsidRPr="00537112">
              <w:rPr>
                <w:rFonts w:cs="Verdana"/>
                <w:spacing w:val="1"/>
                <w:sz w:val="20"/>
                <w:szCs w:val="20"/>
              </w:rPr>
              <w:t>38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0" w:line="240" w:lineRule="auto"/>
              <w:ind w:right="-20"/>
              <w:jc w:val="left"/>
              <w:textAlignment w:val="auto"/>
              <w:rPr>
                <w:rFonts w:ascii="Times New Roman" w:hAnsi="Times New Roman"/>
              </w:rPr>
            </w:pPr>
            <w:r w:rsidRPr="00537112">
              <w:rPr>
                <w:rFonts w:cs="Verdana"/>
                <w:spacing w:val="1"/>
                <w:sz w:val="20"/>
                <w:szCs w:val="20"/>
              </w:rPr>
              <w:t>Augu</w:t>
            </w:r>
            <w:r w:rsidRPr="00537112">
              <w:rPr>
                <w:rFonts w:cs="Verdana"/>
                <w:spacing w:val="-1"/>
                <w:sz w:val="20"/>
                <w:szCs w:val="20"/>
              </w:rPr>
              <w:t>s</w:t>
            </w:r>
            <w:r w:rsidRPr="00537112">
              <w:rPr>
                <w:rFonts w:cs="Verdana"/>
                <w:spacing w:val="1"/>
                <w:sz w:val="20"/>
                <w:szCs w:val="20"/>
              </w:rPr>
              <w:t>t</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U</w:t>
            </w:r>
            <w:r w:rsidRPr="00537112">
              <w:rPr>
                <w:rFonts w:cs="Verdana"/>
                <w:spacing w:val="-1"/>
                <w:sz w:val="20"/>
                <w:szCs w:val="20"/>
              </w:rPr>
              <w:t>sc</w:t>
            </w:r>
            <w:r w:rsidRPr="00537112">
              <w:rPr>
                <w:rFonts w:cs="Verdana"/>
                <w:sz w:val="20"/>
                <w:szCs w:val="20"/>
              </w:rPr>
              <w:t>ap</w:t>
            </w:r>
            <w:r w:rsidRPr="00537112">
              <w:rPr>
                <w:rFonts w:cs="Verdana"/>
                <w:spacing w:val="-6"/>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130</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N</w:t>
            </w:r>
            <w:r w:rsidRPr="00537112">
              <w:rPr>
                <w:rFonts w:cs="Verdana"/>
                <w:spacing w:val="3"/>
                <w:sz w:val="20"/>
                <w:szCs w:val="20"/>
              </w:rPr>
              <w:t>i</w:t>
            </w:r>
            <w:r w:rsidRPr="00537112">
              <w:rPr>
                <w:rFonts w:cs="Verdana"/>
                <w:spacing w:val="-1"/>
                <w:sz w:val="20"/>
                <w:szCs w:val="20"/>
              </w:rPr>
              <w:t>co</w:t>
            </w:r>
            <w:r w:rsidRPr="00537112">
              <w:rPr>
                <w:rFonts w:cs="Verdana"/>
                <w:spacing w:val="3"/>
                <w:sz w:val="20"/>
                <w:szCs w:val="20"/>
              </w:rPr>
              <w:t>l</w:t>
            </w:r>
            <w:r w:rsidRPr="00537112">
              <w:rPr>
                <w:rFonts w:cs="Verdana"/>
                <w:sz w:val="20"/>
                <w:szCs w:val="20"/>
              </w:rPr>
              <w:t>ás</w:t>
            </w:r>
            <w:r w:rsidRPr="00537112">
              <w:rPr>
                <w:rFonts w:cs="Verdana"/>
                <w:spacing w:val="-8"/>
                <w:sz w:val="20"/>
                <w:szCs w:val="20"/>
              </w:rPr>
              <w:t xml:space="preserve"> </w:t>
            </w:r>
            <w:r w:rsidRPr="00537112">
              <w:rPr>
                <w:rFonts w:cs="Verdana"/>
                <w:spacing w:val="1"/>
                <w:sz w:val="20"/>
                <w:szCs w:val="20"/>
              </w:rPr>
              <w:t>Ju</w:t>
            </w:r>
            <w:r w:rsidRPr="00537112">
              <w:rPr>
                <w:rFonts w:cs="Verdana"/>
                <w:sz w:val="20"/>
                <w:szCs w:val="20"/>
              </w:rPr>
              <w:t>a</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z w:val="20"/>
                <w:szCs w:val="20"/>
              </w:rPr>
              <w:t>o</w:t>
            </w:r>
            <w:r w:rsidRPr="00537112">
              <w:rPr>
                <w:rFonts w:cs="Verdana"/>
                <w:spacing w:val="-3"/>
                <w:sz w:val="20"/>
                <w:szCs w:val="20"/>
              </w:rPr>
              <w:t xml:space="preserve"> </w:t>
            </w:r>
            <w:r w:rsidRPr="00537112">
              <w:rPr>
                <w:rFonts w:cs="Verdana"/>
                <w:sz w:val="20"/>
                <w:szCs w:val="20"/>
              </w:rPr>
              <w:t>N</w:t>
            </w:r>
            <w:r w:rsidRPr="00537112">
              <w:rPr>
                <w:rFonts w:cs="Verdana"/>
                <w:spacing w:val="3"/>
                <w:sz w:val="20"/>
                <w:szCs w:val="20"/>
              </w:rPr>
              <w:t>i</w:t>
            </w:r>
            <w:r w:rsidRPr="00537112">
              <w:rPr>
                <w:rFonts w:cs="Verdana"/>
                <w:spacing w:val="-1"/>
                <w:sz w:val="20"/>
                <w:szCs w:val="20"/>
              </w:rPr>
              <w:t>co</w:t>
            </w:r>
            <w:r w:rsidRPr="00537112">
              <w:rPr>
                <w:rFonts w:cs="Verdana"/>
                <w:spacing w:val="3"/>
                <w:sz w:val="20"/>
                <w:szCs w:val="20"/>
              </w:rPr>
              <w:t>l</w:t>
            </w:r>
            <w:r w:rsidRPr="00537112">
              <w:rPr>
                <w:rFonts w:cs="Verdana"/>
                <w:sz w:val="20"/>
                <w:szCs w:val="20"/>
              </w:rPr>
              <w:t>ás</w:t>
            </w:r>
            <w:r w:rsidRPr="00537112">
              <w:rPr>
                <w:rFonts w:cs="Verdana"/>
                <w:spacing w:val="-8"/>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39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c</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Ló</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40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Ló</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0"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131</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0"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Le</w:t>
            </w:r>
            <w:r w:rsidRPr="00537112">
              <w:rPr>
                <w:rFonts w:cs="Verdana"/>
                <w:sz w:val="20"/>
                <w:szCs w:val="20"/>
              </w:rPr>
              <w:t>a</w:t>
            </w:r>
            <w:r w:rsidRPr="00537112">
              <w:rPr>
                <w:rFonts w:cs="Verdana"/>
                <w:spacing w:val="1"/>
                <w:sz w:val="20"/>
                <w:szCs w:val="20"/>
              </w:rPr>
              <w:t>nd</w:t>
            </w:r>
            <w:r w:rsidRPr="00537112">
              <w:rPr>
                <w:rFonts w:cs="Verdana"/>
                <w:spacing w:val="-1"/>
                <w:sz w:val="20"/>
                <w:szCs w:val="20"/>
              </w:rPr>
              <w:t>r</w:t>
            </w:r>
            <w:r w:rsidRPr="00537112">
              <w:rPr>
                <w:rFonts w:cs="Verdana"/>
                <w:sz w:val="20"/>
                <w:szCs w:val="20"/>
              </w:rPr>
              <w:t>o</w:t>
            </w:r>
            <w:r w:rsidRPr="00537112">
              <w:rPr>
                <w:rFonts w:cs="Verdana"/>
                <w:spacing w:val="-10"/>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41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t</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42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Le</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43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Er</w:t>
            </w:r>
            <w:r w:rsidRPr="00537112">
              <w:rPr>
                <w:rFonts w:cs="Verdana"/>
                <w:spacing w:val="1"/>
                <w:position w:val="-1"/>
                <w:sz w:val="20"/>
                <w:szCs w:val="20"/>
              </w:rPr>
              <w:t>n</w:t>
            </w:r>
            <w:r w:rsidRPr="00537112">
              <w:rPr>
                <w:rFonts w:cs="Verdana"/>
                <w:spacing w:val="-1"/>
                <w:position w:val="-1"/>
                <w:sz w:val="20"/>
                <w:szCs w:val="20"/>
              </w:rPr>
              <w:t>es</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44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spacing w:val="-1"/>
                <w:position w:val="-1"/>
                <w:sz w:val="20"/>
                <w:szCs w:val="20"/>
              </w:rPr>
              <w:t>o</w:t>
            </w:r>
            <w:r w:rsidRPr="00537112">
              <w:rPr>
                <w:rFonts w:cs="Verdana"/>
                <w:position w:val="-1"/>
                <w:sz w:val="20"/>
                <w:szCs w:val="20"/>
              </w:rPr>
              <w:t>s</w:t>
            </w:r>
            <w:r w:rsidRPr="00537112">
              <w:rPr>
                <w:rFonts w:cs="Verdana"/>
                <w:spacing w:val="-8"/>
                <w:position w:val="-1"/>
                <w:sz w:val="20"/>
                <w:szCs w:val="20"/>
              </w:rPr>
              <w:t xml:space="preserve"> </w:t>
            </w:r>
            <w:r w:rsidRPr="00537112">
              <w:rPr>
                <w:rFonts w:cs="Verdana"/>
                <w:spacing w:val="-1"/>
                <w:position w:val="-1"/>
                <w:sz w:val="20"/>
                <w:szCs w:val="20"/>
              </w:rPr>
              <w:t>Ge</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45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m</w:t>
            </w:r>
            <w:r w:rsidRPr="00537112">
              <w:rPr>
                <w:rFonts w:cs="Verdana"/>
                <w:position w:val="-1"/>
                <w:sz w:val="20"/>
                <w:szCs w:val="20"/>
              </w:rPr>
              <w:t>o</w:t>
            </w:r>
            <w:r w:rsidRPr="00537112">
              <w:rPr>
                <w:rFonts w:cs="Verdana"/>
                <w:spacing w:val="-8"/>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46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Am</w:t>
            </w:r>
            <w:r w:rsidRPr="00537112">
              <w:rPr>
                <w:rFonts w:cs="Verdana"/>
                <w:spacing w:val="3"/>
                <w:position w:val="-1"/>
                <w:sz w:val="20"/>
                <w:szCs w:val="20"/>
              </w:rPr>
              <w:t>il</w:t>
            </w:r>
            <w:r w:rsidRPr="00537112">
              <w:rPr>
                <w:rFonts w:cs="Verdana"/>
                <w:spacing w:val="-1"/>
                <w:position w:val="-1"/>
                <w:sz w:val="20"/>
                <w:szCs w:val="20"/>
              </w:rPr>
              <w:t>c</w:t>
            </w:r>
            <w:r w:rsidRPr="00537112">
              <w:rPr>
                <w:rFonts w:cs="Verdana"/>
                <w:position w:val="-1"/>
                <w:sz w:val="20"/>
                <w:szCs w:val="20"/>
              </w:rPr>
              <w:t>ar</w:t>
            </w:r>
            <w:r w:rsidRPr="00537112">
              <w:rPr>
                <w:rFonts w:cs="Verdana"/>
                <w:spacing w:val="-9"/>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132</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G</w:t>
            </w:r>
            <w:r w:rsidRPr="00537112">
              <w:rPr>
                <w:rFonts w:cs="Verdana"/>
                <w:spacing w:val="1"/>
                <w:sz w:val="20"/>
                <w:szCs w:val="20"/>
              </w:rPr>
              <w:t>u</w:t>
            </w:r>
            <w:r w:rsidRPr="00537112">
              <w:rPr>
                <w:rFonts w:cs="Verdana"/>
                <w:spacing w:val="3"/>
                <w:sz w:val="20"/>
                <w:szCs w:val="20"/>
              </w:rPr>
              <w:t>ill</w:t>
            </w:r>
            <w:r w:rsidRPr="00537112">
              <w:rPr>
                <w:rFonts w:cs="Verdana"/>
                <w:spacing w:val="-1"/>
                <w:sz w:val="20"/>
                <w:szCs w:val="20"/>
              </w:rPr>
              <w:t>er</w:t>
            </w:r>
            <w:r w:rsidRPr="00537112">
              <w:rPr>
                <w:rFonts w:cs="Verdana"/>
                <w:spacing w:val="1"/>
                <w:sz w:val="20"/>
                <w:szCs w:val="20"/>
              </w:rPr>
              <w:t>m</w:t>
            </w:r>
            <w:r w:rsidRPr="00537112">
              <w:rPr>
                <w:rFonts w:cs="Verdana"/>
                <w:sz w:val="20"/>
                <w:szCs w:val="20"/>
              </w:rPr>
              <w:t>o</w:t>
            </w:r>
            <w:r w:rsidRPr="00537112">
              <w:rPr>
                <w:rFonts w:cs="Verdana"/>
                <w:spacing w:val="-12"/>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á</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r w:rsidRPr="00537112">
              <w:rPr>
                <w:rFonts w:cs="Verdana"/>
                <w:spacing w:val="-9"/>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m</w:t>
            </w:r>
            <w:r w:rsidRPr="00537112">
              <w:rPr>
                <w:rFonts w:cs="Verdana"/>
                <w:sz w:val="20"/>
                <w:szCs w:val="20"/>
              </w:rPr>
              <w:t>án</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47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w:t>
            </w:r>
            <w:r w:rsidRPr="00537112">
              <w:rPr>
                <w:rFonts w:cs="Verdana"/>
                <w:spacing w:val="1"/>
                <w:position w:val="-1"/>
                <w:sz w:val="20"/>
                <w:szCs w:val="20"/>
              </w:rPr>
              <w:t>u</w:t>
            </w:r>
            <w:r w:rsidRPr="00537112">
              <w:rPr>
                <w:rFonts w:cs="Verdana"/>
                <w:spacing w:val="3"/>
                <w:position w:val="-1"/>
                <w:sz w:val="20"/>
                <w:szCs w:val="20"/>
              </w:rPr>
              <w:t>ill</w:t>
            </w:r>
            <w:r w:rsidRPr="00537112">
              <w:rPr>
                <w:rFonts w:cs="Verdana"/>
                <w:spacing w:val="-1"/>
                <w:position w:val="-1"/>
                <w:sz w:val="20"/>
                <w:szCs w:val="20"/>
              </w:rPr>
              <w:t>er</w:t>
            </w:r>
            <w:r w:rsidRPr="00537112">
              <w:rPr>
                <w:rFonts w:cs="Verdana"/>
                <w:spacing w:val="1"/>
                <w:position w:val="-1"/>
                <w:sz w:val="20"/>
                <w:szCs w:val="20"/>
              </w:rPr>
              <w:t>m</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48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áz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49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z</w:t>
            </w:r>
            <w:r w:rsidRPr="00537112">
              <w:rPr>
                <w:rFonts w:cs="Verdana"/>
                <w:position w:val="-1"/>
                <w:sz w:val="20"/>
                <w:szCs w:val="20"/>
              </w:rPr>
              <w:t>a</w:t>
            </w:r>
            <w:r w:rsidRPr="00537112">
              <w:rPr>
                <w:rFonts w:cs="Verdana"/>
                <w:spacing w:val="1"/>
                <w:position w:val="-1"/>
                <w:sz w:val="20"/>
                <w:szCs w:val="20"/>
              </w:rPr>
              <w:t>b</w:t>
            </w:r>
            <w:r w:rsidRPr="00537112">
              <w:rPr>
                <w:rFonts w:cs="Verdana"/>
                <w:spacing w:val="-1"/>
                <w:position w:val="-1"/>
                <w:sz w:val="20"/>
                <w:szCs w:val="20"/>
              </w:rPr>
              <w:t>e</w:t>
            </w:r>
            <w:r w:rsidRPr="00537112">
              <w:rPr>
                <w:rFonts w:cs="Verdana"/>
                <w:spacing w:val="1"/>
                <w:position w:val="-1"/>
                <w:sz w:val="20"/>
                <w:szCs w:val="20"/>
              </w:rPr>
              <w:t>t</w:t>
            </w:r>
            <w:r w:rsidRPr="00537112">
              <w:rPr>
                <w:rFonts w:cs="Verdana"/>
                <w:position w:val="-1"/>
                <w:sz w:val="20"/>
                <w:szCs w:val="20"/>
              </w:rPr>
              <w:t>h</w:t>
            </w:r>
            <w:r w:rsidRPr="00537112">
              <w:rPr>
                <w:rFonts w:cs="Verdana"/>
                <w:spacing w:val="-9"/>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50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Osc</w:t>
            </w:r>
            <w:r w:rsidRPr="00537112">
              <w:rPr>
                <w:rFonts w:cs="Verdana"/>
                <w:position w:val="-1"/>
                <w:sz w:val="20"/>
                <w:szCs w:val="20"/>
              </w:rPr>
              <w:t>ar</w:t>
            </w:r>
            <w:r w:rsidRPr="00537112">
              <w:rPr>
                <w:rFonts w:cs="Verdana"/>
                <w:spacing w:val="-8"/>
                <w:position w:val="-1"/>
                <w:sz w:val="20"/>
                <w:szCs w:val="20"/>
              </w:rPr>
              <w:t xml:space="preserve"> </w:t>
            </w:r>
            <w:r w:rsidRPr="00537112">
              <w:rPr>
                <w:rFonts w:cs="Verdana"/>
                <w:spacing w:val="-1"/>
                <w:position w:val="-1"/>
                <w:sz w:val="20"/>
                <w:szCs w:val="20"/>
              </w:rPr>
              <w:t>E</w:t>
            </w:r>
            <w:r w:rsidRPr="00537112">
              <w:rPr>
                <w:rFonts w:cs="Verdana"/>
                <w:spacing w:val="1"/>
                <w:position w:val="-1"/>
                <w:sz w:val="20"/>
                <w:szCs w:val="20"/>
              </w:rPr>
              <w:t>z</w:t>
            </w:r>
            <w:r w:rsidRPr="00537112">
              <w:rPr>
                <w:rFonts w:cs="Verdana"/>
                <w:spacing w:val="-1"/>
                <w:position w:val="-1"/>
                <w:sz w:val="20"/>
                <w:szCs w:val="20"/>
              </w:rPr>
              <w:t>e</w:t>
            </w:r>
            <w:r w:rsidRPr="00537112">
              <w:rPr>
                <w:rFonts w:cs="Verdana"/>
                <w:spacing w:val="1"/>
                <w:position w:val="-1"/>
                <w:sz w:val="20"/>
                <w:szCs w:val="20"/>
              </w:rPr>
              <w:t>qu</w:t>
            </w:r>
            <w:r w:rsidRPr="00537112">
              <w:rPr>
                <w:rFonts w:cs="Verdana"/>
                <w:spacing w:val="3"/>
                <w:position w:val="-1"/>
                <w:sz w:val="20"/>
                <w:szCs w:val="20"/>
              </w:rPr>
              <w:t>i</w:t>
            </w:r>
            <w:r w:rsidRPr="00537112">
              <w:rPr>
                <w:rFonts w:cs="Verdana"/>
                <w:spacing w:val="-1"/>
                <w:position w:val="-1"/>
                <w:sz w:val="20"/>
                <w:szCs w:val="20"/>
              </w:rPr>
              <w:t>e</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51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May</w:t>
            </w:r>
            <w:r w:rsidRPr="00537112">
              <w:rPr>
                <w:rFonts w:cs="Verdana"/>
                <w:spacing w:val="-1"/>
                <w:position w:val="-1"/>
                <w:sz w:val="20"/>
                <w:szCs w:val="20"/>
              </w:rPr>
              <w:t>r</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Jud</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h</w:t>
            </w:r>
            <w:r w:rsidRPr="00537112">
              <w:rPr>
                <w:rFonts w:cs="Verdana"/>
                <w:spacing w:val="-6"/>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133</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B</w:t>
            </w:r>
            <w:r w:rsidRPr="00537112">
              <w:rPr>
                <w:rFonts w:cs="Verdana"/>
                <w:spacing w:val="-1"/>
                <w:sz w:val="20"/>
                <w:szCs w:val="20"/>
              </w:rPr>
              <w:t>o</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f</w:t>
            </w:r>
            <w:r w:rsidRPr="00537112">
              <w:rPr>
                <w:rFonts w:cs="Verdana"/>
                <w:sz w:val="20"/>
                <w:szCs w:val="20"/>
              </w:rPr>
              <w:t>a</w:t>
            </w:r>
            <w:r w:rsidRPr="00537112">
              <w:rPr>
                <w:rFonts w:cs="Verdana"/>
                <w:spacing w:val="-1"/>
                <w:sz w:val="20"/>
                <w:szCs w:val="20"/>
              </w:rPr>
              <w:t>c</w:t>
            </w:r>
            <w:r w:rsidRPr="00537112">
              <w:rPr>
                <w:rFonts w:cs="Verdana"/>
                <w:spacing w:val="3"/>
                <w:sz w:val="20"/>
                <w:szCs w:val="20"/>
              </w:rPr>
              <w:t>i</w:t>
            </w:r>
            <w:r w:rsidRPr="00537112">
              <w:rPr>
                <w:rFonts w:cs="Verdana"/>
                <w:sz w:val="20"/>
                <w:szCs w:val="20"/>
              </w:rPr>
              <w:t>o</w:t>
            </w:r>
            <w:r w:rsidRPr="00537112">
              <w:rPr>
                <w:rFonts w:cs="Verdana"/>
                <w:spacing w:val="-11"/>
                <w:sz w:val="20"/>
                <w:szCs w:val="20"/>
              </w:rPr>
              <w:t xml:space="preserve"> </w:t>
            </w:r>
            <w:r w:rsidRPr="00537112">
              <w:rPr>
                <w:rFonts w:cs="Verdana"/>
                <w:sz w:val="20"/>
                <w:szCs w:val="20"/>
              </w:rPr>
              <w:t>Ca</w:t>
            </w:r>
            <w:r w:rsidRPr="00537112">
              <w:rPr>
                <w:rFonts w:cs="Verdana"/>
                <w:spacing w:val="3"/>
                <w:sz w:val="20"/>
                <w:szCs w:val="20"/>
              </w:rPr>
              <w:t>l</w:t>
            </w:r>
            <w:r w:rsidRPr="00537112">
              <w:rPr>
                <w:rFonts w:cs="Verdana"/>
                <w:sz w:val="20"/>
                <w:szCs w:val="20"/>
              </w:rPr>
              <w:t>at</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52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53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at</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54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at</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134</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D</w:t>
            </w:r>
            <w:r w:rsidRPr="00537112">
              <w:rPr>
                <w:rFonts w:cs="Verdana"/>
                <w:spacing w:val="-1"/>
                <w:sz w:val="20"/>
                <w:szCs w:val="20"/>
              </w:rPr>
              <w:t>e</w:t>
            </w:r>
            <w:r w:rsidRPr="00537112">
              <w:rPr>
                <w:rFonts w:cs="Verdana"/>
                <w:spacing w:val="3"/>
                <w:sz w:val="20"/>
                <w:szCs w:val="20"/>
              </w:rPr>
              <w:t>l</w:t>
            </w:r>
            <w:r w:rsidRPr="00537112">
              <w:rPr>
                <w:rFonts w:cs="Verdana"/>
                <w:spacing w:val="-1"/>
                <w:sz w:val="20"/>
                <w:szCs w:val="20"/>
              </w:rPr>
              <w:t>f</w:t>
            </w:r>
            <w:r w:rsidRPr="00537112">
              <w:rPr>
                <w:rFonts w:cs="Verdana"/>
                <w:spacing w:val="3"/>
                <w:sz w:val="20"/>
                <w:szCs w:val="20"/>
              </w:rPr>
              <w:t>i</w:t>
            </w:r>
            <w:r w:rsidRPr="00537112">
              <w:rPr>
                <w:rFonts w:cs="Verdana"/>
                <w:spacing w:val="1"/>
                <w:sz w:val="20"/>
                <w:szCs w:val="20"/>
              </w:rPr>
              <w:t>n</w:t>
            </w:r>
            <w:r w:rsidRPr="00537112">
              <w:rPr>
                <w:rFonts w:cs="Verdana"/>
                <w:sz w:val="20"/>
                <w:szCs w:val="20"/>
              </w:rPr>
              <w:t>a</w:t>
            </w:r>
            <w:r w:rsidRPr="00537112">
              <w:rPr>
                <w:rFonts w:cs="Verdana"/>
                <w:spacing w:val="-7"/>
                <w:sz w:val="20"/>
                <w:szCs w:val="20"/>
              </w:rPr>
              <w:t xml:space="preserve"> </w:t>
            </w:r>
            <w:r w:rsidRPr="00537112">
              <w:rPr>
                <w:rFonts w:cs="Verdana"/>
                <w:spacing w:val="1"/>
                <w:sz w:val="20"/>
                <w:szCs w:val="20"/>
              </w:rPr>
              <w:t>Su</w:t>
            </w:r>
            <w:r w:rsidRPr="00537112">
              <w:rPr>
                <w:rFonts w:cs="Verdana"/>
                <w:spacing w:val="-1"/>
                <w:sz w:val="20"/>
                <w:szCs w:val="20"/>
              </w:rPr>
              <w:t>c</w:t>
            </w:r>
            <w:r w:rsidRPr="00537112">
              <w:rPr>
                <w:rFonts w:cs="Verdana"/>
                <w:spacing w:val="1"/>
                <w:sz w:val="20"/>
                <w:szCs w:val="20"/>
              </w:rPr>
              <w:t>u</w:t>
            </w:r>
            <w:r w:rsidRPr="00537112">
              <w:rPr>
                <w:rFonts w:cs="Verdana"/>
                <w:sz w:val="20"/>
                <w:szCs w:val="20"/>
              </w:rPr>
              <w:t>p</w:t>
            </w:r>
            <w:r w:rsidRPr="00537112">
              <w:rPr>
                <w:rFonts w:cs="Verdana"/>
                <w:spacing w:val="-6"/>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55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N</w:t>
            </w:r>
            <w:r w:rsidRPr="00537112">
              <w:rPr>
                <w:rFonts w:cs="Verdana"/>
                <w:spacing w:val="3"/>
                <w:position w:val="-1"/>
                <w:sz w:val="20"/>
                <w:szCs w:val="20"/>
              </w:rPr>
              <w:t>i</w:t>
            </w:r>
            <w:r w:rsidRPr="00537112">
              <w:rPr>
                <w:rFonts w:cs="Verdana"/>
                <w:spacing w:val="-1"/>
                <w:position w:val="-1"/>
                <w:sz w:val="20"/>
                <w:szCs w:val="20"/>
              </w:rPr>
              <w:t>co</w:t>
            </w:r>
            <w:r w:rsidRPr="00537112">
              <w:rPr>
                <w:rFonts w:cs="Verdana"/>
                <w:spacing w:val="3"/>
                <w:position w:val="-1"/>
                <w:sz w:val="20"/>
                <w:szCs w:val="20"/>
              </w:rPr>
              <w:t>l</w:t>
            </w:r>
            <w:r w:rsidRPr="00537112">
              <w:rPr>
                <w:rFonts w:cs="Verdana"/>
                <w:position w:val="-1"/>
                <w:sz w:val="20"/>
                <w:szCs w:val="20"/>
              </w:rPr>
              <w:t>as</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56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f</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57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nm</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58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59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dg</w:t>
            </w:r>
            <w:r w:rsidRPr="00537112">
              <w:rPr>
                <w:rFonts w:cs="Verdana"/>
                <w:position w:val="-1"/>
                <w:sz w:val="20"/>
                <w:szCs w:val="20"/>
              </w:rPr>
              <w:t>ar</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60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Rub</w:t>
            </w:r>
            <w:r w:rsidRPr="00537112">
              <w:rPr>
                <w:rFonts w:cs="Verdana"/>
                <w:spacing w:val="-1"/>
                <w:position w:val="-1"/>
                <w:sz w:val="20"/>
                <w:szCs w:val="20"/>
              </w:rPr>
              <w:t>e</w:t>
            </w:r>
            <w:r w:rsidRPr="00537112">
              <w:rPr>
                <w:rFonts w:cs="Verdana"/>
                <w:position w:val="-1"/>
                <w:sz w:val="20"/>
                <w:szCs w:val="20"/>
              </w:rPr>
              <w:t>n</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61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62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3"/>
                <w:position w:val="-1"/>
                <w:sz w:val="20"/>
                <w:szCs w:val="20"/>
              </w:rPr>
              <w:t>i</w:t>
            </w:r>
            <w:r w:rsidRPr="00537112">
              <w:rPr>
                <w:rFonts w:cs="Verdana"/>
                <w:position w:val="-1"/>
                <w:sz w:val="20"/>
                <w:szCs w:val="20"/>
              </w:rPr>
              <w:t>s</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up</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135</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S</w:t>
            </w:r>
            <w:r w:rsidRPr="00537112">
              <w:rPr>
                <w:rFonts w:cs="Verdana"/>
                <w:sz w:val="20"/>
                <w:szCs w:val="20"/>
              </w:rPr>
              <w:t>a</w:t>
            </w:r>
            <w:r w:rsidRPr="00537112">
              <w:rPr>
                <w:rFonts w:cs="Verdana"/>
                <w:spacing w:val="1"/>
                <w:sz w:val="20"/>
                <w:szCs w:val="20"/>
              </w:rPr>
              <w:t>nt</w:t>
            </w:r>
            <w:r w:rsidRPr="00537112">
              <w:rPr>
                <w:rFonts w:cs="Verdana"/>
                <w:spacing w:val="3"/>
                <w:sz w:val="20"/>
                <w:szCs w:val="20"/>
              </w:rPr>
              <w:t>i</w:t>
            </w:r>
            <w:r w:rsidRPr="00537112">
              <w:rPr>
                <w:rFonts w:cs="Verdana"/>
                <w:sz w:val="20"/>
                <w:szCs w:val="20"/>
              </w:rPr>
              <w:t>a</w:t>
            </w:r>
            <w:r w:rsidRPr="00537112">
              <w:rPr>
                <w:rFonts w:cs="Verdana"/>
                <w:spacing w:val="1"/>
                <w:sz w:val="20"/>
                <w:szCs w:val="20"/>
              </w:rPr>
              <w:t>g</w:t>
            </w:r>
            <w:r w:rsidRPr="00537112">
              <w:rPr>
                <w:rFonts w:cs="Verdana"/>
                <w:sz w:val="20"/>
                <w:szCs w:val="20"/>
              </w:rPr>
              <w:t>o</w:t>
            </w:r>
            <w:r w:rsidRPr="00537112">
              <w:rPr>
                <w:rFonts w:cs="Verdana"/>
                <w:spacing w:val="-11"/>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63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2"/>
                <w:position w:val="-1"/>
                <w:sz w:val="20"/>
                <w:szCs w:val="20"/>
              </w:rPr>
              <w:t>I</w:t>
            </w:r>
            <w:r w:rsidRPr="00537112">
              <w:rPr>
                <w:rFonts w:cs="Verdana"/>
                <w:position w:val="-1"/>
                <w:sz w:val="20"/>
                <w:szCs w:val="20"/>
              </w:rPr>
              <w:t>v</w:t>
            </w:r>
            <w:r w:rsidRPr="00537112">
              <w:rPr>
                <w:rFonts w:cs="Verdana"/>
                <w:spacing w:val="-1"/>
                <w:position w:val="-1"/>
                <w:sz w:val="20"/>
                <w:szCs w:val="20"/>
              </w:rPr>
              <w:t>o</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64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er</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b</w:t>
            </w:r>
            <w:r w:rsidRPr="00537112">
              <w:rPr>
                <w:rFonts w:cs="Verdana"/>
                <w:spacing w:val="-1"/>
                <w:position w:val="-1"/>
                <w:sz w:val="20"/>
                <w:szCs w:val="20"/>
              </w:rPr>
              <w:t>oy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65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3"/>
                <w:position w:val="-1"/>
                <w:sz w:val="20"/>
                <w:szCs w:val="20"/>
              </w:rPr>
              <w:t>i</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b</w:t>
            </w:r>
            <w:r w:rsidRPr="00537112">
              <w:rPr>
                <w:rFonts w:cs="Verdana"/>
                <w:spacing w:val="-1"/>
                <w:position w:val="-1"/>
                <w:sz w:val="20"/>
                <w:szCs w:val="20"/>
              </w:rPr>
              <w:t>óy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66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d</w:t>
            </w:r>
            <w:r w:rsidRPr="00537112">
              <w:rPr>
                <w:rFonts w:cs="Verdana"/>
                <w:position w:val="-1"/>
                <w:sz w:val="20"/>
                <w:szCs w:val="20"/>
              </w:rPr>
              <w:t>al</w:t>
            </w:r>
            <w:r w:rsidRPr="00537112">
              <w:rPr>
                <w:rFonts w:cs="Verdana"/>
                <w:spacing w:val="-3"/>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b</w:t>
            </w:r>
            <w:r w:rsidRPr="00537112">
              <w:rPr>
                <w:rFonts w:cs="Verdana"/>
                <w:spacing w:val="-1"/>
                <w:position w:val="-1"/>
                <w:sz w:val="20"/>
                <w:szCs w:val="20"/>
              </w:rPr>
              <w:t>oy</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136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F</w:t>
            </w:r>
            <w:r w:rsidRPr="00537112">
              <w:rPr>
                <w:rFonts w:cs="Verdana"/>
                <w:spacing w:val="-1"/>
                <w:sz w:val="20"/>
                <w:szCs w:val="20"/>
              </w:rPr>
              <w:t>r</w:t>
            </w:r>
            <w:r w:rsidRPr="00537112">
              <w:rPr>
                <w:rFonts w:cs="Verdana"/>
                <w:sz w:val="20"/>
                <w:szCs w:val="20"/>
              </w:rPr>
              <w:t>a</w:t>
            </w:r>
            <w:r w:rsidRPr="00537112">
              <w:rPr>
                <w:rFonts w:cs="Verdana"/>
                <w:spacing w:val="1"/>
                <w:sz w:val="20"/>
                <w:szCs w:val="20"/>
              </w:rPr>
              <w:t>n</w:t>
            </w:r>
            <w:r w:rsidRPr="00537112">
              <w:rPr>
                <w:rFonts w:cs="Verdana"/>
                <w:spacing w:val="-1"/>
                <w:sz w:val="20"/>
                <w:szCs w:val="20"/>
              </w:rPr>
              <w:t>c</w:t>
            </w:r>
            <w:r w:rsidRPr="00537112">
              <w:rPr>
                <w:rFonts w:cs="Verdana"/>
                <w:spacing w:val="3"/>
                <w:sz w:val="20"/>
                <w:szCs w:val="20"/>
              </w:rPr>
              <w:t>i</w:t>
            </w:r>
            <w:r w:rsidRPr="00537112">
              <w:rPr>
                <w:rFonts w:cs="Verdana"/>
                <w:spacing w:val="-1"/>
                <w:sz w:val="20"/>
                <w:szCs w:val="20"/>
              </w:rPr>
              <w:t>sc</w:t>
            </w:r>
            <w:r w:rsidRPr="00537112">
              <w:rPr>
                <w:rFonts w:cs="Verdana"/>
                <w:sz w:val="20"/>
                <w:szCs w:val="20"/>
              </w:rPr>
              <w:t>o</w:t>
            </w:r>
            <w:r w:rsidRPr="00537112">
              <w:rPr>
                <w:rFonts w:cs="Verdana"/>
                <w:spacing w:val="-11"/>
                <w:sz w:val="20"/>
                <w:szCs w:val="20"/>
              </w:rPr>
              <w:t xml:space="preserve"> </w:t>
            </w:r>
            <w:r w:rsidRPr="00537112">
              <w:rPr>
                <w:rFonts w:cs="Verdana"/>
                <w:sz w:val="20"/>
                <w:szCs w:val="20"/>
              </w:rPr>
              <w:t>Ma</w:t>
            </w:r>
            <w:r w:rsidRPr="00537112">
              <w:rPr>
                <w:rFonts w:cs="Verdana"/>
                <w:spacing w:val="1"/>
                <w:sz w:val="20"/>
                <w:szCs w:val="20"/>
              </w:rPr>
              <w:t>t</w:t>
            </w:r>
            <w:r w:rsidRPr="00537112">
              <w:rPr>
                <w:rFonts w:cs="Verdana"/>
                <w:spacing w:val="3"/>
                <w:sz w:val="20"/>
                <w:szCs w:val="20"/>
              </w:rPr>
              <w:t>í</w:t>
            </w:r>
            <w:r w:rsidRPr="00537112">
              <w:rPr>
                <w:rFonts w:cs="Verdana"/>
                <w:sz w:val="20"/>
                <w:szCs w:val="20"/>
              </w:rPr>
              <w:t>as</w:t>
            </w:r>
            <w:r w:rsidRPr="00537112">
              <w:rPr>
                <w:rFonts w:cs="Verdana"/>
                <w:spacing w:val="-7"/>
                <w:sz w:val="20"/>
                <w:szCs w:val="20"/>
              </w:rPr>
              <w:t xml:space="preserve"> </w:t>
            </w:r>
            <w:r w:rsidRPr="00537112">
              <w:rPr>
                <w:rFonts w:cs="Verdana"/>
                <w:sz w:val="20"/>
                <w:szCs w:val="20"/>
              </w:rPr>
              <w:t>C</w:t>
            </w:r>
            <w:r w:rsidRPr="00537112">
              <w:rPr>
                <w:rFonts w:cs="Verdana"/>
                <w:spacing w:val="-1"/>
                <w:sz w:val="20"/>
                <w:szCs w:val="20"/>
              </w:rPr>
              <w:t>o</w:t>
            </w:r>
            <w:r w:rsidRPr="00537112">
              <w:rPr>
                <w:rFonts w:cs="Verdana"/>
                <w:spacing w:val="1"/>
                <w:sz w:val="20"/>
                <w:szCs w:val="20"/>
              </w:rPr>
              <w:t>j</w:t>
            </w:r>
            <w:r w:rsidRPr="00537112">
              <w:rPr>
                <w:rFonts w:cs="Verdana"/>
                <w:spacing w:val="-1"/>
                <w:sz w:val="20"/>
                <w:szCs w:val="20"/>
              </w:rPr>
              <w:t>o</w:t>
            </w:r>
            <w:r w:rsidRPr="00537112">
              <w:rPr>
                <w:rFonts w:cs="Verdana"/>
                <w:sz w:val="20"/>
                <w:szCs w:val="20"/>
              </w:rPr>
              <w:t>m</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67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Pa</w:t>
            </w:r>
            <w:r w:rsidRPr="00537112">
              <w:rPr>
                <w:rFonts w:cs="Verdana"/>
                <w:spacing w:val="1"/>
                <w:position w:val="-1"/>
                <w:sz w:val="20"/>
                <w:szCs w:val="20"/>
              </w:rPr>
              <w:t>ng</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68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p</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Pa</w:t>
            </w:r>
            <w:r w:rsidRPr="00537112">
              <w:rPr>
                <w:rFonts w:cs="Verdana"/>
                <w:spacing w:val="1"/>
                <w:position w:val="-1"/>
                <w:sz w:val="20"/>
                <w:szCs w:val="20"/>
              </w:rPr>
              <w:t>ng</w:t>
            </w:r>
            <w:r w:rsidRPr="00537112">
              <w:rPr>
                <w:rFonts w:cs="Verdana"/>
                <w:position w:val="-1"/>
                <w:sz w:val="20"/>
                <w:szCs w:val="20"/>
              </w:rPr>
              <w:t>án</w:t>
            </w:r>
          </w:p>
        </w:tc>
      </w:tr>
      <w:tr w:rsidR="00537112" w:rsidRPr="00537112" w:rsidTr="00630EEC">
        <w:trPr>
          <w:trHeight w:hRule="exact" w:val="475"/>
        </w:trPr>
        <w:tc>
          <w:tcPr>
            <w:tcW w:w="977" w:type="dxa"/>
            <w:vMerge w:val="restart"/>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40" w:lineRule="auto"/>
              <w:jc w:val="left"/>
              <w:textAlignment w:val="auto"/>
              <w:rPr>
                <w:rFonts w:cs="Verdana"/>
                <w:b/>
                <w:bCs/>
                <w:sz w:val="20"/>
                <w:szCs w:val="20"/>
              </w:rPr>
            </w:pPr>
          </w:p>
          <w:p w:rsidR="00537112" w:rsidRPr="00537112" w:rsidRDefault="00537112" w:rsidP="00537112">
            <w:pPr>
              <w:autoSpaceDE w:val="0"/>
              <w:autoSpaceDN w:val="0"/>
              <w:spacing w:line="240" w:lineRule="auto"/>
              <w:jc w:val="center"/>
              <w:textAlignment w:val="auto"/>
              <w:rPr>
                <w:rFonts w:ascii="Times New Roman" w:hAnsi="Times New Roman"/>
              </w:rPr>
            </w:pPr>
            <w:r w:rsidRPr="00537112">
              <w:rPr>
                <w:rFonts w:cs="Verdana"/>
                <w:b/>
                <w:bCs/>
                <w:sz w:val="20"/>
                <w:szCs w:val="20"/>
              </w:rPr>
              <w:t>137</w:t>
            </w:r>
          </w:p>
        </w:tc>
        <w:tc>
          <w:tcPr>
            <w:tcW w:w="3958" w:type="dxa"/>
            <w:vMerge w:val="restart"/>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40" w:lineRule="auto"/>
              <w:jc w:val="left"/>
              <w:textAlignment w:val="auto"/>
              <w:rPr>
                <w:rFonts w:cs="Verdana"/>
                <w:spacing w:val="-2"/>
                <w:sz w:val="20"/>
                <w:szCs w:val="20"/>
              </w:rPr>
            </w:pPr>
          </w:p>
          <w:p w:rsidR="00537112" w:rsidRPr="00537112" w:rsidRDefault="00537112" w:rsidP="00537112">
            <w:pPr>
              <w:autoSpaceDE w:val="0"/>
              <w:autoSpaceDN w:val="0"/>
              <w:spacing w:line="240" w:lineRule="auto"/>
              <w:jc w:val="left"/>
              <w:textAlignment w:val="auto"/>
              <w:rPr>
                <w:rFonts w:ascii="Times New Roman" w:hAnsi="Times New Roman"/>
              </w:rPr>
            </w:pPr>
            <w:r w:rsidRPr="00537112">
              <w:rPr>
                <w:rFonts w:cs="Verdana"/>
                <w:spacing w:val="-2"/>
                <w:sz w:val="20"/>
                <w:szCs w:val="20"/>
              </w:rPr>
              <w:t>I</w:t>
            </w:r>
            <w:r w:rsidRPr="00537112">
              <w:rPr>
                <w:rFonts w:cs="Verdana"/>
                <w:spacing w:val="-1"/>
                <w:sz w:val="20"/>
                <w:szCs w:val="20"/>
              </w:rPr>
              <w:t>s</w:t>
            </w:r>
            <w:r w:rsidRPr="00537112">
              <w:rPr>
                <w:rFonts w:cs="Verdana"/>
                <w:sz w:val="20"/>
                <w:szCs w:val="20"/>
              </w:rPr>
              <w:t>a</w:t>
            </w:r>
            <w:r w:rsidRPr="00537112">
              <w:rPr>
                <w:rFonts w:cs="Verdana"/>
                <w:spacing w:val="1"/>
                <w:sz w:val="20"/>
                <w:szCs w:val="20"/>
              </w:rPr>
              <w:t>b</w:t>
            </w:r>
            <w:r w:rsidRPr="00537112">
              <w:rPr>
                <w:rFonts w:cs="Verdana"/>
                <w:spacing w:val="-1"/>
                <w:sz w:val="20"/>
                <w:szCs w:val="20"/>
              </w:rPr>
              <w:t>e</w:t>
            </w:r>
            <w:r w:rsidRPr="00537112">
              <w:rPr>
                <w:rFonts w:cs="Verdana"/>
                <w:sz w:val="20"/>
                <w:szCs w:val="20"/>
              </w:rPr>
              <w:t>l</w:t>
            </w:r>
            <w:r w:rsidRPr="00537112">
              <w:rPr>
                <w:rFonts w:cs="Verdana"/>
                <w:spacing w:val="-4"/>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j</w:t>
            </w:r>
            <w:r w:rsidRPr="00537112">
              <w:rPr>
                <w:rFonts w:cs="Verdana"/>
                <w:sz w:val="20"/>
                <w:szCs w:val="20"/>
              </w:rPr>
              <w:t>as</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69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D</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ore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De</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403"/>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70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Efr</w:t>
            </w:r>
            <w:r w:rsidRPr="00537112">
              <w:rPr>
                <w:rFonts w:cs="Verdana"/>
                <w:position w:val="-1"/>
                <w:sz w:val="20"/>
                <w:szCs w:val="20"/>
              </w:rPr>
              <w:t>a</w:t>
            </w:r>
            <w:r w:rsidRPr="00537112">
              <w:rPr>
                <w:rFonts w:cs="Verdana"/>
                <w:spacing w:val="3"/>
                <w:position w:val="-1"/>
                <w:sz w:val="20"/>
                <w:szCs w:val="20"/>
              </w:rPr>
              <w:t>i</w:t>
            </w:r>
            <w:r w:rsidRPr="00537112">
              <w:rPr>
                <w:rFonts w:cs="Verdana"/>
                <w:position w:val="-1"/>
                <w:sz w:val="20"/>
                <w:szCs w:val="20"/>
              </w:rPr>
              <w:t>n</w:t>
            </w:r>
            <w:r w:rsidRPr="00537112">
              <w:rPr>
                <w:rFonts w:cs="Verdana"/>
                <w:spacing w:val="-6"/>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d</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gu</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71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Héc</w:t>
            </w:r>
            <w:r w:rsidRPr="00537112">
              <w:rPr>
                <w:rFonts w:cs="Verdana"/>
                <w:spacing w:val="1"/>
                <w:position w:val="-1"/>
                <w:sz w:val="20"/>
                <w:szCs w:val="20"/>
              </w:rPr>
              <w:t>t</w:t>
            </w:r>
            <w:r w:rsidRPr="00537112">
              <w:rPr>
                <w:rFonts w:cs="Verdana"/>
                <w:spacing w:val="-1"/>
                <w:position w:val="-1"/>
                <w:sz w:val="20"/>
                <w:szCs w:val="20"/>
              </w:rPr>
              <w:t>o</w:t>
            </w:r>
            <w:r w:rsidRPr="00537112">
              <w:rPr>
                <w:rFonts w:cs="Verdana"/>
                <w:position w:val="-1"/>
                <w:sz w:val="20"/>
                <w:szCs w:val="20"/>
              </w:rPr>
              <w:t>r</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72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w:t>
            </w:r>
            <w:r w:rsidRPr="00537112">
              <w:rPr>
                <w:rFonts w:cs="Verdana"/>
                <w:spacing w:val="3"/>
                <w:position w:val="-1"/>
                <w:sz w:val="20"/>
                <w:szCs w:val="20"/>
              </w:rPr>
              <w:t>i</w:t>
            </w:r>
            <w:r w:rsidRPr="00537112">
              <w:rPr>
                <w:rFonts w:cs="Verdana"/>
                <w:spacing w:val="-1"/>
                <w:position w:val="-1"/>
                <w:sz w:val="20"/>
                <w:szCs w:val="20"/>
              </w:rPr>
              <w:t>ce</w:t>
            </w:r>
            <w:r w:rsidRPr="00537112">
              <w:rPr>
                <w:rFonts w:cs="Verdana"/>
                <w:spacing w:val="3"/>
                <w:position w:val="-1"/>
                <w:sz w:val="20"/>
                <w:szCs w:val="20"/>
              </w:rPr>
              <w:t>l</w:t>
            </w:r>
            <w:r w:rsidRPr="00537112">
              <w:rPr>
                <w:rFonts w:cs="Verdana"/>
                <w:spacing w:val="1"/>
                <w:position w:val="-1"/>
                <w:sz w:val="20"/>
                <w:szCs w:val="20"/>
              </w:rPr>
              <w:t>d</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pgSz w:w="12260" w:h="15840"/>
          <w:pgMar w:top="760" w:right="900" w:bottom="280" w:left="900" w:header="493" w:footer="0" w:gutter="0"/>
          <w:cols w:space="720"/>
          <w:noEndnote/>
        </w:sectPr>
      </w:pPr>
    </w:p>
    <w:p w:rsidR="00537112" w:rsidRPr="00537112" w:rsidRDefault="00537112" w:rsidP="00537112">
      <w:pPr>
        <w:autoSpaceDE w:val="0"/>
        <w:autoSpaceDN w:val="0"/>
        <w:spacing w:before="16" w:line="280" w:lineRule="exact"/>
        <w:jc w:val="left"/>
        <w:textAlignment w:val="auto"/>
        <w:rPr>
          <w:rFonts w:ascii="Times New Roman" w:hAnsi="Times New Roman"/>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772"/>
        <w:gridCol w:w="4496"/>
      </w:tblGrid>
      <w:tr w:rsidR="00537112" w:rsidRPr="00537112" w:rsidTr="00630EEC">
        <w:trPr>
          <w:trHeight w:hRule="exact" w:val="247"/>
        </w:trPr>
        <w:tc>
          <w:tcPr>
            <w:tcW w:w="977" w:type="dxa"/>
            <w:vMerge w:val="restart"/>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p>
        </w:tc>
        <w:tc>
          <w:tcPr>
            <w:tcW w:w="3958" w:type="dxa"/>
            <w:vMerge w:val="restart"/>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73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r</w:t>
            </w:r>
            <w:r w:rsidRPr="00537112">
              <w:rPr>
                <w:rFonts w:cs="Verdana"/>
                <w:spacing w:val="1"/>
                <w:position w:val="-1"/>
                <w:sz w:val="20"/>
                <w:szCs w:val="20"/>
              </w:rPr>
              <w:t>m</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Y</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74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Her</w:t>
            </w:r>
            <w:r w:rsidRPr="00537112">
              <w:rPr>
                <w:rFonts w:cs="Verdana"/>
                <w:spacing w:val="3"/>
                <w:position w:val="-1"/>
                <w:sz w:val="20"/>
                <w:szCs w:val="20"/>
              </w:rPr>
              <w:t>li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75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Z</w:t>
            </w:r>
            <w:r w:rsidRPr="00537112">
              <w:rPr>
                <w:rFonts w:cs="Verdana"/>
                <w:spacing w:val="-1"/>
                <w:position w:val="-1"/>
                <w:sz w:val="20"/>
                <w:szCs w:val="20"/>
              </w:rPr>
              <w:t>o</w:t>
            </w:r>
            <w:r w:rsidRPr="00537112">
              <w:rPr>
                <w:rFonts w:cs="Verdana"/>
                <w:spacing w:val="3"/>
                <w:position w:val="-1"/>
                <w:sz w:val="20"/>
                <w:szCs w:val="20"/>
              </w:rPr>
              <w:t>il</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76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N</w:t>
            </w:r>
            <w:r w:rsidRPr="00537112">
              <w:rPr>
                <w:rFonts w:cs="Verdana"/>
                <w:spacing w:val="-1"/>
                <w:position w:val="-1"/>
                <w:sz w:val="20"/>
                <w:szCs w:val="20"/>
              </w:rPr>
              <w:t>or</w:t>
            </w:r>
            <w:r w:rsidRPr="00537112">
              <w:rPr>
                <w:rFonts w:cs="Verdana"/>
                <w:spacing w:val="1"/>
                <w:position w:val="-1"/>
                <w:sz w:val="20"/>
                <w:szCs w:val="20"/>
              </w:rPr>
              <w:t>m</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Es</w:t>
            </w:r>
            <w:r w:rsidRPr="00537112">
              <w:rPr>
                <w:rFonts w:cs="Verdana"/>
                <w:spacing w:val="1"/>
                <w:position w:val="-1"/>
                <w:sz w:val="20"/>
                <w:szCs w:val="20"/>
              </w:rPr>
              <w:t>p</w:t>
            </w:r>
            <w:r w:rsidRPr="00537112">
              <w:rPr>
                <w:rFonts w:cs="Verdana"/>
                <w:spacing w:val="-1"/>
                <w:position w:val="-1"/>
                <w:sz w:val="20"/>
                <w:szCs w:val="20"/>
              </w:rPr>
              <w:t>er</w:t>
            </w:r>
            <w:r w:rsidRPr="00537112">
              <w:rPr>
                <w:rFonts w:cs="Verdana"/>
                <w:position w:val="-1"/>
                <w:sz w:val="20"/>
                <w:szCs w:val="20"/>
              </w:rPr>
              <w:t>a</w:t>
            </w:r>
            <w:r w:rsidRPr="00537112">
              <w:rPr>
                <w:rFonts w:cs="Verdana"/>
                <w:spacing w:val="1"/>
                <w:position w:val="-1"/>
                <w:sz w:val="20"/>
                <w:szCs w:val="20"/>
              </w:rPr>
              <w:t>nz</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77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78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position w:val="-1"/>
                <w:sz w:val="20"/>
                <w:szCs w:val="20"/>
              </w:rPr>
              <w:t>a</w:t>
            </w:r>
            <w:r w:rsidRPr="00537112">
              <w:rPr>
                <w:rFonts w:cs="Verdana"/>
                <w:spacing w:val="-4"/>
                <w:position w:val="-1"/>
                <w:sz w:val="20"/>
                <w:szCs w:val="20"/>
              </w:rPr>
              <w:t xml:space="preserve"> </w:t>
            </w:r>
            <w:r w:rsidRPr="00537112">
              <w:rPr>
                <w:rFonts w:cs="Verdana"/>
                <w:spacing w:val="-1"/>
                <w:position w:val="-1"/>
                <w:sz w:val="20"/>
                <w:szCs w:val="20"/>
              </w:rPr>
              <w:t>Hor</w:t>
            </w:r>
            <w:r w:rsidRPr="00537112">
              <w:rPr>
                <w:rFonts w:cs="Verdana"/>
                <w:spacing w:val="1"/>
                <w:position w:val="-1"/>
                <w:sz w:val="20"/>
                <w:szCs w:val="20"/>
              </w:rPr>
              <w:t>t</w:t>
            </w: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79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spacing w:val="-1"/>
                <w:position w:val="-1"/>
                <w:sz w:val="20"/>
                <w:szCs w:val="20"/>
              </w:rPr>
              <w:t>o</w:t>
            </w:r>
            <w:r w:rsidRPr="00537112">
              <w:rPr>
                <w:rFonts w:cs="Verdana"/>
                <w:position w:val="-1"/>
                <w:sz w:val="20"/>
                <w:szCs w:val="20"/>
              </w:rPr>
              <w:t>s</w:t>
            </w:r>
            <w:r w:rsidRPr="00537112">
              <w:rPr>
                <w:rFonts w:cs="Verdana"/>
                <w:spacing w:val="-8"/>
                <w:position w:val="-1"/>
                <w:sz w:val="20"/>
                <w:szCs w:val="20"/>
              </w:rPr>
              <w:t xml:space="preserve"> </w:t>
            </w:r>
            <w:r w:rsidRPr="00537112">
              <w:rPr>
                <w:rFonts w:cs="Verdana"/>
                <w:position w:val="-1"/>
                <w:sz w:val="20"/>
                <w:szCs w:val="20"/>
              </w:rPr>
              <w:t>Pa</w:t>
            </w:r>
            <w:r w:rsidRPr="00537112">
              <w:rPr>
                <w:rFonts w:cs="Verdana"/>
                <w:spacing w:val="-1"/>
                <w:position w:val="-1"/>
                <w:sz w:val="20"/>
                <w:szCs w:val="20"/>
              </w:rPr>
              <w:t>sc</w:t>
            </w:r>
            <w:r w:rsidRPr="00537112">
              <w:rPr>
                <w:rFonts w:cs="Verdana"/>
                <w:spacing w:val="1"/>
                <w:position w:val="-1"/>
                <w:sz w:val="20"/>
                <w:szCs w:val="20"/>
              </w:rPr>
              <w:t>u</w:t>
            </w:r>
            <w:r w:rsidRPr="00537112">
              <w:rPr>
                <w:rFonts w:cs="Verdana"/>
                <w:position w:val="-1"/>
                <w:sz w:val="20"/>
                <w:szCs w:val="20"/>
              </w:rPr>
              <w:t>al</w:t>
            </w:r>
            <w:r w:rsidRPr="00537112">
              <w:rPr>
                <w:rFonts w:cs="Verdana"/>
                <w:spacing w:val="-6"/>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138</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Ju</w:t>
            </w:r>
            <w:r w:rsidRPr="00537112">
              <w:rPr>
                <w:rFonts w:cs="Verdana"/>
                <w:spacing w:val="3"/>
                <w:sz w:val="20"/>
                <w:szCs w:val="20"/>
              </w:rPr>
              <w:t>liá</w:t>
            </w:r>
            <w:r w:rsidRPr="00537112">
              <w:rPr>
                <w:rFonts w:cs="Verdana"/>
                <w:sz w:val="20"/>
                <w:szCs w:val="20"/>
              </w:rPr>
              <w:t>n</w:t>
            </w:r>
            <w:r w:rsidRPr="00537112">
              <w:rPr>
                <w:rFonts w:cs="Verdana"/>
                <w:spacing w:val="-6"/>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80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position w:val="-1"/>
                <w:sz w:val="20"/>
                <w:szCs w:val="20"/>
              </w:rPr>
              <w:t>C</w:t>
            </w:r>
            <w:r w:rsidRPr="00537112">
              <w:rPr>
                <w:rFonts w:cs="Verdana"/>
                <w:spacing w:val="1"/>
                <w:position w:val="-1"/>
                <w:sz w:val="20"/>
                <w:szCs w:val="20"/>
              </w:rPr>
              <w:t>u</w:t>
            </w:r>
            <w:r w:rsidRPr="00537112">
              <w:rPr>
                <w:rFonts w:cs="Verdana"/>
                <w:position w:val="-1"/>
                <w:sz w:val="20"/>
                <w:szCs w:val="20"/>
              </w:rPr>
              <w:t>x</w:t>
            </w:r>
            <w:r w:rsidRPr="00537112">
              <w:rPr>
                <w:rFonts w:cs="Verdana"/>
                <w:spacing w:val="1"/>
                <w:position w:val="-1"/>
                <w:sz w:val="20"/>
                <w:szCs w:val="20"/>
              </w:rPr>
              <w:t>úm</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81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ore</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82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83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84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ose</w:t>
            </w:r>
            <w:r w:rsidRPr="00537112">
              <w:rPr>
                <w:rFonts w:cs="Verdana"/>
                <w:spacing w:val="1"/>
                <w:position w:val="-1"/>
                <w:sz w:val="20"/>
                <w:szCs w:val="20"/>
              </w:rPr>
              <w:t>nd</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85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s</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86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Oc</w:t>
            </w:r>
            <w:r w:rsidRPr="00537112">
              <w:rPr>
                <w:rFonts w:cs="Verdana"/>
                <w:spacing w:val="1"/>
                <w:position w:val="-1"/>
                <w:sz w:val="20"/>
                <w:szCs w:val="20"/>
              </w:rPr>
              <w:t>t</w:t>
            </w:r>
            <w:r w:rsidRPr="00537112">
              <w:rPr>
                <w:rFonts w:cs="Verdana"/>
                <w:position w:val="-1"/>
                <w:sz w:val="20"/>
                <w:szCs w:val="20"/>
              </w:rPr>
              <w:t>av</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g</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87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spacing w:val="1"/>
                <w:position w:val="-1"/>
                <w:sz w:val="20"/>
                <w:szCs w:val="20"/>
              </w:rPr>
              <w:t>u</w:t>
            </w:r>
            <w:r w:rsidRPr="00537112">
              <w:rPr>
                <w:rFonts w:cs="Verdana"/>
                <w:spacing w:val="3"/>
                <w:position w:val="-1"/>
                <w:sz w:val="20"/>
                <w:szCs w:val="20"/>
              </w:rPr>
              <w:t>ill</w:t>
            </w:r>
            <w:r w:rsidRPr="00537112">
              <w:rPr>
                <w:rFonts w:cs="Verdana"/>
                <w:spacing w:val="-1"/>
                <w:position w:val="-1"/>
                <w:sz w:val="20"/>
                <w:szCs w:val="20"/>
              </w:rPr>
              <w:t>er</w:t>
            </w:r>
            <w:r w:rsidRPr="00537112">
              <w:rPr>
                <w:rFonts w:cs="Verdana"/>
                <w:spacing w:val="1"/>
                <w:position w:val="-1"/>
                <w:sz w:val="20"/>
                <w:szCs w:val="20"/>
              </w:rPr>
              <w:t>m</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0"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139</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0"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os</w:t>
            </w:r>
            <w:r w:rsidRPr="00537112">
              <w:rPr>
                <w:rFonts w:cs="Verdana"/>
                <w:sz w:val="20"/>
                <w:szCs w:val="20"/>
              </w:rPr>
              <w:t>é</w:t>
            </w:r>
            <w:r w:rsidRPr="00537112">
              <w:rPr>
                <w:rFonts w:cs="Verdana"/>
                <w:spacing w:val="-6"/>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z w:val="20"/>
                <w:szCs w:val="20"/>
              </w:rPr>
              <w:t>C</w:t>
            </w:r>
            <w:r w:rsidRPr="00537112">
              <w:rPr>
                <w:rFonts w:cs="Verdana"/>
                <w:spacing w:val="1"/>
                <w:sz w:val="20"/>
                <w:szCs w:val="20"/>
              </w:rPr>
              <w:t>u</w:t>
            </w:r>
            <w:r w:rsidRPr="00537112">
              <w:rPr>
                <w:rFonts w:cs="Verdana"/>
                <w:sz w:val="20"/>
                <w:szCs w:val="20"/>
              </w:rPr>
              <w:t>x</w:t>
            </w:r>
            <w:r w:rsidRPr="00537112">
              <w:rPr>
                <w:rFonts w:cs="Verdana"/>
                <w:spacing w:val="1"/>
                <w:sz w:val="20"/>
                <w:szCs w:val="20"/>
              </w:rPr>
              <w:t>ú</w:t>
            </w:r>
            <w:r w:rsidRPr="00537112">
              <w:rPr>
                <w:rFonts w:cs="Verdana"/>
                <w:sz w:val="20"/>
                <w:szCs w:val="20"/>
              </w:rPr>
              <w:t>m</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88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89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gd</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90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Su</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91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m</w:t>
            </w:r>
            <w:r w:rsidRPr="00537112">
              <w:rPr>
                <w:rFonts w:cs="Verdana"/>
                <w:spacing w:val="3"/>
                <w:position w:val="-1"/>
                <w:sz w:val="20"/>
                <w:szCs w:val="20"/>
              </w:rPr>
              <w:t>ili</w:t>
            </w:r>
            <w:r w:rsidRPr="00537112">
              <w:rPr>
                <w:rFonts w:cs="Verdana"/>
                <w:color w:val="FF0000"/>
                <w:position w:val="-1"/>
                <w:sz w:val="20"/>
                <w:szCs w:val="20"/>
              </w:rPr>
              <w:t>o</w:t>
            </w:r>
            <w:r w:rsidRPr="00537112">
              <w:rPr>
                <w:rFonts w:cs="Verdana"/>
                <w:color w:val="FF0000"/>
                <w:spacing w:val="-7"/>
                <w:position w:val="-1"/>
                <w:sz w:val="20"/>
                <w:szCs w:val="20"/>
              </w:rPr>
              <w:t xml:space="preserve"> </w:t>
            </w:r>
            <w:r w:rsidRPr="00537112">
              <w:rPr>
                <w:rFonts w:cs="Verdana"/>
                <w:color w:val="000000"/>
                <w:spacing w:val="1"/>
                <w:position w:val="-1"/>
                <w:sz w:val="20"/>
                <w:szCs w:val="20"/>
              </w:rPr>
              <w:t>S</w:t>
            </w:r>
            <w:r w:rsidRPr="00537112">
              <w:rPr>
                <w:rFonts w:cs="Verdana"/>
                <w:color w:val="000000"/>
                <w:spacing w:val="3"/>
                <w:position w:val="-1"/>
                <w:sz w:val="20"/>
                <w:szCs w:val="20"/>
              </w:rPr>
              <w:t>i</w:t>
            </w:r>
            <w:r w:rsidRPr="00537112">
              <w:rPr>
                <w:rFonts w:cs="Verdana"/>
                <w:color w:val="000000"/>
                <w:position w:val="-1"/>
                <w:sz w:val="20"/>
                <w:szCs w:val="20"/>
              </w:rPr>
              <w:t>c</w:t>
            </w:r>
            <w:r w:rsidRPr="00537112">
              <w:rPr>
                <w:rFonts w:cs="Verdana"/>
                <w:color w:val="000000"/>
                <w:spacing w:val="-4"/>
                <w:position w:val="-1"/>
                <w:sz w:val="20"/>
                <w:szCs w:val="20"/>
              </w:rPr>
              <w:t xml:space="preserve"> </w:t>
            </w:r>
            <w:r w:rsidRPr="00537112">
              <w:rPr>
                <w:rFonts w:cs="Verdana"/>
                <w:color w:val="000000"/>
                <w:spacing w:val="1"/>
                <w:position w:val="-1"/>
                <w:sz w:val="20"/>
                <w:szCs w:val="20"/>
              </w:rPr>
              <w:t>V</w:t>
            </w:r>
            <w:r w:rsidRPr="00537112">
              <w:rPr>
                <w:rFonts w:cs="Verdana"/>
                <w:color w:val="000000"/>
                <w:position w:val="-1"/>
                <w:sz w:val="20"/>
                <w:szCs w:val="20"/>
              </w:rPr>
              <w:t>a</w:t>
            </w:r>
            <w:r w:rsidRPr="00537112">
              <w:rPr>
                <w:rFonts w:cs="Verdana"/>
                <w:color w:val="000000"/>
                <w:spacing w:val="3"/>
                <w:position w:val="-1"/>
                <w:sz w:val="20"/>
                <w:szCs w:val="20"/>
              </w:rPr>
              <w:t>l</w:t>
            </w:r>
            <w:r w:rsidRPr="00537112">
              <w:rPr>
                <w:rFonts w:cs="Verdana"/>
                <w:color w:val="000000"/>
                <w:spacing w:val="-1"/>
                <w:position w:val="-1"/>
                <w:sz w:val="20"/>
                <w:szCs w:val="20"/>
              </w:rPr>
              <w:t>e</w:t>
            </w:r>
            <w:r w:rsidRPr="00537112">
              <w:rPr>
                <w:rFonts w:cs="Verdana"/>
                <w:color w:val="000000"/>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92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93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es</w:t>
            </w:r>
            <w:r w:rsidRPr="00537112">
              <w:rPr>
                <w:rFonts w:cs="Verdana"/>
                <w:spacing w:val="1"/>
                <w:position w:val="-1"/>
                <w:sz w:val="20"/>
                <w:szCs w:val="20"/>
              </w:rPr>
              <w:t>ú</w:t>
            </w:r>
            <w:r w:rsidRPr="00537112">
              <w:rPr>
                <w:rFonts w:cs="Verdana"/>
                <w:position w:val="-1"/>
                <w:sz w:val="20"/>
                <w:szCs w:val="20"/>
              </w:rPr>
              <w:t>s</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140</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o</w:t>
            </w:r>
            <w:r w:rsidRPr="00537112">
              <w:rPr>
                <w:rFonts w:cs="Verdana"/>
                <w:spacing w:val="-10"/>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94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es</w:t>
            </w:r>
            <w:r w:rsidRPr="00537112">
              <w:rPr>
                <w:rFonts w:cs="Verdana"/>
                <w:spacing w:val="3"/>
                <w:position w:val="-1"/>
                <w:sz w:val="20"/>
                <w:szCs w:val="20"/>
              </w:rPr>
              <w:t>ili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at</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95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j</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96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97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w:t>
            </w:r>
            <w:r w:rsidRPr="00537112">
              <w:rPr>
                <w:rFonts w:cs="Verdana"/>
                <w:spacing w:val="3"/>
                <w:position w:val="-1"/>
                <w:sz w:val="20"/>
                <w:szCs w:val="20"/>
              </w:rPr>
              <w:t>il</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at</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98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Agu</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í</w:t>
            </w:r>
            <w:r w:rsidRPr="00537112">
              <w:rPr>
                <w:rFonts w:cs="Verdana"/>
                <w:position w:val="-1"/>
                <w:sz w:val="20"/>
                <w:szCs w:val="20"/>
              </w:rPr>
              <w:t>n</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at</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4" w:line="280" w:lineRule="exact"/>
              <w:jc w:val="left"/>
              <w:textAlignment w:val="auto"/>
              <w:rPr>
                <w:rFonts w:ascii="Times New Roman" w:hAnsi="Times New Roman"/>
                <w:sz w:val="28"/>
                <w:szCs w:val="28"/>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141</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4" w:line="280" w:lineRule="exact"/>
              <w:jc w:val="left"/>
              <w:textAlignment w:val="auto"/>
              <w:rPr>
                <w:rFonts w:ascii="Times New Roman" w:hAnsi="Times New Roman"/>
                <w:sz w:val="28"/>
                <w:szCs w:val="28"/>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F</w:t>
            </w:r>
            <w:r w:rsidRPr="00537112">
              <w:rPr>
                <w:rFonts w:cs="Verdana"/>
                <w:spacing w:val="-1"/>
                <w:sz w:val="20"/>
                <w:szCs w:val="20"/>
              </w:rPr>
              <w:t>e</w:t>
            </w:r>
            <w:r w:rsidRPr="00537112">
              <w:rPr>
                <w:rFonts w:cs="Verdana"/>
                <w:spacing w:val="3"/>
                <w:sz w:val="20"/>
                <w:szCs w:val="20"/>
              </w:rPr>
              <w:t>li</w:t>
            </w:r>
            <w:r w:rsidRPr="00537112">
              <w:rPr>
                <w:rFonts w:cs="Verdana"/>
                <w:spacing w:val="-1"/>
                <w:sz w:val="20"/>
                <w:szCs w:val="20"/>
              </w:rPr>
              <w:t>c</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Su</w:t>
            </w:r>
            <w:r w:rsidRPr="00537112">
              <w:rPr>
                <w:rFonts w:cs="Verdana"/>
                <w:spacing w:val="-1"/>
                <w:sz w:val="20"/>
                <w:szCs w:val="20"/>
              </w:rPr>
              <w:t>c</w:t>
            </w:r>
            <w:r w:rsidRPr="00537112">
              <w:rPr>
                <w:rFonts w:cs="Verdana"/>
                <w:spacing w:val="1"/>
                <w:sz w:val="20"/>
                <w:szCs w:val="20"/>
              </w:rPr>
              <w:t>u</w:t>
            </w:r>
            <w:r w:rsidRPr="00537112">
              <w:rPr>
                <w:rFonts w:cs="Verdana"/>
                <w:sz w:val="20"/>
                <w:szCs w:val="20"/>
              </w:rPr>
              <w:t>p</w:t>
            </w:r>
            <w:r w:rsidRPr="00537112">
              <w:rPr>
                <w:rFonts w:cs="Verdana"/>
                <w:spacing w:val="-6"/>
                <w:sz w:val="20"/>
                <w:szCs w:val="20"/>
              </w:rPr>
              <w:t xml:space="preserve"> C</w:t>
            </w:r>
            <w:r w:rsidRPr="00537112">
              <w:rPr>
                <w:rFonts w:cs="Verdana"/>
                <w:spacing w:val="-1"/>
                <w:sz w:val="20"/>
                <w:szCs w:val="20"/>
              </w:rPr>
              <w:t>r</w:t>
            </w:r>
            <w:r w:rsidRPr="00537112">
              <w:rPr>
                <w:rFonts w:cs="Verdana"/>
                <w:spacing w:val="1"/>
                <w:sz w:val="20"/>
                <w:szCs w:val="20"/>
              </w:rPr>
              <w:t>uz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6</w:t>
            </w:r>
            <w:r w:rsidRPr="00537112">
              <w:rPr>
                <w:rFonts w:cs="Verdana"/>
                <w:spacing w:val="1"/>
                <w:position w:val="-1"/>
                <w:sz w:val="20"/>
                <w:szCs w:val="20"/>
              </w:rPr>
              <w:t>99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00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01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02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ug</w:t>
            </w: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03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04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05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3"/>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06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Ger</w:t>
            </w:r>
            <w:r w:rsidRPr="00537112">
              <w:rPr>
                <w:rFonts w:cs="Verdana"/>
                <w:spacing w:val="1"/>
                <w:position w:val="-1"/>
                <w:sz w:val="20"/>
                <w:szCs w:val="20"/>
              </w:rPr>
              <w:t>m</w:t>
            </w:r>
            <w:r w:rsidRPr="00537112">
              <w:rPr>
                <w:rFonts w:cs="Verdana"/>
                <w:position w:val="-1"/>
                <w:sz w:val="20"/>
                <w:szCs w:val="20"/>
              </w:rPr>
              <w:t>an</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07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1"/>
                <w:position w:val="-1"/>
                <w:sz w:val="20"/>
                <w:szCs w:val="20"/>
              </w:rPr>
              <w:t>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08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spacing w:val="-1"/>
                <w:position w:val="-1"/>
                <w:sz w:val="20"/>
                <w:szCs w:val="20"/>
              </w:rPr>
              <w:t>e</w:t>
            </w:r>
            <w:r w:rsidRPr="00537112">
              <w:rPr>
                <w:rFonts w:cs="Verdana"/>
                <w:spacing w:val="1"/>
                <w:position w:val="-1"/>
                <w:sz w:val="20"/>
                <w:szCs w:val="20"/>
              </w:rPr>
              <w:t>b</w:t>
            </w:r>
            <w:r w:rsidRPr="00537112">
              <w:rPr>
                <w:rFonts w:cs="Verdana"/>
                <w:position w:val="-1"/>
                <w:sz w:val="20"/>
                <w:szCs w:val="20"/>
              </w:rPr>
              <w:t>a</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0"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142</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0"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P</w:t>
            </w:r>
            <w:r w:rsidRPr="00537112">
              <w:rPr>
                <w:rFonts w:cs="Verdana"/>
                <w:spacing w:val="-1"/>
                <w:sz w:val="20"/>
                <w:szCs w:val="20"/>
              </w:rPr>
              <w:t>e</w:t>
            </w:r>
            <w:r w:rsidRPr="00537112">
              <w:rPr>
                <w:rFonts w:cs="Verdana"/>
                <w:spacing w:val="1"/>
                <w:sz w:val="20"/>
                <w:szCs w:val="20"/>
              </w:rPr>
              <w:t>d</w:t>
            </w:r>
            <w:r w:rsidRPr="00537112">
              <w:rPr>
                <w:rFonts w:cs="Verdana"/>
                <w:spacing w:val="-1"/>
                <w:sz w:val="20"/>
                <w:szCs w:val="20"/>
              </w:rPr>
              <w:t>r</w:t>
            </w:r>
            <w:r w:rsidRPr="00537112">
              <w:rPr>
                <w:rFonts w:cs="Verdana"/>
                <w:sz w:val="20"/>
                <w:szCs w:val="20"/>
              </w:rPr>
              <w:t>o</w:t>
            </w:r>
            <w:r w:rsidRPr="00537112">
              <w:rPr>
                <w:rFonts w:cs="Verdana"/>
                <w:spacing w:val="-8"/>
                <w:sz w:val="20"/>
                <w:szCs w:val="20"/>
              </w:rPr>
              <w:t xml:space="preserve"> </w:t>
            </w:r>
            <w:r w:rsidRPr="00537112">
              <w:rPr>
                <w:rFonts w:cs="Verdana"/>
                <w:sz w:val="20"/>
                <w:szCs w:val="20"/>
              </w:rPr>
              <w:t>Pa</w:t>
            </w:r>
            <w:r w:rsidRPr="00537112">
              <w:rPr>
                <w:rFonts w:cs="Verdana"/>
                <w:spacing w:val="1"/>
                <w:sz w:val="20"/>
                <w:szCs w:val="20"/>
              </w:rPr>
              <w:t>ng</w:t>
            </w:r>
            <w:r w:rsidRPr="00537112">
              <w:rPr>
                <w:rFonts w:cs="Verdana"/>
                <w:sz w:val="20"/>
                <w:szCs w:val="20"/>
              </w:rPr>
              <w:t>án</w:t>
            </w:r>
            <w:r w:rsidRPr="00537112">
              <w:rPr>
                <w:rFonts w:cs="Verdana"/>
                <w:spacing w:val="-7"/>
                <w:sz w:val="20"/>
                <w:szCs w:val="20"/>
              </w:rPr>
              <w:t xml:space="preserve"> </w:t>
            </w:r>
            <w:r w:rsidRPr="00537112">
              <w:rPr>
                <w:rFonts w:cs="Verdana"/>
                <w:sz w:val="20"/>
                <w:szCs w:val="20"/>
              </w:rPr>
              <w:t>C</w:t>
            </w:r>
            <w:r w:rsidRPr="00537112">
              <w:rPr>
                <w:rFonts w:cs="Verdana"/>
                <w:spacing w:val="1"/>
                <w:sz w:val="20"/>
                <w:szCs w:val="20"/>
              </w:rPr>
              <w:t>uj</w:t>
            </w:r>
            <w:r w:rsidRPr="00537112">
              <w:rPr>
                <w:rFonts w:cs="Verdana"/>
                <w:sz w:val="20"/>
                <w:szCs w:val="20"/>
              </w:rPr>
              <w:t>á</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09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s</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10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Pa</w:t>
            </w:r>
            <w:r w:rsidRPr="00537112">
              <w:rPr>
                <w:rFonts w:cs="Verdana"/>
                <w:spacing w:val="1"/>
                <w:position w:val="-1"/>
                <w:sz w:val="20"/>
                <w:szCs w:val="20"/>
              </w:rPr>
              <w:t>ng</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11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rce</w:t>
            </w:r>
            <w:r w:rsidRPr="00537112">
              <w:rPr>
                <w:rFonts w:cs="Verdana"/>
                <w:spacing w:val="3"/>
                <w:position w:val="-1"/>
                <w:sz w:val="20"/>
                <w:szCs w:val="20"/>
              </w:rPr>
              <w:t>l</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Pa</w:t>
            </w:r>
            <w:r w:rsidRPr="00537112">
              <w:rPr>
                <w:rFonts w:cs="Verdana"/>
                <w:spacing w:val="1"/>
                <w:position w:val="-1"/>
                <w:sz w:val="20"/>
                <w:szCs w:val="20"/>
              </w:rPr>
              <w:t>ng</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12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position w:val="-1"/>
                <w:sz w:val="20"/>
                <w:szCs w:val="20"/>
              </w:rPr>
              <w:t>Pa</w:t>
            </w:r>
            <w:r w:rsidRPr="00537112">
              <w:rPr>
                <w:rFonts w:cs="Verdana"/>
                <w:spacing w:val="1"/>
                <w:position w:val="-1"/>
                <w:sz w:val="20"/>
                <w:szCs w:val="20"/>
              </w:rPr>
              <w:t>ng</w:t>
            </w:r>
            <w:r w:rsidRPr="00537112">
              <w:rPr>
                <w:rFonts w:cs="Verdana"/>
                <w:position w:val="-1"/>
                <w:sz w:val="20"/>
                <w:szCs w:val="20"/>
              </w:rPr>
              <w:t>an</w:t>
            </w:r>
            <w:r w:rsidRPr="00537112">
              <w:rPr>
                <w:rFonts w:cs="Verdana"/>
                <w:spacing w:val="-7"/>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13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fre</w:t>
            </w:r>
            <w:r w:rsidRPr="00537112">
              <w:rPr>
                <w:rFonts w:cs="Verdana"/>
                <w:spacing w:val="1"/>
                <w:position w:val="-1"/>
                <w:sz w:val="20"/>
                <w:szCs w:val="20"/>
              </w:rPr>
              <w:t>d</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Pa</w:t>
            </w:r>
            <w:r w:rsidRPr="00537112">
              <w:rPr>
                <w:rFonts w:cs="Verdana"/>
                <w:spacing w:val="1"/>
                <w:position w:val="-1"/>
                <w:sz w:val="20"/>
                <w:szCs w:val="20"/>
              </w:rPr>
              <w:t>ng</w:t>
            </w:r>
            <w:r w:rsidRPr="00537112">
              <w:rPr>
                <w:rFonts w:cs="Verdana"/>
                <w:position w:val="-1"/>
                <w:sz w:val="20"/>
                <w:szCs w:val="20"/>
              </w:rPr>
              <w:t>an</w:t>
            </w:r>
            <w:r w:rsidRPr="00537112">
              <w:rPr>
                <w:rFonts w:cs="Verdana"/>
                <w:spacing w:val="-7"/>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14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s</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Pa</w:t>
            </w:r>
            <w:r w:rsidRPr="00537112">
              <w:rPr>
                <w:rFonts w:cs="Verdana"/>
                <w:spacing w:val="1"/>
                <w:position w:val="-1"/>
                <w:sz w:val="20"/>
                <w:szCs w:val="20"/>
              </w:rPr>
              <w:t>ng</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143</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R</w:t>
            </w:r>
            <w:r w:rsidRPr="00537112">
              <w:rPr>
                <w:rFonts w:cs="Verdana"/>
                <w:sz w:val="20"/>
                <w:szCs w:val="20"/>
              </w:rPr>
              <w:t>ay</w:t>
            </w:r>
            <w:r w:rsidRPr="00537112">
              <w:rPr>
                <w:rFonts w:cs="Verdana"/>
                <w:spacing w:val="1"/>
                <w:sz w:val="20"/>
                <w:szCs w:val="20"/>
              </w:rPr>
              <w:t>mund</w:t>
            </w:r>
            <w:r w:rsidRPr="00537112">
              <w:rPr>
                <w:rFonts w:cs="Verdana"/>
                <w:sz w:val="20"/>
                <w:szCs w:val="20"/>
              </w:rPr>
              <w:t>o</w:t>
            </w:r>
            <w:r w:rsidRPr="00537112">
              <w:rPr>
                <w:rFonts w:cs="Verdana"/>
                <w:spacing w:val="-13"/>
                <w:sz w:val="20"/>
                <w:szCs w:val="20"/>
              </w:rPr>
              <w:t xml:space="preserve"> </w:t>
            </w:r>
            <w:r w:rsidRPr="00537112">
              <w:rPr>
                <w:rFonts w:cs="Verdana"/>
                <w:spacing w:val="1"/>
                <w:sz w:val="20"/>
                <w:szCs w:val="20"/>
              </w:rPr>
              <w:t>Ju</w:t>
            </w:r>
            <w:r w:rsidRPr="00537112">
              <w:rPr>
                <w:rFonts w:cs="Verdana"/>
                <w:sz w:val="20"/>
                <w:szCs w:val="20"/>
              </w:rPr>
              <w:t>a</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Ló</w:t>
            </w:r>
            <w:r w:rsidRPr="00537112">
              <w:rPr>
                <w:rFonts w:cs="Verdana"/>
                <w:spacing w:val="1"/>
                <w:sz w:val="20"/>
                <w:szCs w:val="20"/>
              </w:rPr>
              <w:t>p</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15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16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17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er</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3"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144</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3"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P</w:t>
            </w:r>
            <w:r w:rsidRPr="00537112">
              <w:rPr>
                <w:rFonts w:cs="Verdana"/>
                <w:spacing w:val="-1"/>
                <w:sz w:val="20"/>
                <w:szCs w:val="20"/>
              </w:rPr>
              <w:t>e</w:t>
            </w:r>
            <w:r w:rsidRPr="00537112">
              <w:rPr>
                <w:rFonts w:cs="Verdana"/>
                <w:spacing w:val="1"/>
                <w:sz w:val="20"/>
                <w:szCs w:val="20"/>
              </w:rPr>
              <w:t>d</w:t>
            </w:r>
            <w:r w:rsidRPr="00537112">
              <w:rPr>
                <w:rFonts w:cs="Verdana"/>
                <w:spacing w:val="-1"/>
                <w:sz w:val="20"/>
                <w:szCs w:val="20"/>
              </w:rPr>
              <w:t>r</w:t>
            </w:r>
            <w:r w:rsidRPr="00537112">
              <w:rPr>
                <w:rFonts w:cs="Verdana"/>
                <w:sz w:val="20"/>
                <w:szCs w:val="20"/>
              </w:rPr>
              <w:t>o</w:t>
            </w:r>
            <w:r w:rsidRPr="00537112">
              <w:rPr>
                <w:rFonts w:cs="Verdana"/>
                <w:spacing w:val="-8"/>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18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Ló</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19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3"/>
                <w:position w:val="-1"/>
                <w:sz w:val="20"/>
                <w:szCs w:val="20"/>
              </w:rPr>
              <w:t>lí</w:t>
            </w:r>
            <w:r w:rsidRPr="00537112">
              <w:rPr>
                <w:rFonts w:cs="Verdana"/>
                <w:spacing w:val="1"/>
                <w:position w:val="-1"/>
                <w:sz w:val="20"/>
                <w:szCs w:val="20"/>
              </w:rPr>
              <w:t>nd</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20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ú</w:t>
            </w:r>
            <w:r w:rsidRPr="00537112">
              <w:rPr>
                <w:rFonts w:cs="Verdana"/>
                <w:position w:val="-1"/>
                <w:sz w:val="20"/>
                <w:szCs w:val="20"/>
              </w:rPr>
              <w:t>l</w:t>
            </w:r>
            <w:r w:rsidRPr="00537112">
              <w:rPr>
                <w:rFonts w:cs="Verdana"/>
                <w:spacing w:val="-2"/>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21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Wa</w:t>
            </w:r>
            <w:r w:rsidRPr="00537112">
              <w:rPr>
                <w:rFonts w:cs="Verdana"/>
                <w:spacing w:val="3"/>
                <w:position w:val="-1"/>
                <w:sz w:val="20"/>
                <w:szCs w:val="20"/>
              </w:rPr>
              <w:t>l</w:t>
            </w:r>
            <w:r w:rsidRPr="00537112">
              <w:rPr>
                <w:rFonts w:cs="Verdana"/>
                <w:spacing w:val="1"/>
                <w:position w:val="-1"/>
                <w:sz w:val="20"/>
                <w:szCs w:val="20"/>
              </w:rPr>
              <w:t>d</w:t>
            </w:r>
            <w:r w:rsidRPr="00537112">
              <w:rPr>
                <w:rFonts w:cs="Verdana"/>
                <w:spacing w:val="-1"/>
                <w:position w:val="-1"/>
                <w:sz w:val="20"/>
                <w:szCs w:val="20"/>
              </w:rPr>
              <w:t>e</w:t>
            </w:r>
            <w:r w:rsidRPr="00537112">
              <w:rPr>
                <w:rFonts w:cs="Verdana"/>
                <w:spacing w:val="1"/>
                <w:position w:val="-1"/>
                <w:sz w:val="20"/>
                <w:szCs w:val="20"/>
              </w:rPr>
              <w:t>m</w:t>
            </w:r>
            <w:r w:rsidRPr="00537112">
              <w:rPr>
                <w:rFonts w:cs="Verdana"/>
                <w:position w:val="-1"/>
                <w:sz w:val="20"/>
                <w:szCs w:val="20"/>
              </w:rPr>
              <w:t>ar</w:t>
            </w:r>
            <w:r w:rsidRPr="00537112">
              <w:rPr>
                <w:rFonts w:cs="Verdana"/>
                <w:spacing w:val="-12"/>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22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w:t>
            </w:r>
            <w:r w:rsidRPr="00537112">
              <w:rPr>
                <w:rFonts w:cs="Verdana"/>
                <w:spacing w:val="3"/>
                <w:position w:val="-1"/>
                <w:sz w:val="20"/>
                <w:szCs w:val="20"/>
              </w:rPr>
              <w:t>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23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362"/>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47" w:line="240" w:lineRule="auto"/>
              <w:ind w:right="-20"/>
              <w:jc w:val="left"/>
              <w:textAlignment w:val="auto"/>
              <w:rPr>
                <w:rFonts w:ascii="Times New Roman" w:hAnsi="Times New Roman"/>
              </w:rPr>
            </w:pPr>
            <w:r w:rsidRPr="00537112">
              <w:rPr>
                <w:rFonts w:cs="Verdana"/>
                <w:sz w:val="20"/>
                <w:szCs w:val="20"/>
              </w:rPr>
              <w:t>7</w:t>
            </w:r>
            <w:r w:rsidRPr="00537112">
              <w:rPr>
                <w:rFonts w:cs="Verdana"/>
                <w:spacing w:val="1"/>
                <w:sz w:val="20"/>
                <w:szCs w:val="20"/>
              </w:rPr>
              <w:t>24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47" w:line="240" w:lineRule="auto"/>
              <w:ind w:right="-20"/>
              <w:jc w:val="left"/>
              <w:textAlignment w:val="auto"/>
              <w:rPr>
                <w:rFonts w:ascii="Times New Roman" w:hAnsi="Times New Roman"/>
              </w:rPr>
            </w:pPr>
            <w:r w:rsidRPr="00537112">
              <w:rPr>
                <w:rFonts w:cs="Verdana"/>
                <w:sz w:val="20"/>
                <w:szCs w:val="20"/>
              </w:rPr>
              <w:t>Ca</w:t>
            </w:r>
            <w:r w:rsidRPr="00537112">
              <w:rPr>
                <w:rFonts w:cs="Verdana"/>
                <w:spacing w:val="-1"/>
                <w:sz w:val="20"/>
                <w:szCs w:val="20"/>
              </w:rPr>
              <w:t>r</w:t>
            </w:r>
            <w:r w:rsidRPr="00537112">
              <w:rPr>
                <w:rFonts w:cs="Verdana"/>
                <w:spacing w:val="3"/>
                <w:sz w:val="20"/>
                <w:szCs w:val="20"/>
              </w:rPr>
              <w:t>l</w:t>
            </w:r>
            <w:r w:rsidRPr="00537112">
              <w:rPr>
                <w:rFonts w:cs="Verdana"/>
                <w:spacing w:val="-1"/>
                <w:sz w:val="20"/>
                <w:szCs w:val="20"/>
              </w:rPr>
              <w:t>o</w:t>
            </w:r>
            <w:r w:rsidRPr="00537112">
              <w:rPr>
                <w:rFonts w:cs="Verdana"/>
                <w:sz w:val="20"/>
                <w:szCs w:val="20"/>
              </w:rPr>
              <w:t>s</w:t>
            </w:r>
            <w:r w:rsidRPr="00537112">
              <w:rPr>
                <w:rFonts w:cs="Verdana"/>
                <w:spacing w:val="-7"/>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tumul</w:t>
            </w:r>
          </w:p>
        </w:tc>
      </w:tr>
      <w:tr w:rsidR="00537112" w:rsidRPr="00537112" w:rsidTr="00630EEC">
        <w:trPr>
          <w:trHeight w:hRule="exact" w:val="66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47"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47"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1"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7</w:t>
            </w:r>
            <w:r w:rsidRPr="00537112">
              <w:rPr>
                <w:rFonts w:cs="Verdana"/>
                <w:spacing w:val="1"/>
                <w:sz w:val="20"/>
                <w:szCs w:val="20"/>
              </w:rPr>
              <w:t>25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C</w:t>
            </w:r>
            <w:r w:rsidRPr="00537112">
              <w:rPr>
                <w:rFonts w:cs="Verdana"/>
                <w:spacing w:val="3"/>
                <w:sz w:val="20"/>
                <w:szCs w:val="20"/>
              </w:rPr>
              <w:t>l</w:t>
            </w:r>
            <w:r w:rsidRPr="00537112">
              <w:rPr>
                <w:rFonts w:cs="Verdana"/>
                <w:sz w:val="20"/>
                <w:szCs w:val="20"/>
              </w:rPr>
              <w:t>a</w:t>
            </w:r>
            <w:r w:rsidRPr="00537112">
              <w:rPr>
                <w:rFonts w:cs="Verdana"/>
                <w:spacing w:val="-1"/>
                <w:sz w:val="20"/>
                <w:szCs w:val="20"/>
              </w:rPr>
              <w:t>r</w:t>
            </w:r>
            <w:r w:rsidRPr="00537112">
              <w:rPr>
                <w:rFonts w:cs="Verdana"/>
                <w:sz w:val="20"/>
                <w:szCs w:val="20"/>
              </w:rPr>
              <w:t>a</w:t>
            </w:r>
            <w:r w:rsidRPr="00537112">
              <w:rPr>
                <w:rFonts w:cs="Verdana"/>
                <w:spacing w:val="-5"/>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pgSz w:w="12260" w:h="15840"/>
          <w:pgMar w:top="760" w:right="900" w:bottom="280" w:left="900" w:header="493" w:footer="0" w:gutter="0"/>
          <w:cols w:space="720"/>
          <w:noEndnote/>
        </w:sectPr>
      </w:pPr>
    </w:p>
    <w:p w:rsidR="00537112" w:rsidRPr="00537112" w:rsidRDefault="00537112" w:rsidP="00537112">
      <w:pPr>
        <w:autoSpaceDE w:val="0"/>
        <w:autoSpaceDN w:val="0"/>
        <w:spacing w:before="16" w:line="280" w:lineRule="exact"/>
        <w:jc w:val="left"/>
        <w:textAlignment w:val="auto"/>
        <w:rPr>
          <w:rFonts w:ascii="Times New Roman" w:hAnsi="Times New Roman"/>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772"/>
        <w:gridCol w:w="4496"/>
      </w:tblGrid>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145</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Au</w:t>
            </w:r>
            <w:r w:rsidRPr="00537112">
              <w:rPr>
                <w:rFonts w:cs="Verdana"/>
                <w:spacing w:val="-1"/>
                <w:sz w:val="20"/>
                <w:szCs w:val="20"/>
              </w:rPr>
              <w:t>re</w:t>
            </w:r>
            <w:r w:rsidRPr="00537112">
              <w:rPr>
                <w:rFonts w:cs="Verdana"/>
                <w:spacing w:val="3"/>
                <w:sz w:val="20"/>
                <w:szCs w:val="20"/>
              </w:rPr>
              <w:t>li</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Ló</w:t>
            </w:r>
            <w:r w:rsidRPr="00537112">
              <w:rPr>
                <w:rFonts w:cs="Verdana"/>
                <w:spacing w:val="1"/>
                <w:sz w:val="20"/>
                <w:szCs w:val="20"/>
              </w:rPr>
              <w:t>p</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26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3"/>
                <w:position w:val="-1"/>
                <w:sz w:val="20"/>
                <w:szCs w:val="20"/>
              </w:rPr>
              <w:t>i</w:t>
            </w:r>
            <w:r w:rsidRPr="00537112">
              <w:rPr>
                <w:rFonts w:cs="Verdana"/>
                <w:spacing w:val="1"/>
                <w:position w:val="-1"/>
                <w:sz w:val="20"/>
                <w:szCs w:val="20"/>
              </w:rPr>
              <w:t>m</w:t>
            </w:r>
            <w:r w:rsidRPr="00537112">
              <w:rPr>
                <w:rFonts w:cs="Verdana"/>
                <w:spacing w:val="-1"/>
                <w:position w:val="-1"/>
                <w:sz w:val="20"/>
                <w:szCs w:val="20"/>
              </w:rPr>
              <w:t>o</w:t>
            </w:r>
            <w:r w:rsidRPr="00537112">
              <w:rPr>
                <w:rFonts w:cs="Verdana"/>
                <w:spacing w:val="1"/>
                <w:position w:val="-1"/>
                <w:sz w:val="20"/>
                <w:szCs w:val="20"/>
              </w:rPr>
              <w:t>t</w:t>
            </w:r>
            <w:r w:rsidRPr="00537112">
              <w:rPr>
                <w:rFonts w:cs="Verdana"/>
                <w:spacing w:val="-1"/>
                <w:position w:val="-1"/>
                <w:sz w:val="20"/>
                <w:szCs w:val="20"/>
              </w:rPr>
              <w:t>e</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d</w:t>
            </w:r>
            <w:r w:rsidRPr="00537112">
              <w:rPr>
                <w:rFonts w:cs="Verdana"/>
                <w:spacing w:val="-1"/>
                <w:position w:val="-1"/>
                <w:sz w:val="20"/>
                <w:szCs w:val="20"/>
              </w:rPr>
              <w:t>r</w:t>
            </w:r>
            <w:r w:rsidRPr="00537112">
              <w:rPr>
                <w:rFonts w:cs="Verdana"/>
                <w:spacing w:val="3"/>
                <w:position w:val="-1"/>
                <w:sz w:val="20"/>
                <w:szCs w:val="20"/>
              </w:rPr>
              <w:t>í</w:t>
            </w:r>
            <w:r w:rsidRPr="00537112">
              <w:rPr>
                <w:rFonts w:cs="Verdana"/>
                <w:spacing w:val="1"/>
                <w:position w:val="-1"/>
                <w:sz w:val="20"/>
                <w:szCs w:val="20"/>
              </w:rPr>
              <w:t>gu</w:t>
            </w:r>
            <w:r w:rsidRPr="00537112">
              <w:rPr>
                <w:rFonts w:cs="Verdana"/>
                <w:spacing w:val="-1"/>
                <w:position w:val="-1"/>
                <w:sz w:val="20"/>
                <w:szCs w:val="20"/>
              </w:rPr>
              <w:t>e</w:t>
            </w:r>
            <w:r w:rsidRPr="00537112">
              <w:rPr>
                <w:rFonts w:cs="Verdana"/>
                <w:position w:val="-1"/>
                <w:sz w:val="20"/>
                <w:szCs w:val="20"/>
              </w:rPr>
              <w:t>z</w:t>
            </w:r>
            <w:r w:rsidRPr="00537112">
              <w:rPr>
                <w:rFonts w:cs="Verdana"/>
                <w:spacing w:val="-10"/>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27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Au</w:t>
            </w:r>
            <w:r w:rsidRPr="00537112">
              <w:rPr>
                <w:rFonts w:cs="Verdana"/>
                <w:spacing w:val="-1"/>
                <w:position w:val="-1"/>
                <w:sz w:val="20"/>
                <w:szCs w:val="20"/>
              </w:rPr>
              <w:t>re</w:t>
            </w:r>
            <w:r w:rsidRPr="00537112">
              <w:rPr>
                <w:rFonts w:cs="Verdana"/>
                <w:spacing w:val="3"/>
                <w:position w:val="-1"/>
                <w:sz w:val="20"/>
                <w:szCs w:val="20"/>
              </w:rPr>
              <w:t>li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Lo</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28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position w:val="-1"/>
                <w:sz w:val="20"/>
                <w:szCs w:val="20"/>
              </w:rPr>
              <w:t>D</w:t>
            </w:r>
            <w:r w:rsidRPr="00537112">
              <w:rPr>
                <w:rFonts w:cs="Verdana"/>
                <w:spacing w:val="3"/>
                <w:position w:val="-1"/>
                <w:sz w:val="20"/>
                <w:szCs w:val="20"/>
              </w:rPr>
              <w:t>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d</w:t>
            </w:r>
            <w:r w:rsidRPr="00537112">
              <w:rPr>
                <w:rFonts w:cs="Verdana"/>
                <w:spacing w:val="-1"/>
                <w:position w:val="-1"/>
                <w:sz w:val="20"/>
                <w:szCs w:val="20"/>
              </w:rPr>
              <w:t>r</w:t>
            </w:r>
            <w:r w:rsidRPr="00537112">
              <w:rPr>
                <w:rFonts w:cs="Verdana"/>
                <w:spacing w:val="3"/>
                <w:position w:val="-1"/>
                <w:sz w:val="20"/>
                <w:szCs w:val="20"/>
              </w:rPr>
              <w:t>í</w:t>
            </w:r>
            <w:r w:rsidRPr="00537112">
              <w:rPr>
                <w:rFonts w:cs="Verdana"/>
                <w:spacing w:val="1"/>
                <w:position w:val="-1"/>
                <w:sz w:val="20"/>
                <w:szCs w:val="20"/>
              </w:rPr>
              <w:t>gu</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29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m</w:t>
            </w:r>
            <w:r w:rsidRPr="00537112">
              <w:rPr>
                <w:rFonts w:cs="Verdana"/>
                <w:spacing w:val="-1"/>
                <w:position w:val="-1"/>
                <w:sz w:val="20"/>
                <w:szCs w:val="20"/>
              </w:rPr>
              <w:t>o</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d</w:t>
            </w:r>
            <w:r w:rsidRPr="00537112">
              <w:rPr>
                <w:rFonts w:cs="Verdana"/>
                <w:spacing w:val="-1"/>
                <w:position w:val="-1"/>
                <w:sz w:val="20"/>
                <w:szCs w:val="20"/>
              </w:rPr>
              <w:t>r</w:t>
            </w:r>
            <w:r w:rsidRPr="00537112">
              <w:rPr>
                <w:rFonts w:cs="Verdana"/>
                <w:spacing w:val="3"/>
                <w:position w:val="-1"/>
                <w:sz w:val="20"/>
                <w:szCs w:val="20"/>
              </w:rPr>
              <w:t>í</w:t>
            </w:r>
            <w:r w:rsidRPr="00537112">
              <w:rPr>
                <w:rFonts w:cs="Verdana"/>
                <w:spacing w:val="1"/>
                <w:position w:val="-1"/>
                <w:sz w:val="20"/>
                <w:szCs w:val="20"/>
              </w:rPr>
              <w:t>gu</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146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P</w:t>
            </w:r>
            <w:r w:rsidRPr="00537112">
              <w:rPr>
                <w:rFonts w:cs="Verdana"/>
                <w:spacing w:val="-1"/>
                <w:sz w:val="20"/>
                <w:szCs w:val="20"/>
              </w:rPr>
              <w:t>e</w:t>
            </w:r>
            <w:r w:rsidRPr="00537112">
              <w:rPr>
                <w:rFonts w:cs="Verdana"/>
                <w:spacing w:val="1"/>
                <w:sz w:val="20"/>
                <w:szCs w:val="20"/>
              </w:rPr>
              <w:t>d</w:t>
            </w:r>
            <w:r w:rsidRPr="00537112">
              <w:rPr>
                <w:rFonts w:cs="Verdana"/>
                <w:spacing w:val="-1"/>
                <w:sz w:val="20"/>
                <w:szCs w:val="20"/>
              </w:rPr>
              <w:t>r</w:t>
            </w:r>
            <w:r w:rsidRPr="00537112">
              <w:rPr>
                <w:rFonts w:cs="Verdana"/>
                <w:sz w:val="20"/>
                <w:szCs w:val="20"/>
              </w:rPr>
              <w:t>o</w:t>
            </w:r>
            <w:r w:rsidRPr="00537112">
              <w:rPr>
                <w:rFonts w:cs="Verdana"/>
                <w:spacing w:val="-8"/>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30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Su</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Pa</w:t>
            </w:r>
            <w:r w:rsidRPr="00537112">
              <w:rPr>
                <w:rFonts w:cs="Verdana"/>
                <w:spacing w:val="1"/>
                <w:position w:val="-1"/>
                <w:sz w:val="20"/>
                <w:szCs w:val="20"/>
              </w:rPr>
              <w:t>n</w:t>
            </w:r>
            <w:r w:rsidRPr="00537112">
              <w:rPr>
                <w:rFonts w:cs="Verdana"/>
                <w:spacing w:val="-1"/>
                <w:position w:val="-1"/>
                <w:sz w:val="20"/>
                <w:szCs w:val="20"/>
              </w:rPr>
              <w:t>c</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C</w:t>
            </w:r>
            <w:r w:rsidRPr="00537112">
              <w:rPr>
                <w:rFonts w:cs="Verdana"/>
                <w:spacing w:val="1"/>
                <w:position w:val="-1"/>
                <w:sz w:val="20"/>
                <w:szCs w:val="20"/>
              </w:rPr>
              <w:t>uj</w:t>
            </w:r>
            <w:r w:rsidRPr="00537112">
              <w:rPr>
                <w:rFonts w:cs="Verdana"/>
                <w:position w:val="-1"/>
                <w:sz w:val="20"/>
                <w:szCs w:val="20"/>
              </w:rPr>
              <w:t>á</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31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position w:val="-1"/>
                <w:sz w:val="20"/>
                <w:szCs w:val="20"/>
              </w:rPr>
              <w:t>o</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32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Es</w:t>
            </w:r>
            <w:r w:rsidRPr="00537112">
              <w:rPr>
                <w:rFonts w:cs="Verdana"/>
                <w:spacing w:val="1"/>
                <w:position w:val="-1"/>
                <w:sz w:val="20"/>
                <w:szCs w:val="20"/>
              </w:rPr>
              <w:t>t</w:t>
            </w:r>
            <w:r w:rsidRPr="00537112">
              <w:rPr>
                <w:rFonts w:cs="Verdana"/>
                <w:spacing w:val="-1"/>
                <w:position w:val="-1"/>
                <w:sz w:val="20"/>
                <w:szCs w:val="20"/>
              </w:rPr>
              <w:t>e</w:t>
            </w:r>
            <w:r w:rsidRPr="00537112">
              <w:rPr>
                <w:rFonts w:cs="Verdana"/>
                <w:spacing w:val="1"/>
                <w:position w:val="-1"/>
                <w:sz w:val="20"/>
                <w:szCs w:val="20"/>
              </w:rPr>
              <w:t>b</w:t>
            </w:r>
            <w:r w:rsidRPr="00537112">
              <w:rPr>
                <w:rFonts w:cs="Verdana"/>
                <w:position w:val="-1"/>
                <w:sz w:val="20"/>
                <w:szCs w:val="20"/>
              </w:rPr>
              <w:t>an</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Pa</w:t>
            </w:r>
            <w:r w:rsidRPr="00537112">
              <w:rPr>
                <w:rFonts w:cs="Verdana"/>
                <w:spacing w:val="1"/>
                <w:position w:val="-1"/>
                <w:sz w:val="20"/>
                <w:szCs w:val="20"/>
              </w:rPr>
              <w:t>n</w:t>
            </w:r>
            <w:r w:rsidRPr="00537112">
              <w:rPr>
                <w:rFonts w:cs="Verdana"/>
                <w:spacing w:val="-1"/>
                <w:position w:val="-1"/>
                <w:sz w:val="20"/>
                <w:szCs w:val="20"/>
              </w:rPr>
              <w:t>c</w:t>
            </w:r>
            <w:r w:rsidRPr="00537112">
              <w:rPr>
                <w:rFonts w:cs="Verdana"/>
                <w:position w:val="-1"/>
                <w:sz w:val="20"/>
                <w:szCs w:val="20"/>
              </w:rPr>
              <w:t>an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33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w:t>
            </w:r>
            <w:r w:rsidRPr="00537112">
              <w:rPr>
                <w:rFonts w:cs="Verdana"/>
                <w:spacing w:val="3"/>
                <w:position w:val="-1"/>
                <w:sz w:val="20"/>
                <w:szCs w:val="20"/>
              </w:rPr>
              <w:t>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Pa</w:t>
            </w:r>
            <w:r w:rsidRPr="00537112">
              <w:rPr>
                <w:rFonts w:cs="Verdana"/>
                <w:spacing w:val="1"/>
                <w:position w:val="-1"/>
                <w:sz w:val="20"/>
                <w:szCs w:val="20"/>
              </w:rPr>
              <w:t>n</w:t>
            </w:r>
            <w:r w:rsidRPr="00537112">
              <w:rPr>
                <w:rFonts w:cs="Verdana"/>
                <w:spacing w:val="-1"/>
                <w:position w:val="-1"/>
                <w:sz w:val="20"/>
                <w:szCs w:val="20"/>
              </w:rPr>
              <w:t>c</w:t>
            </w:r>
            <w:r w:rsidRPr="00537112">
              <w:rPr>
                <w:rFonts w:cs="Verdana"/>
                <w:position w:val="-1"/>
                <w:sz w:val="20"/>
                <w:szCs w:val="20"/>
              </w:rPr>
              <w:t>an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147</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F</w:t>
            </w:r>
            <w:r w:rsidRPr="00537112">
              <w:rPr>
                <w:rFonts w:cs="Verdana"/>
                <w:spacing w:val="-1"/>
                <w:sz w:val="20"/>
                <w:szCs w:val="20"/>
              </w:rPr>
              <w:t>e</w:t>
            </w:r>
            <w:r w:rsidRPr="00537112">
              <w:rPr>
                <w:rFonts w:cs="Verdana"/>
                <w:spacing w:val="3"/>
                <w:sz w:val="20"/>
                <w:szCs w:val="20"/>
              </w:rPr>
              <w:t>li</w:t>
            </w:r>
            <w:r w:rsidRPr="00537112">
              <w:rPr>
                <w:rFonts w:cs="Verdana"/>
                <w:spacing w:val="1"/>
                <w:sz w:val="20"/>
                <w:szCs w:val="20"/>
              </w:rPr>
              <w:t>p</w:t>
            </w:r>
            <w:r w:rsidRPr="00537112">
              <w:rPr>
                <w:rFonts w:cs="Verdana"/>
                <w:sz w:val="20"/>
                <w:szCs w:val="20"/>
              </w:rPr>
              <w:t>e</w:t>
            </w:r>
            <w:r w:rsidRPr="00537112">
              <w:rPr>
                <w:rFonts w:cs="Verdana"/>
                <w:spacing w:val="-8"/>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z w:val="20"/>
                <w:szCs w:val="20"/>
              </w:rPr>
              <w:t>C</w:t>
            </w:r>
            <w:r w:rsidRPr="00537112">
              <w:rPr>
                <w:rFonts w:cs="Verdana"/>
                <w:spacing w:val="1"/>
                <w:sz w:val="20"/>
                <w:szCs w:val="20"/>
              </w:rPr>
              <w:t>u</w:t>
            </w:r>
            <w:r w:rsidRPr="00537112">
              <w:rPr>
                <w:rFonts w:cs="Verdana"/>
                <w:sz w:val="20"/>
                <w:szCs w:val="20"/>
              </w:rPr>
              <w:t>x</w:t>
            </w:r>
            <w:r w:rsidRPr="00537112">
              <w:rPr>
                <w:rFonts w:cs="Verdana"/>
                <w:spacing w:val="1"/>
                <w:sz w:val="20"/>
                <w:szCs w:val="20"/>
              </w:rPr>
              <w:t>ú</w:t>
            </w:r>
            <w:r w:rsidRPr="00537112">
              <w:rPr>
                <w:rFonts w:cs="Verdana"/>
                <w:sz w:val="20"/>
                <w:szCs w:val="20"/>
              </w:rPr>
              <w:t>m</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34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s</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35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p</w:t>
            </w:r>
            <w:r w:rsidRPr="00537112">
              <w:rPr>
                <w:rFonts w:cs="Verdana"/>
                <w:position w:val="-1"/>
                <w:sz w:val="20"/>
                <w:szCs w:val="20"/>
              </w:rPr>
              <w:t>e</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u</w:t>
            </w:r>
            <w:r w:rsidRPr="00537112">
              <w:rPr>
                <w:rFonts w:cs="Verdana"/>
                <w:position w:val="-1"/>
                <w:sz w:val="20"/>
                <w:szCs w:val="20"/>
              </w:rPr>
              <w:t>x</w:t>
            </w:r>
            <w:r w:rsidRPr="00537112">
              <w:rPr>
                <w:rFonts w:cs="Verdana"/>
                <w:spacing w:val="1"/>
                <w:position w:val="-1"/>
                <w:sz w:val="20"/>
                <w:szCs w:val="20"/>
              </w:rPr>
              <w:t>ú</w:t>
            </w:r>
            <w:r w:rsidRPr="00537112">
              <w:rPr>
                <w:rFonts w:cs="Verdana"/>
                <w:position w:val="-1"/>
                <w:sz w:val="20"/>
                <w:szCs w:val="20"/>
              </w:rPr>
              <w:t>m</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36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j</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37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38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ec</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39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t</w:t>
            </w:r>
            <w:r w:rsidRPr="00537112">
              <w:rPr>
                <w:rFonts w:cs="Verdana"/>
                <w:spacing w:val="-1"/>
                <w:position w:val="-1"/>
                <w:sz w:val="20"/>
                <w:szCs w:val="20"/>
              </w:rPr>
              <w:t>roc</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319"/>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80" w:lineRule="exact"/>
              <w:jc w:val="left"/>
              <w:textAlignment w:val="auto"/>
              <w:rPr>
                <w:rFonts w:ascii="Times New Roman" w:hAnsi="Times New Roman"/>
                <w:sz w:val="28"/>
                <w:szCs w:val="28"/>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148</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80" w:lineRule="exact"/>
              <w:jc w:val="left"/>
              <w:textAlignment w:val="auto"/>
              <w:rPr>
                <w:rFonts w:ascii="Times New Roman" w:hAnsi="Times New Roman"/>
                <w:sz w:val="28"/>
                <w:szCs w:val="28"/>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F</w:t>
            </w:r>
            <w:r w:rsidRPr="00537112">
              <w:rPr>
                <w:rFonts w:cs="Verdana"/>
                <w:spacing w:val="3"/>
                <w:sz w:val="20"/>
                <w:szCs w:val="20"/>
              </w:rPr>
              <w:t>l</w:t>
            </w:r>
            <w:r w:rsidRPr="00537112">
              <w:rPr>
                <w:rFonts w:cs="Verdana"/>
                <w:spacing w:val="-1"/>
                <w:sz w:val="20"/>
                <w:szCs w:val="20"/>
              </w:rPr>
              <w:t>ore</w:t>
            </w:r>
            <w:r w:rsidRPr="00537112">
              <w:rPr>
                <w:rFonts w:cs="Verdana"/>
                <w:spacing w:val="1"/>
                <w:sz w:val="20"/>
                <w:szCs w:val="20"/>
              </w:rPr>
              <w:t>nt</w:t>
            </w:r>
            <w:r w:rsidRPr="00537112">
              <w:rPr>
                <w:rFonts w:cs="Verdana"/>
                <w:spacing w:val="3"/>
                <w:sz w:val="20"/>
                <w:szCs w:val="20"/>
              </w:rPr>
              <w:t>i</w:t>
            </w:r>
            <w:r w:rsidRPr="00537112">
              <w:rPr>
                <w:rFonts w:cs="Verdana"/>
                <w:sz w:val="20"/>
                <w:szCs w:val="20"/>
              </w:rPr>
              <w:t>n</w:t>
            </w:r>
            <w:r w:rsidRPr="00537112">
              <w:rPr>
                <w:rFonts w:cs="Verdana"/>
                <w:spacing w:val="-9"/>
                <w:sz w:val="20"/>
                <w:szCs w:val="20"/>
              </w:rPr>
              <w:t xml:space="preserve"> </w:t>
            </w:r>
            <w:r w:rsidRPr="00537112">
              <w:rPr>
                <w:rFonts w:cs="Verdana"/>
                <w:sz w:val="20"/>
                <w:szCs w:val="20"/>
              </w:rPr>
              <w:t>T</w:t>
            </w:r>
            <w:r w:rsidRPr="00537112">
              <w:rPr>
                <w:rFonts w:cs="Verdana"/>
                <w:spacing w:val="-1"/>
                <w:sz w:val="20"/>
                <w:szCs w:val="20"/>
              </w:rPr>
              <w:t>oj</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r w:rsidRPr="00537112">
              <w:rPr>
                <w:rFonts w:cs="Verdana"/>
                <w:sz w:val="20"/>
                <w:szCs w:val="20"/>
              </w:rPr>
              <w:t>7</w:t>
            </w:r>
            <w:r w:rsidRPr="00537112">
              <w:rPr>
                <w:rFonts w:cs="Verdana"/>
                <w:spacing w:val="1"/>
                <w:sz w:val="20"/>
                <w:szCs w:val="20"/>
              </w:rPr>
              <w:t>40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r w:rsidRPr="00537112">
              <w:rPr>
                <w:rFonts w:cs="Verdana"/>
                <w:spacing w:val="-1"/>
                <w:sz w:val="20"/>
                <w:szCs w:val="20"/>
              </w:rPr>
              <w:t>L</w:t>
            </w:r>
            <w:r w:rsidRPr="00537112">
              <w:rPr>
                <w:rFonts w:cs="Verdana"/>
                <w:spacing w:val="1"/>
                <w:sz w:val="20"/>
                <w:szCs w:val="20"/>
              </w:rPr>
              <w:t>u</w:t>
            </w:r>
            <w:r w:rsidRPr="00537112">
              <w:rPr>
                <w:rFonts w:cs="Verdana"/>
                <w:spacing w:val="-1"/>
                <w:sz w:val="20"/>
                <w:szCs w:val="20"/>
              </w:rPr>
              <w:t>c</w:t>
            </w:r>
            <w:r w:rsidRPr="00537112">
              <w:rPr>
                <w:rFonts w:cs="Verdana"/>
                <w:spacing w:val="3"/>
                <w:sz w:val="20"/>
                <w:szCs w:val="20"/>
              </w:rPr>
              <w:t>í</w:t>
            </w:r>
            <w:r w:rsidRPr="00537112">
              <w:rPr>
                <w:rFonts w:cs="Verdana"/>
                <w:sz w:val="20"/>
                <w:szCs w:val="20"/>
              </w:rPr>
              <w:t>a</w:t>
            </w:r>
            <w:r w:rsidRPr="00537112">
              <w:rPr>
                <w:rFonts w:cs="Verdana"/>
                <w:spacing w:val="-5"/>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á</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r>
      <w:tr w:rsidR="00537112" w:rsidRPr="00537112" w:rsidTr="00630EEC">
        <w:trPr>
          <w:trHeight w:hRule="exact" w:val="449"/>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6"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90" w:line="240" w:lineRule="auto"/>
              <w:ind w:right="-20"/>
              <w:jc w:val="left"/>
              <w:textAlignment w:val="auto"/>
              <w:rPr>
                <w:rFonts w:ascii="Times New Roman" w:hAnsi="Times New Roman"/>
              </w:rPr>
            </w:pPr>
            <w:r w:rsidRPr="00537112">
              <w:rPr>
                <w:rFonts w:cs="Verdana"/>
                <w:sz w:val="20"/>
                <w:szCs w:val="20"/>
              </w:rPr>
              <w:t>7</w:t>
            </w:r>
            <w:r w:rsidRPr="00537112">
              <w:rPr>
                <w:rFonts w:cs="Verdana"/>
                <w:spacing w:val="1"/>
                <w:sz w:val="20"/>
                <w:szCs w:val="20"/>
              </w:rPr>
              <w:t>41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0" w:line="240" w:lineRule="auto"/>
              <w:ind w:right="-20"/>
              <w:jc w:val="left"/>
              <w:textAlignment w:val="auto"/>
              <w:rPr>
                <w:rFonts w:ascii="Times New Roman" w:hAnsi="Times New Roman"/>
              </w:rPr>
            </w:pPr>
            <w:r w:rsidRPr="00537112">
              <w:rPr>
                <w:rFonts w:cs="Verdana"/>
                <w:spacing w:val="1"/>
                <w:sz w:val="20"/>
                <w:szCs w:val="20"/>
              </w:rPr>
              <w:t>F</w:t>
            </w:r>
            <w:r w:rsidRPr="00537112">
              <w:rPr>
                <w:rFonts w:cs="Verdana"/>
                <w:spacing w:val="3"/>
                <w:sz w:val="20"/>
                <w:szCs w:val="20"/>
              </w:rPr>
              <w:t>l</w:t>
            </w:r>
            <w:r w:rsidRPr="00537112">
              <w:rPr>
                <w:rFonts w:cs="Verdana"/>
                <w:spacing w:val="-1"/>
                <w:sz w:val="20"/>
                <w:szCs w:val="20"/>
              </w:rPr>
              <w:t>ore</w:t>
            </w:r>
            <w:r w:rsidRPr="00537112">
              <w:rPr>
                <w:rFonts w:cs="Verdana"/>
                <w:spacing w:val="1"/>
                <w:sz w:val="20"/>
                <w:szCs w:val="20"/>
              </w:rPr>
              <w:t>nt</w:t>
            </w:r>
            <w:r w:rsidRPr="00537112">
              <w:rPr>
                <w:rFonts w:cs="Verdana"/>
                <w:spacing w:val="3"/>
                <w:sz w:val="20"/>
                <w:szCs w:val="20"/>
              </w:rPr>
              <w:t>i</w:t>
            </w:r>
            <w:r w:rsidRPr="00537112">
              <w:rPr>
                <w:rFonts w:cs="Verdana"/>
                <w:sz w:val="20"/>
                <w:szCs w:val="20"/>
              </w:rPr>
              <w:t>n</w:t>
            </w:r>
            <w:r w:rsidRPr="00537112">
              <w:rPr>
                <w:rFonts w:cs="Verdana"/>
                <w:spacing w:val="-9"/>
                <w:sz w:val="20"/>
                <w:szCs w:val="20"/>
              </w:rPr>
              <w:t xml:space="preserve"> </w:t>
            </w:r>
            <w:r w:rsidRPr="00537112">
              <w:rPr>
                <w:rFonts w:cs="Verdana"/>
                <w:sz w:val="20"/>
                <w:szCs w:val="20"/>
              </w:rPr>
              <w:t>T</w:t>
            </w:r>
            <w:r w:rsidRPr="00537112">
              <w:rPr>
                <w:rFonts w:cs="Verdana"/>
                <w:spacing w:val="-1"/>
                <w:sz w:val="20"/>
                <w:szCs w:val="20"/>
              </w:rPr>
              <w:t>oj</w:t>
            </w:r>
          </w:p>
        </w:tc>
      </w:tr>
      <w:tr w:rsidR="00537112" w:rsidRPr="00537112" w:rsidTr="00630EEC">
        <w:trPr>
          <w:trHeight w:hRule="exact" w:val="348"/>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0"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0"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40" w:line="240" w:lineRule="auto"/>
              <w:ind w:right="-20"/>
              <w:jc w:val="left"/>
              <w:textAlignment w:val="auto"/>
              <w:rPr>
                <w:rFonts w:ascii="Times New Roman" w:hAnsi="Times New Roman"/>
              </w:rPr>
            </w:pPr>
            <w:r w:rsidRPr="00537112">
              <w:rPr>
                <w:rFonts w:cs="Verdana"/>
                <w:sz w:val="20"/>
                <w:szCs w:val="20"/>
              </w:rPr>
              <w:t>7</w:t>
            </w:r>
            <w:r w:rsidRPr="00537112">
              <w:rPr>
                <w:rFonts w:cs="Verdana"/>
                <w:spacing w:val="1"/>
                <w:sz w:val="20"/>
                <w:szCs w:val="20"/>
              </w:rPr>
              <w:t>42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40" w:line="240" w:lineRule="auto"/>
              <w:ind w:right="-20"/>
              <w:jc w:val="left"/>
              <w:textAlignment w:val="auto"/>
              <w:rPr>
                <w:rFonts w:ascii="Times New Roman" w:hAnsi="Times New Roman"/>
              </w:rPr>
            </w:pPr>
            <w:r w:rsidRPr="00537112">
              <w:rPr>
                <w:rFonts w:cs="Verdana"/>
                <w:spacing w:val="1"/>
                <w:sz w:val="20"/>
                <w:szCs w:val="20"/>
              </w:rPr>
              <w:t>S</w:t>
            </w:r>
            <w:r w:rsidRPr="00537112">
              <w:rPr>
                <w:rFonts w:cs="Verdana"/>
                <w:spacing w:val="3"/>
                <w:sz w:val="20"/>
                <w:szCs w:val="20"/>
              </w:rPr>
              <w:t>i</w:t>
            </w:r>
            <w:r w:rsidRPr="00537112">
              <w:rPr>
                <w:rFonts w:cs="Verdana"/>
                <w:spacing w:val="1"/>
                <w:sz w:val="20"/>
                <w:szCs w:val="20"/>
              </w:rPr>
              <w:t>m</w:t>
            </w:r>
            <w:r w:rsidRPr="00537112">
              <w:rPr>
                <w:rFonts w:cs="Verdana"/>
                <w:spacing w:val="-1"/>
                <w:sz w:val="20"/>
                <w:szCs w:val="20"/>
              </w:rPr>
              <w:t>eó</w:t>
            </w:r>
            <w:r w:rsidRPr="00537112">
              <w:rPr>
                <w:rFonts w:cs="Verdana"/>
                <w:sz w:val="20"/>
                <w:szCs w:val="20"/>
              </w:rPr>
              <w:t>n</w:t>
            </w:r>
            <w:r w:rsidRPr="00537112">
              <w:rPr>
                <w:rFonts w:cs="Verdana"/>
                <w:spacing w:val="-8"/>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r w:rsidRPr="00537112">
              <w:rPr>
                <w:rFonts w:cs="Verdana"/>
                <w:spacing w:val="-9"/>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r>
      <w:tr w:rsidR="00537112" w:rsidRPr="00537112" w:rsidTr="00630EEC">
        <w:trPr>
          <w:trHeight w:hRule="exact" w:val="929"/>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40" w:line="240" w:lineRule="auto"/>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40" w:line="240" w:lineRule="auto"/>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1" w:line="130" w:lineRule="exact"/>
              <w:jc w:val="left"/>
              <w:textAlignment w:val="auto"/>
              <w:rPr>
                <w:rFonts w:ascii="Times New Roman" w:hAnsi="Times New Roman"/>
                <w:sz w:val="13"/>
                <w:szCs w:val="13"/>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7</w:t>
            </w:r>
            <w:r w:rsidRPr="00537112">
              <w:rPr>
                <w:rFonts w:cs="Verdana"/>
                <w:spacing w:val="1"/>
                <w:sz w:val="20"/>
                <w:szCs w:val="20"/>
              </w:rPr>
              <w:t>43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 w:line="130" w:lineRule="exact"/>
              <w:jc w:val="left"/>
              <w:textAlignment w:val="auto"/>
              <w:rPr>
                <w:rFonts w:ascii="Times New Roman" w:hAnsi="Times New Roman"/>
                <w:sz w:val="13"/>
                <w:szCs w:val="13"/>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D</w:t>
            </w:r>
            <w:r w:rsidRPr="00537112">
              <w:rPr>
                <w:rFonts w:cs="Verdana"/>
                <w:spacing w:val="-1"/>
                <w:sz w:val="20"/>
                <w:szCs w:val="20"/>
              </w:rPr>
              <w:t>o</w:t>
            </w:r>
            <w:r w:rsidRPr="00537112">
              <w:rPr>
                <w:rFonts w:cs="Verdana"/>
                <w:spacing w:val="3"/>
                <w:sz w:val="20"/>
                <w:szCs w:val="20"/>
              </w:rPr>
              <w:t>l</w:t>
            </w:r>
            <w:r w:rsidRPr="00537112">
              <w:rPr>
                <w:rFonts w:cs="Verdana"/>
                <w:spacing w:val="-1"/>
                <w:sz w:val="20"/>
                <w:szCs w:val="20"/>
              </w:rPr>
              <w:t>ore</w:t>
            </w:r>
            <w:r w:rsidRPr="00537112">
              <w:rPr>
                <w:rFonts w:cs="Verdana"/>
                <w:sz w:val="20"/>
                <w:szCs w:val="20"/>
              </w:rPr>
              <w:t>s</w:t>
            </w:r>
            <w:r w:rsidRPr="00537112">
              <w:rPr>
                <w:rFonts w:cs="Verdana"/>
                <w:spacing w:val="-9"/>
                <w:sz w:val="20"/>
                <w:szCs w:val="20"/>
              </w:rPr>
              <w:t xml:space="preserve"> </w:t>
            </w:r>
            <w:r w:rsidRPr="00537112">
              <w:rPr>
                <w:rFonts w:cs="Verdana"/>
                <w:sz w:val="20"/>
                <w:szCs w:val="20"/>
              </w:rPr>
              <w:t>T</w:t>
            </w:r>
            <w:r w:rsidRPr="00537112">
              <w:rPr>
                <w:rFonts w:cs="Verdana"/>
                <w:spacing w:val="-1"/>
                <w:sz w:val="20"/>
                <w:szCs w:val="20"/>
              </w:rPr>
              <w:t>o</w:t>
            </w:r>
            <w:r w:rsidRPr="00537112">
              <w:rPr>
                <w:rFonts w:cs="Verdana"/>
                <w:sz w:val="20"/>
                <w:szCs w:val="20"/>
              </w:rPr>
              <w:t>j</w:t>
            </w:r>
            <w:r w:rsidRPr="00537112">
              <w:rPr>
                <w:rFonts w:cs="Verdana"/>
                <w:spacing w:val="-3"/>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á</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149</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D</w:t>
            </w:r>
            <w:r w:rsidRPr="00537112">
              <w:rPr>
                <w:rFonts w:cs="Verdana"/>
                <w:spacing w:val="-1"/>
                <w:sz w:val="20"/>
                <w:szCs w:val="20"/>
              </w:rPr>
              <w:t>o</w:t>
            </w:r>
            <w:r w:rsidRPr="00537112">
              <w:rPr>
                <w:rFonts w:cs="Verdana"/>
                <w:spacing w:val="1"/>
                <w:sz w:val="20"/>
                <w:szCs w:val="20"/>
              </w:rPr>
              <w:t>m</w:t>
            </w:r>
            <w:r w:rsidRPr="00537112">
              <w:rPr>
                <w:rFonts w:cs="Verdana"/>
                <w:spacing w:val="3"/>
                <w:sz w:val="20"/>
                <w:szCs w:val="20"/>
              </w:rPr>
              <w:t>i</w:t>
            </w:r>
            <w:r w:rsidRPr="00537112">
              <w:rPr>
                <w:rFonts w:cs="Verdana"/>
                <w:spacing w:val="1"/>
                <w:sz w:val="20"/>
                <w:szCs w:val="20"/>
              </w:rPr>
              <w:t>ng</w:t>
            </w:r>
            <w:r w:rsidRPr="00537112">
              <w:rPr>
                <w:rFonts w:cs="Verdana"/>
                <w:sz w:val="20"/>
                <w:szCs w:val="20"/>
              </w:rPr>
              <w:t>o</w:t>
            </w:r>
            <w:r w:rsidRPr="00537112">
              <w:rPr>
                <w:rFonts w:cs="Verdana"/>
                <w:spacing w:val="-11"/>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z w:val="20"/>
                <w:szCs w:val="20"/>
              </w:rPr>
              <w:t>Ta</w:t>
            </w:r>
            <w:r w:rsidRPr="00537112">
              <w:rPr>
                <w:rFonts w:cs="Verdana"/>
                <w:spacing w:val="1"/>
                <w:sz w:val="20"/>
                <w:szCs w:val="20"/>
              </w:rPr>
              <w:t>hu</w:t>
            </w:r>
            <w:r w:rsidRPr="00537112">
              <w:rPr>
                <w:rFonts w:cs="Verdana"/>
                <w:spacing w:val="3"/>
                <w:sz w:val="20"/>
                <w:szCs w:val="20"/>
              </w:rPr>
              <w:t>i</w:t>
            </w:r>
            <w:r w:rsidRPr="00537112">
              <w:rPr>
                <w:rFonts w:cs="Verdana"/>
                <w:spacing w:val="-1"/>
                <w:sz w:val="20"/>
                <w:szCs w:val="20"/>
              </w:rPr>
              <w:t>c</w:t>
            </w:r>
            <w:r w:rsidRPr="00537112">
              <w:rPr>
                <w:rFonts w:cs="Verdana"/>
                <w:sz w:val="20"/>
                <w:szCs w:val="20"/>
              </w:rPr>
              <w:t>o</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44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Max</w:t>
            </w:r>
            <w:r w:rsidRPr="00537112">
              <w:rPr>
                <w:rFonts w:cs="Verdana"/>
                <w:spacing w:val="3"/>
                <w:position w:val="-1"/>
                <w:sz w:val="20"/>
                <w:szCs w:val="20"/>
              </w:rPr>
              <w:t>i</w:t>
            </w:r>
            <w:r w:rsidRPr="00537112">
              <w:rPr>
                <w:rFonts w:cs="Verdana"/>
                <w:spacing w:val="1"/>
                <w:position w:val="-1"/>
                <w:sz w:val="20"/>
                <w:szCs w:val="20"/>
              </w:rPr>
              <w:t>m</w:t>
            </w:r>
            <w:r w:rsidRPr="00537112">
              <w:rPr>
                <w:rFonts w:cs="Verdana"/>
                <w:spacing w:val="3"/>
                <w:position w:val="-1"/>
                <w:sz w:val="20"/>
                <w:szCs w:val="20"/>
              </w:rPr>
              <w:t>ili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12"/>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co</w:t>
            </w:r>
            <w:r w:rsidRPr="00537112">
              <w:rPr>
                <w:rFonts w:cs="Verdana"/>
                <w:spacing w:val="1"/>
                <w:position w:val="-1"/>
                <w:sz w:val="20"/>
                <w:szCs w:val="20"/>
              </w:rPr>
              <w:t>p</w:t>
            </w:r>
            <w:r w:rsidRPr="00537112">
              <w:rPr>
                <w:rFonts w:cs="Verdana"/>
                <w:position w:val="-1"/>
                <w:sz w:val="20"/>
                <w:szCs w:val="20"/>
              </w:rPr>
              <w:t>al</w:t>
            </w:r>
            <w:r w:rsidRPr="00537112">
              <w:rPr>
                <w:rFonts w:cs="Verdana"/>
                <w:spacing w:val="-5"/>
                <w:position w:val="-1"/>
                <w:sz w:val="20"/>
                <w:szCs w:val="20"/>
              </w:rPr>
              <w:t xml:space="preserve"> </w:t>
            </w:r>
            <w:r w:rsidRPr="00537112">
              <w:rPr>
                <w:rFonts w:cs="Verdana"/>
                <w:spacing w:val="-1"/>
                <w:position w:val="-1"/>
                <w:sz w:val="20"/>
                <w:szCs w:val="20"/>
              </w:rPr>
              <w:t>Ló</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45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ng</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Ta</w:t>
            </w:r>
            <w:r w:rsidRPr="00537112">
              <w:rPr>
                <w:rFonts w:cs="Verdana"/>
                <w:spacing w:val="1"/>
                <w:position w:val="-1"/>
                <w:sz w:val="20"/>
                <w:szCs w:val="20"/>
              </w:rPr>
              <w:t>hu</w:t>
            </w:r>
            <w:r w:rsidRPr="00537112">
              <w:rPr>
                <w:rFonts w:cs="Verdana"/>
                <w:spacing w:val="3"/>
                <w:position w:val="-1"/>
                <w:sz w:val="20"/>
                <w:szCs w:val="20"/>
              </w:rPr>
              <w:t>i</w:t>
            </w:r>
            <w:r w:rsidRPr="00537112">
              <w:rPr>
                <w:rFonts w:cs="Verdana"/>
                <w:spacing w:val="-1"/>
                <w:position w:val="-1"/>
                <w:sz w:val="20"/>
                <w:szCs w:val="20"/>
              </w:rPr>
              <w:t>c</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46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position w:val="-1"/>
                <w:sz w:val="20"/>
                <w:szCs w:val="20"/>
              </w:rPr>
              <w:t>n</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co</w:t>
            </w:r>
            <w:r w:rsidRPr="00537112">
              <w:rPr>
                <w:rFonts w:cs="Verdana"/>
                <w:spacing w:val="1"/>
                <w:position w:val="-1"/>
                <w:sz w:val="20"/>
                <w:szCs w:val="20"/>
              </w:rPr>
              <w:t>p</w:t>
            </w:r>
            <w:r w:rsidRPr="00537112">
              <w:rPr>
                <w:rFonts w:cs="Verdana"/>
                <w:position w:val="-1"/>
                <w:sz w:val="20"/>
                <w:szCs w:val="20"/>
              </w:rPr>
              <w:t>al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47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co</w:t>
            </w:r>
            <w:r w:rsidRPr="00537112">
              <w:rPr>
                <w:rFonts w:cs="Verdana"/>
                <w:spacing w:val="1"/>
                <w:position w:val="-1"/>
                <w:sz w:val="20"/>
                <w:szCs w:val="20"/>
              </w:rPr>
              <w:t>p</w:t>
            </w:r>
            <w:r w:rsidRPr="00537112">
              <w:rPr>
                <w:rFonts w:cs="Verdana"/>
                <w:position w:val="-1"/>
                <w:sz w:val="20"/>
                <w:szCs w:val="20"/>
              </w:rPr>
              <w:t>al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48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co</w:t>
            </w:r>
            <w:r w:rsidRPr="00537112">
              <w:rPr>
                <w:rFonts w:cs="Verdana"/>
                <w:spacing w:val="1"/>
                <w:position w:val="-1"/>
                <w:sz w:val="20"/>
                <w:szCs w:val="20"/>
              </w:rPr>
              <w:t>p</w:t>
            </w:r>
            <w:r w:rsidRPr="00537112">
              <w:rPr>
                <w:rFonts w:cs="Verdana"/>
                <w:position w:val="-1"/>
                <w:sz w:val="20"/>
                <w:szCs w:val="20"/>
              </w:rPr>
              <w:t>al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49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spacing w:val="-1"/>
                <w:position w:val="-1"/>
                <w:sz w:val="20"/>
                <w:szCs w:val="20"/>
              </w:rPr>
              <w:t>o</w:t>
            </w:r>
            <w:r w:rsidRPr="00537112">
              <w:rPr>
                <w:rFonts w:cs="Verdana"/>
                <w:position w:val="-1"/>
                <w:sz w:val="20"/>
                <w:szCs w:val="20"/>
              </w:rPr>
              <w:t>s</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co</w:t>
            </w:r>
            <w:r w:rsidRPr="00537112">
              <w:rPr>
                <w:rFonts w:cs="Verdana"/>
                <w:spacing w:val="1"/>
                <w:position w:val="-1"/>
                <w:sz w:val="20"/>
                <w:szCs w:val="20"/>
              </w:rPr>
              <w:t>p</w:t>
            </w:r>
            <w:r w:rsidRPr="00537112">
              <w:rPr>
                <w:rFonts w:cs="Verdana"/>
                <w:position w:val="-1"/>
                <w:sz w:val="20"/>
                <w:szCs w:val="20"/>
              </w:rPr>
              <w:t>al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50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du</w:t>
            </w:r>
            <w:r w:rsidRPr="00537112">
              <w:rPr>
                <w:rFonts w:cs="Verdana"/>
                <w:position w:val="-1"/>
                <w:sz w:val="20"/>
                <w:szCs w:val="20"/>
              </w:rPr>
              <w:t>v</w:t>
            </w:r>
            <w:r w:rsidRPr="00537112">
              <w:rPr>
                <w:rFonts w:cs="Verdana"/>
                <w:spacing w:val="3"/>
                <w:position w:val="-1"/>
                <w:sz w:val="20"/>
                <w:szCs w:val="20"/>
              </w:rPr>
              <w:t>i</w:t>
            </w:r>
            <w:r w:rsidRPr="00537112">
              <w:rPr>
                <w:rFonts w:cs="Verdana"/>
                <w:spacing w:val="1"/>
                <w:position w:val="-1"/>
                <w:sz w:val="20"/>
                <w:szCs w:val="20"/>
              </w:rPr>
              <w:t>g</w:t>
            </w:r>
            <w:r w:rsidRPr="00537112">
              <w:rPr>
                <w:rFonts w:cs="Verdana"/>
                <w:spacing w:val="-1"/>
                <w:position w:val="-1"/>
                <w:sz w:val="20"/>
                <w:szCs w:val="20"/>
              </w:rPr>
              <w:t>e</w:t>
            </w:r>
            <w:r w:rsidRPr="00537112">
              <w:rPr>
                <w:rFonts w:cs="Verdana"/>
                <w:position w:val="-1"/>
                <w:sz w:val="20"/>
                <w:szCs w:val="20"/>
              </w:rPr>
              <w:t>s</w:t>
            </w:r>
            <w:r w:rsidRPr="00537112">
              <w:rPr>
                <w:rFonts w:cs="Verdana"/>
                <w:spacing w:val="-10"/>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co</w:t>
            </w:r>
            <w:r w:rsidRPr="00537112">
              <w:rPr>
                <w:rFonts w:cs="Verdana"/>
                <w:spacing w:val="1"/>
                <w:position w:val="-1"/>
                <w:sz w:val="20"/>
                <w:szCs w:val="20"/>
              </w:rPr>
              <w:t>p</w:t>
            </w:r>
            <w:r w:rsidRPr="00537112">
              <w:rPr>
                <w:rFonts w:cs="Verdana"/>
                <w:position w:val="-1"/>
                <w:sz w:val="20"/>
                <w:szCs w:val="20"/>
              </w:rPr>
              <w:t>al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51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position w:val="-1"/>
                <w:sz w:val="20"/>
                <w:szCs w:val="20"/>
              </w:rPr>
              <w:t>a</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nt</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co</w:t>
            </w:r>
            <w:r w:rsidRPr="00537112">
              <w:rPr>
                <w:rFonts w:cs="Verdana"/>
                <w:spacing w:val="1"/>
                <w:position w:val="-1"/>
                <w:sz w:val="20"/>
                <w:szCs w:val="20"/>
              </w:rPr>
              <w:t>p</w:t>
            </w:r>
            <w:r w:rsidRPr="00537112">
              <w:rPr>
                <w:rFonts w:cs="Verdana"/>
                <w:position w:val="-1"/>
                <w:sz w:val="20"/>
                <w:szCs w:val="20"/>
              </w:rPr>
              <w:t>al</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9" w:line="160" w:lineRule="exact"/>
              <w:jc w:val="left"/>
              <w:textAlignment w:val="auto"/>
              <w:rPr>
                <w:rFonts w:ascii="Times New Roman" w:hAnsi="Times New Roman"/>
                <w:sz w:val="16"/>
                <w:szCs w:val="16"/>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150</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9" w:line="160" w:lineRule="exact"/>
              <w:jc w:val="left"/>
              <w:textAlignment w:val="auto"/>
              <w:rPr>
                <w:rFonts w:ascii="Times New Roman" w:hAnsi="Times New Roman"/>
                <w:sz w:val="16"/>
                <w:szCs w:val="16"/>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Ju</w:t>
            </w:r>
            <w:r w:rsidRPr="00537112">
              <w:rPr>
                <w:rFonts w:cs="Verdana"/>
                <w:spacing w:val="3"/>
                <w:sz w:val="20"/>
                <w:szCs w:val="20"/>
              </w:rPr>
              <w:t>li</w:t>
            </w:r>
            <w:r w:rsidRPr="00537112">
              <w:rPr>
                <w:rFonts w:cs="Verdana"/>
                <w:sz w:val="20"/>
                <w:szCs w:val="20"/>
              </w:rPr>
              <w:t>án</w:t>
            </w:r>
            <w:r w:rsidRPr="00537112">
              <w:rPr>
                <w:rFonts w:cs="Verdana"/>
                <w:spacing w:val="-6"/>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r w:rsidRPr="00537112">
              <w:rPr>
                <w:rFonts w:cs="Verdana"/>
                <w:spacing w:val="-5"/>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1"/>
                <w:sz w:val="20"/>
                <w:szCs w:val="20"/>
              </w:rPr>
              <w:t>r</w:t>
            </w:r>
            <w:r w:rsidRPr="00537112">
              <w:rPr>
                <w:rFonts w:cs="Verdana"/>
                <w:spacing w:val="1"/>
                <w:sz w:val="20"/>
                <w:szCs w:val="20"/>
              </w:rPr>
              <w:t>g</w:t>
            </w:r>
            <w:r w:rsidRPr="00537112">
              <w:rPr>
                <w:rFonts w:cs="Verdana"/>
                <w:sz w:val="20"/>
                <w:szCs w:val="20"/>
              </w:rPr>
              <w:t>as</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52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an</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53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spacing w:val="3"/>
                <w:position w:val="-1"/>
                <w:sz w:val="20"/>
                <w:szCs w:val="20"/>
              </w:rPr>
              <w:t>li</w:t>
            </w:r>
            <w:r w:rsidRPr="00537112">
              <w:rPr>
                <w:rFonts w:cs="Verdana"/>
                <w:position w:val="-1"/>
                <w:sz w:val="20"/>
                <w:szCs w:val="20"/>
              </w:rPr>
              <w:t>án</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g</w:t>
            </w:r>
            <w:r w:rsidRPr="00537112">
              <w:rPr>
                <w:rFonts w:cs="Verdana"/>
                <w:position w:val="-1"/>
                <w:sz w:val="20"/>
                <w:szCs w:val="20"/>
              </w:rPr>
              <w:t>as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54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3"/>
                <w:position w:val="-1"/>
                <w:sz w:val="20"/>
                <w:szCs w:val="20"/>
              </w:rPr>
              <w:t>i</w:t>
            </w:r>
            <w:r w:rsidRPr="00537112">
              <w:rPr>
                <w:rFonts w:cs="Verdana"/>
                <w:position w:val="-1"/>
                <w:sz w:val="20"/>
                <w:szCs w:val="20"/>
              </w:rPr>
              <w:t>as</w:t>
            </w:r>
            <w:r w:rsidRPr="00537112">
              <w:rPr>
                <w:rFonts w:cs="Verdana"/>
                <w:spacing w:val="-7"/>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55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56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Za</w:t>
            </w:r>
            <w:r w:rsidRPr="00537112">
              <w:rPr>
                <w:rFonts w:cs="Verdana"/>
                <w:spacing w:val="-1"/>
                <w:position w:val="-1"/>
                <w:sz w:val="20"/>
                <w:szCs w:val="20"/>
              </w:rPr>
              <w:t>c</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as</w:t>
            </w:r>
            <w:r w:rsidRPr="00537112">
              <w:rPr>
                <w:rFonts w:cs="Verdana"/>
                <w:spacing w:val="-9"/>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57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mu</w:t>
            </w:r>
            <w:r w:rsidRPr="00537112">
              <w:rPr>
                <w:rFonts w:cs="Verdana"/>
                <w:spacing w:val="-1"/>
                <w:position w:val="-1"/>
                <w:sz w:val="20"/>
                <w:szCs w:val="20"/>
              </w:rPr>
              <w:t>e</w:t>
            </w:r>
            <w:r w:rsidRPr="00537112">
              <w:rPr>
                <w:rFonts w:cs="Verdana"/>
                <w:position w:val="-1"/>
                <w:sz w:val="20"/>
                <w:szCs w:val="20"/>
              </w:rPr>
              <w:t>l</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58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i</w:t>
            </w:r>
            <w:r w:rsidRPr="00537112">
              <w:rPr>
                <w:rFonts w:cs="Verdana"/>
                <w:spacing w:val="1"/>
                <w:position w:val="-1"/>
                <w:sz w:val="20"/>
                <w:szCs w:val="20"/>
              </w:rPr>
              <w:t>d</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59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60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151</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F</w:t>
            </w:r>
            <w:r w:rsidRPr="00537112">
              <w:rPr>
                <w:rFonts w:cs="Verdana"/>
                <w:spacing w:val="-1"/>
                <w:sz w:val="20"/>
                <w:szCs w:val="20"/>
              </w:rPr>
              <w:t>r</w:t>
            </w:r>
            <w:r w:rsidRPr="00537112">
              <w:rPr>
                <w:rFonts w:cs="Verdana"/>
                <w:sz w:val="20"/>
                <w:szCs w:val="20"/>
              </w:rPr>
              <w:t>a</w:t>
            </w:r>
            <w:r w:rsidRPr="00537112">
              <w:rPr>
                <w:rFonts w:cs="Verdana"/>
                <w:spacing w:val="1"/>
                <w:sz w:val="20"/>
                <w:szCs w:val="20"/>
              </w:rPr>
              <w:t>n</w:t>
            </w:r>
            <w:r w:rsidRPr="00537112">
              <w:rPr>
                <w:rFonts w:cs="Verdana"/>
                <w:spacing w:val="-1"/>
                <w:sz w:val="20"/>
                <w:szCs w:val="20"/>
              </w:rPr>
              <w:t>c</w:t>
            </w:r>
            <w:r w:rsidRPr="00537112">
              <w:rPr>
                <w:rFonts w:cs="Verdana"/>
                <w:spacing w:val="3"/>
                <w:sz w:val="20"/>
                <w:szCs w:val="20"/>
              </w:rPr>
              <w:t>i</w:t>
            </w:r>
            <w:r w:rsidRPr="00537112">
              <w:rPr>
                <w:rFonts w:cs="Verdana"/>
                <w:spacing w:val="-1"/>
                <w:sz w:val="20"/>
                <w:szCs w:val="20"/>
              </w:rPr>
              <w:t>sc</w:t>
            </w:r>
            <w:r w:rsidRPr="00537112">
              <w:rPr>
                <w:rFonts w:cs="Verdana"/>
                <w:sz w:val="20"/>
                <w:szCs w:val="20"/>
              </w:rPr>
              <w:t>o</w:t>
            </w:r>
            <w:r w:rsidRPr="00537112">
              <w:rPr>
                <w:rFonts w:cs="Verdana"/>
                <w:spacing w:val="-11"/>
                <w:sz w:val="20"/>
                <w:szCs w:val="20"/>
              </w:rPr>
              <w:t xml:space="preserve"> </w:t>
            </w:r>
            <w:r w:rsidRPr="00537112">
              <w:rPr>
                <w:rFonts w:cs="Verdana"/>
                <w:sz w:val="20"/>
                <w:szCs w:val="20"/>
              </w:rPr>
              <w:t>B</w:t>
            </w:r>
            <w:r w:rsidRPr="00537112">
              <w:rPr>
                <w:rFonts w:cs="Verdana"/>
                <w:spacing w:val="-1"/>
                <w:sz w:val="20"/>
                <w:szCs w:val="20"/>
              </w:rPr>
              <w:t>o</w:t>
            </w:r>
            <w:r w:rsidRPr="00537112">
              <w:rPr>
                <w:rFonts w:cs="Verdana"/>
                <w:spacing w:val="3"/>
                <w:sz w:val="20"/>
                <w:szCs w:val="20"/>
              </w:rPr>
              <w:t>l</w:t>
            </w:r>
            <w:r w:rsidRPr="00537112">
              <w:rPr>
                <w:rFonts w:cs="Verdana"/>
                <w:sz w:val="20"/>
                <w:szCs w:val="20"/>
              </w:rPr>
              <w:t>aj</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61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ce</w:t>
            </w:r>
            <w:r w:rsidRPr="00537112">
              <w:rPr>
                <w:rFonts w:cs="Verdana"/>
                <w:spacing w:val="1"/>
                <w:position w:val="-1"/>
                <w:sz w:val="20"/>
                <w:szCs w:val="20"/>
              </w:rPr>
              <w:t>nt</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62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b</w:t>
            </w:r>
            <w:r w:rsidRPr="00537112">
              <w:rPr>
                <w:rFonts w:cs="Verdana"/>
                <w:spacing w:val="3"/>
                <w:position w:val="-1"/>
                <w:sz w:val="20"/>
                <w:szCs w:val="20"/>
              </w:rPr>
              <w:t>l</w:t>
            </w:r>
            <w:r w:rsidRPr="00537112">
              <w:rPr>
                <w:rFonts w:cs="Verdana"/>
                <w:position w:val="-1"/>
                <w:sz w:val="20"/>
                <w:szCs w:val="20"/>
              </w:rPr>
              <w:t>o</w:t>
            </w:r>
            <w:r w:rsidRPr="00537112">
              <w:rPr>
                <w:rFonts w:cs="Verdana"/>
                <w:spacing w:val="-7"/>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63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ce</w:t>
            </w:r>
            <w:r w:rsidRPr="00537112">
              <w:rPr>
                <w:rFonts w:cs="Verdana"/>
                <w:spacing w:val="1"/>
                <w:position w:val="-1"/>
                <w:sz w:val="20"/>
                <w:szCs w:val="20"/>
              </w:rPr>
              <w:t>nt</w:t>
            </w:r>
            <w:r w:rsidRPr="00537112">
              <w:rPr>
                <w:rFonts w:cs="Verdana"/>
                <w:position w:val="-1"/>
                <w:sz w:val="20"/>
                <w:szCs w:val="20"/>
              </w:rPr>
              <w:t>e</w:t>
            </w:r>
            <w:r w:rsidRPr="00537112">
              <w:rPr>
                <w:rFonts w:cs="Verdana"/>
                <w:spacing w:val="-9"/>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64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spacing w:val="3"/>
                <w:position w:val="-1"/>
                <w:sz w:val="20"/>
                <w:szCs w:val="20"/>
              </w:rPr>
              <w:t>li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152</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w:t>
            </w:r>
            <w:r w:rsidRPr="00537112">
              <w:rPr>
                <w:rFonts w:cs="Verdana"/>
                <w:spacing w:val="3"/>
                <w:position w:val="-1"/>
                <w:sz w:val="20"/>
                <w:szCs w:val="20"/>
              </w:rPr>
              <w:t>il</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8"/>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65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E</w:t>
            </w:r>
            <w:r w:rsidRPr="00537112">
              <w:rPr>
                <w:rFonts w:cs="Verdana"/>
                <w:spacing w:val="1"/>
                <w:sz w:val="20"/>
                <w:szCs w:val="20"/>
              </w:rPr>
              <w:t>ug</w:t>
            </w:r>
            <w:r w:rsidRPr="00537112">
              <w:rPr>
                <w:rFonts w:cs="Verdana"/>
                <w:spacing w:val="-1"/>
                <w:sz w:val="20"/>
                <w:szCs w:val="20"/>
              </w:rPr>
              <w:t>e</w:t>
            </w:r>
            <w:r w:rsidRPr="00537112">
              <w:rPr>
                <w:rFonts w:cs="Verdana"/>
                <w:spacing w:val="1"/>
                <w:sz w:val="20"/>
                <w:szCs w:val="20"/>
              </w:rPr>
              <w:t>n</w:t>
            </w:r>
            <w:r w:rsidRPr="00537112">
              <w:rPr>
                <w:rFonts w:cs="Verdana"/>
                <w:spacing w:val="3"/>
                <w:sz w:val="20"/>
                <w:szCs w:val="20"/>
              </w:rPr>
              <w:t>i</w:t>
            </w:r>
            <w:r w:rsidRPr="00537112">
              <w:rPr>
                <w:rFonts w:cs="Verdana"/>
                <w:sz w:val="20"/>
                <w:szCs w:val="20"/>
              </w:rPr>
              <w:t>a</w:t>
            </w:r>
            <w:r w:rsidRPr="00537112">
              <w:rPr>
                <w:rFonts w:cs="Verdana"/>
                <w:spacing w:val="-8"/>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153</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D</w:t>
            </w:r>
            <w:r w:rsidRPr="00537112">
              <w:rPr>
                <w:rFonts w:cs="Verdana"/>
                <w:spacing w:val="-1"/>
                <w:sz w:val="20"/>
                <w:szCs w:val="20"/>
              </w:rPr>
              <w:t>oro</w:t>
            </w:r>
            <w:r w:rsidRPr="00537112">
              <w:rPr>
                <w:rFonts w:cs="Verdana"/>
                <w:spacing w:val="1"/>
                <w:sz w:val="20"/>
                <w:szCs w:val="20"/>
              </w:rPr>
              <w:t>t</w:t>
            </w:r>
            <w:r w:rsidRPr="00537112">
              <w:rPr>
                <w:rFonts w:cs="Verdana"/>
                <w:spacing w:val="-1"/>
                <w:sz w:val="20"/>
                <w:szCs w:val="20"/>
              </w:rPr>
              <w:t>e</w:t>
            </w:r>
            <w:r w:rsidRPr="00537112">
              <w:rPr>
                <w:rFonts w:cs="Verdana"/>
                <w:sz w:val="20"/>
                <w:szCs w:val="20"/>
              </w:rPr>
              <w:t>o</w:t>
            </w:r>
            <w:r w:rsidRPr="00537112">
              <w:rPr>
                <w:rFonts w:cs="Verdana"/>
                <w:spacing w:val="-10"/>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r w:rsidRPr="00537112">
              <w:rPr>
                <w:rFonts w:cs="Verdana"/>
                <w:spacing w:val="-9"/>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j</w:t>
            </w:r>
            <w:r w:rsidRPr="00537112">
              <w:rPr>
                <w:rFonts w:cs="Verdana"/>
                <w:sz w:val="20"/>
                <w:szCs w:val="20"/>
              </w:rPr>
              <w:t>as</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66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67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w:t>
            </w:r>
            <w:r w:rsidRPr="00537112">
              <w:rPr>
                <w:rFonts w:cs="Verdana"/>
                <w:position w:val="-1"/>
                <w:sz w:val="20"/>
                <w:szCs w:val="20"/>
              </w:rPr>
              <w:t>v</w:t>
            </w:r>
            <w:r w:rsidRPr="00537112">
              <w:rPr>
                <w:rFonts w:cs="Verdana"/>
                <w:spacing w:val="3"/>
                <w:position w:val="-1"/>
                <w:sz w:val="20"/>
                <w:szCs w:val="20"/>
              </w:rPr>
              <w:t>i</w:t>
            </w:r>
            <w:r w:rsidRPr="00537112">
              <w:rPr>
                <w:rFonts w:cs="Verdana"/>
                <w:spacing w:val="1"/>
                <w:position w:val="-1"/>
                <w:sz w:val="20"/>
                <w:szCs w:val="20"/>
              </w:rPr>
              <w:t>d</w:t>
            </w:r>
            <w:r w:rsidRPr="00537112">
              <w:rPr>
                <w:rFonts w:cs="Verdana"/>
                <w:spacing w:val="3"/>
                <w:position w:val="-1"/>
                <w:sz w:val="20"/>
                <w:szCs w:val="20"/>
              </w:rPr>
              <w:t>i</w:t>
            </w:r>
            <w:r w:rsidRPr="00537112">
              <w:rPr>
                <w:rFonts w:cs="Verdana"/>
                <w:position w:val="-1"/>
                <w:sz w:val="20"/>
                <w:szCs w:val="20"/>
              </w:rPr>
              <w:t>o</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s</w:t>
            </w:r>
          </w:p>
        </w:tc>
      </w:tr>
      <w:tr w:rsidR="00537112" w:rsidRPr="00537112" w:rsidTr="00630EEC">
        <w:trPr>
          <w:trHeight w:hRule="exact" w:val="247"/>
        </w:trPr>
        <w:tc>
          <w:tcPr>
            <w:tcW w:w="977" w:type="dxa"/>
            <w:vMerge w:val="restart"/>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before="9" w:line="160" w:lineRule="exact"/>
              <w:jc w:val="left"/>
              <w:textAlignment w:val="auto"/>
              <w:rPr>
                <w:rFonts w:ascii="Times New Roman" w:hAnsi="Times New Roman"/>
                <w:sz w:val="16"/>
                <w:szCs w:val="16"/>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154</w:t>
            </w:r>
          </w:p>
        </w:tc>
        <w:tc>
          <w:tcPr>
            <w:tcW w:w="3958" w:type="dxa"/>
            <w:vMerge w:val="restart"/>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before="9" w:line="160" w:lineRule="exact"/>
              <w:jc w:val="left"/>
              <w:textAlignment w:val="auto"/>
              <w:rPr>
                <w:rFonts w:ascii="Times New Roman" w:hAnsi="Times New Roman"/>
                <w:sz w:val="16"/>
                <w:szCs w:val="16"/>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Agu</w:t>
            </w:r>
            <w:r w:rsidRPr="00537112">
              <w:rPr>
                <w:rFonts w:cs="Verdana"/>
                <w:spacing w:val="-1"/>
                <w:sz w:val="20"/>
                <w:szCs w:val="20"/>
              </w:rPr>
              <w:t>s</w:t>
            </w:r>
            <w:r w:rsidRPr="00537112">
              <w:rPr>
                <w:rFonts w:cs="Verdana"/>
                <w:spacing w:val="1"/>
                <w:sz w:val="20"/>
                <w:szCs w:val="20"/>
              </w:rPr>
              <w:t>t</w:t>
            </w:r>
            <w:r w:rsidRPr="00537112">
              <w:rPr>
                <w:rFonts w:cs="Verdana"/>
                <w:spacing w:val="3"/>
                <w:sz w:val="20"/>
                <w:szCs w:val="20"/>
              </w:rPr>
              <w:t>i</w:t>
            </w:r>
            <w:r w:rsidRPr="00537112">
              <w:rPr>
                <w:rFonts w:cs="Verdana"/>
                <w:sz w:val="20"/>
                <w:szCs w:val="20"/>
              </w:rPr>
              <w:t>n</w:t>
            </w:r>
            <w:r w:rsidRPr="00537112">
              <w:rPr>
                <w:rFonts w:cs="Verdana"/>
                <w:spacing w:val="-8"/>
                <w:sz w:val="20"/>
                <w:szCs w:val="20"/>
              </w:rPr>
              <w:t xml:space="preserve"> Valey (o Baley)</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68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69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Agu</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n</w:t>
            </w:r>
            <w:r w:rsidRPr="00537112">
              <w:rPr>
                <w:rFonts w:cs="Verdana"/>
                <w:spacing w:val="-8"/>
                <w:position w:val="-1"/>
                <w:sz w:val="20"/>
                <w:szCs w:val="20"/>
              </w:rPr>
              <w:t xml:space="preserve"> Valey (o </w:t>
            </w:r>
            <w:r w:rsidRPr="00537112">
              <w:rPr>
                <w:rFonts w:cs="Verdana"/>
                <w:position w:val="-1"/>
                <w:sz w:val="20"/>
                <w:szCs w:val="20"/>
              </w:rPr>
              <w:t>Ba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70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ore</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71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72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73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g</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74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gd</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nil"/>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nil"/>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75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d</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pgSz w:w="12260" w:h="15840"/>
          <w:pgMar w:top="760" w:right="900" w:bottom="280" w:left="900" w:header="493" w:footer="0" w:gutter="0"/>
          <w:cols w:space="720"/>
          <w:noEndnote/>
        </w:sectPr>
      </w:pPr>
    </w:p>
    <w:p w:rsidR="00537112" w:rsidRPr="00537112" w:rsidRDefault="00537112" w:rsidP="00537112">
      <w:pPr>
        <w:autoSpaceDE w:val="0"/>
        <w:autoSpaceDN w:val="0"/>
        <w:spacing w:before="16" w:line="280" w:lineRule="exact"/>
        <w:jc w:val="left"/>
        <w:textAlignment w:val="auto"/>
        <w:rPr>
          <w:rFonts w:ascii="Times New Roman" w:hAnsi="Times New Roman"/>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772"/>
        <w:gridCol w:w="4496"/>
      </w:tblGrid>
      <w:tr w:rsidR="00537112" w:rsidRPr="00537112" w:rsidTr="00630EEC">
        <w:trPr>
          <w:trHeight w:hRule="exact" w:val="247"/>
        </w:trPr>
        <w:tc>
          <w:tcPr>
            <w:tcW w:w="977" w:type="dxa"/>
            <w:tcBorders>
              <w:top w:val="nil"/>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40" w:lineRule="auto"/>
              <w:jc w:val="left"/>
              <w:textAlignment w:val="auto"/>
              <w:rPr>
                <w:rFonts w:ascii="Times New Roman" w:hAnsi="Times New Roman"/>
              </w:rPr>
            </w:pPr>
          </w:p>
        </w:tc>
        <w:tc>
          <w:tcPr>
            <w:tcW w:w="3958" w:type="dxa"/>
            <w:tcBorders>
              <w:top w:val="nil"/>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auto"/>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76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il</w:t>
            </w:r>
            <w:r w:rsidRPr="00537112">
              <w:rPr>
                <w:rFonts w:cs="Verdana"/>
                <w:spacing w:val="1"/>
                <w:position w:val="-1"/>
                <w:sz w:val="20"/>
                <w:szCs w:val="20"/>
              </w:rPr>
              <w:t>d</w:t>
            </w:r>
            <w:r w:rsidRPr="00537112">
              <w:rPr>
                <w:rFonts w:cs="Verdana"/>
                <w:position w:val="-1"/>
                <w:sz w:val="20"/>
                <w:szCs w:val="20"/>
              </w:rPr>
              <w:t>e</w:t>
            </w:r>
            <w:r w:rsidRPr="00537112">
              <w:rPr>
                <w:rFonts w:cs="Verdana"/>
                <w:spacing w:val="-9"/>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155</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T</w:t>
            </w:r>
            <w:r w:rsidRPr="00537112">
              <w:rPr>
                <w:rFonts w:cs="Verdana"/>
                <w:spacing w:val="-1"/>
                <w:sz w:val="20"/>
                <w:szCs w:val="20"/>
              </w:rPr>
              <w:t>o</w:t>
            </w:r>
            <w:r w:rsidRPr="00537112">
              <w:rPr>
                <w:rFonts w:cs="Verdana"/>
                <w:spacing w:val="1"/>
                <w:sz w:val="20"/>
                <w:szCs w:val="20"/>
              </w:rPr>
              <w:t>m</w:t>
            </w:r>
            <w:r w:rsidRPr="00537112">
              <w:rPr>
                <w:rFonts w:cs="Verdana"/>
                <w:sz w:val="20"/>
                <w:szCs w:val="20"/>
              </w:rPr>
              <w:t>ás</w:t>
            </w:r>
            <w:r w:rsidRPr="00537112">
              <w:rPr>
                <w:rFonts w:cs="Verdana"/>
                <w:spacing w:val="-8"/>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r w:rsidRPr="00537112">
              <w:rPr>
                <w:rFonts w:cs="Verdana"/>
                <w:spacing w:val="-6"/>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77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eo</w:t>
            </w:r>
            <w:r w:rsidRPr="00537112">
              <w:rPr>
                <w:rFonts w:cs="Verdana"/>
                <w:spacing w:val="1"/>
                <w:position w:val="-1"/>
                <w:sz w:val="20"/>
                <w:szCs w:val="20"/>
              </w:rPr>
              <w:t>d</w:t>
            </w:r>
            <w:r w:rsidRPr="00537112">
              <w:rPr>
                <w:rFonts w:cs="Verdana"/>
                <w:spacing w:val="-1"/>
                <w:position w:val="-1"/>
                <w:sz w:val="20"/>
                <w:szCs w:val="20"/>
              </w:rPr>
              <w:t>or</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J</w:t>
            </w:r>
            <w:r w:rsidRPr="00537112">
              <w:rPr>
                <w:rFonts w:cs="Verdana"/>
                <w:spacing w:val="-1"/>
                <w:position w:val="-1"/>
                <w:sz w:val="20"/>
                <w:szCs w:val="20"/>
              </w:rPr>
              <w:t>eró</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m</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C</w:t>
            </w:r>
            <w:r w:rsidRPr="00537112">
              <w:rPr>
                <w:rFonts w:cs="Verdana"/>
                <w:spacing w:val="-1"/>
                <w:position w:val="-1"/>
                <w:sz w:val="20"/>
                <w:szCs w:val="20"/>
              </w:rPr>
              <w:t>o</w:t>
            </w:r>
            <w:r w:rsidRPr="00537112">
              <w:rPr>
                <w:rFonts w:cs="Verdana"/>
                <w:spacing w:val="1"/>
                <w:position w:val="-1"/>
                <w:sz w:val="20"/>
                <w:szCs w:val="20"/>
              </w:rPr>
              <w:t>j</w:t>
            </w:r>
            <w:r w:rsidRPr="00537112">
              <w:rPr>
                <w:rFonts w:cs="Verdana"/>
                <w:spacing w:val="-1"/>
                <w:position w:val="-1"/>
                <w:sz w:val="20"/>
                <w:szCs w:val="20"/>
              </w:rPr>
              <w:t>ó</w:t>
            </w:r>
            <w:r w:rsidRPr="00537112">
              <w:rPr>
                <w:rFonts w:cs="Verdana"/>
                <w:position w:val="-1"/>
                <w:sz w:val="20"/>
                <w:szCs w:val="20"/>
              </w:rPr>
              <w:t>m</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78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spacing w:val="1"/>
                <w:position w:val="-1"/>
                <w:sz w:val="20"/>
                <w:szCs w:val="20"/>
              </w:rPr>
              <w:t>J</w:t>
            </w:r>
            <w:r w:rsidRPr="00537112">
              <w:rPr>
                <w:rFonts w:cs="Verdana"/>
                <w:spacing w:val="-1"/>
                <w:position w:val="-1"/>
                <w:sz w:val="20"/>
                <w:szCs w:val="20"/>
              </w:rPr>
              <w:t>ero</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m</w:t>
            </w:r>
            <w:r w:rsidRPr="00537112">
              <w:rPr>
                <w:rFonts w:cs="Verdana"/>
                <w:position w:val="-1"/>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156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Ca</w:t>
            </w:r>
            <w:r w:rsidRPr="00537112">
              <w:rPr>
                <w:rFonts w:cs="Verdana"/>
                <w:spacing w:val="1"/>
                <w:sz w:val="20"/>
                <w:szCs w:val="20"/>
              </w:rPr>
              <w:t>t</w:t>
            </w:r>
            <w:r w:rsidRPr="00537112">
              <w:rPr>
                <w:rFonts w:cs="Verdana"/>
                <w:sz w:val="20"/>
                <w:szCs w:val="20"/>
              </w:rPr>
              <w:t>a</w:t>
            </w:r>
            <w:r w:rsidRPr="00537112">
              <w:rPr>
                <w:rFonts w:cs="Verdana"/>
                <w:spacing w:val="-1"/>
                <w:sz w:val="20"/>
                <w:szCs w:val="20"/>
              </w:rPr>
              <w:t>r</w:t>
            </w:r>
            <w:r w:rsidRPr="00537112">
              <w:rPr>
                <w:rFonts w:cs="Verdana"/>
                <w:spacing w:val="3"/>
                <w:sz w:val="20"/>
                <w:szCs w:val="20"/>
              </w:rPr>
              <w:t>i</w:t>
            </w:r>
            <w:r w:rsidRPr="00537112">
              <w:rPr>
                <w:rFonts w:cs="Verdana"/>
                <w:spacing w:val="1"/>
                <w:sz w:val="20"/>
                <w:szCs w:val="20"/>
              </w:rPr>
              <w:t>n</w:t>
            </w:r>
            <w:r w:rsidRPr="00537112">
              <w:rPr>
                <w:rFonts w:cs="Verdana"/>
                <w:sz w:val="20"/>
                <w:szCs w:val="20"/>
              </w:rPr>
              <w:t>o</w:t>
            </w:r>
            <w:r w:rsidRPr="00537112">
              <w:rPr>
                <w:rFonts w:cs="Verdana"/>
                <w:spacing w:val="-10"/>
                <w:sz w:val="20"/>
                <w:szCs w:val="20"/>
              </w:rPr>
              <w:t xml:space="preserve"> </w:t>
            </w:r>
            <w:r w:rsidRPr="00537112">
              <w:rPr>
                <w:rFonts w:cs="Verdana"/>
                <w:spacing w:val="-2"/>
                <w:sz w:val="20"/>
                <w:szCs w:val="20"/>
              </w:rPr>
              <w:t>I</w:t>
            </w:r>
            <w:r w:rsidRPr="00537112">
              <w:rPr>
                <w:rFonts w:cs="Verdana"/>
                <w:sz w:val="20"/>
                <w:szCs w:val="20"/>
              </w:rPr>
              <w:t>x</w:t>
            </w:r>
            <w:r w:rsidRPr="00537112">
              <w:rPr>
                <w:rFonts w:cs="Verdana"/>
                <w:spacing w:val="1"/>
                <w:sz w:val="20"/>
                <w:szCs w:val="20"/>
              </w:rPr>
              <w:t>p</w:t>
            </w:r>
            <w:r w:rsidRPr="00537112">
              <w:rPr>
                <w:rFonts w:cs="Verdana"/>
                <w:sz w:val="20"/>
                <w:szCs w:val="20"/>
              </w:rPr>
              <w:t>a</w:t>
            </w:r>
            <w:r w:rsidRPr="00537112">
              <w:rPr>
                <w:rFonts w:cs="Verdana"/>
                <w:spacing w:val="1"/>
                <w:sz w:val="20"/>
                <w:szCs w:val="20"/>
              </w:rPr>
              <w:t>t</w:t>
            </w:r>
            <w:r w:rsidRPr="00537112">
              <w:rPr>
                <w:rFonts w:cs="Verdana"/>
                <w:sz w:val="20"/>
                <w:szCs w:val="20"/>
              </w:rPr>
              <w:t>á</w:t>
            </w:r>
            <w:r w:rsidRPr="00537112">
              <w:rPr>
                <w:rFonts w:cs="Verdana"/>
                <w:spacing w:val="-6"/>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79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s</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80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4"/>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157</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7" w:line="240" w:lineRule="exact"/>
              <w:jc w:val="left"/>
              <w:textAlignment w:val="auto"/>
              <w:rPr>
                <w:rFonts w:ascii="Times New Roman" w:hAnsi="Times New Roman"/>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P</w:t>
            </w:r>
            <w:r w:rsidRPr="00537112">
              <w:rPr>
                <w:rFonts w:cs="Verdana"/>
                <w:spacing w:val="-1"/>
                <w:sz w:val="20"/>
                <w:szCs w:val="20"/>
              </w:rPr>
              <w:t>e</w:t>
            </w:r>
            <w:r w:rsidRPr="00537112">
              <w:rPr>
                <w:rFonts w:cs="Verdana"/>
                <w:spacing w:val="1"/>
                <w:sz w:val="20"/>
                <w:szCs w:val="20"/>
              </w:rPr>
              <w:t>d</w:t>
            </w:r>
            <w:r w:rsidRPr="00537112">
              <w:rPr>
                <w:rFonts w:cs="Verdana"/>
                <w:spacing w:val="-1"/>
                <w:sz w:val="20"/>
                <w:szCs w:val="20"/>
              </w:rPr>
              <w:t>r</w:t>
            </w:r>
            <w:r w:rsidRPr="00537112">
              <w:rPr>
                <w:rFonts w:cs="Verdana"/>
                <w:sz w:val="20"/>
                <w:szCs w:val="20"/>
              </w:rPr>
              <w:t>o</w:t>
            </w:r>
            <w:r w:rsidRPr="00537112">
              <w:rPr>
                <w:rFonts w:cs="Verdana"/>
                <w:spacing w:val="-8"/>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á</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81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t</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áz</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82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Ang</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83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Ba</w:t>
            </w:r>
            <w:r w:rsidRPr="00537112">
              <w:rPr>
                <w:rFonts w:cs="Verdana"/>
                <w:spacing w:val="3"/>
                <w:position w:val="-1"/>
                <w:sz w:val="20"/>
                <w:szCs w:val="20"/>
              </w:rPr>
              <w:t>l</w:t>
            </w:r>
            <w:r w:rsidRPr="00537112">
              <w:rPr>
                <w:rFonts w:cs="Verdana"/>
                <w:position w:val="-1"/>
                <w:sz w:val="20"/>
                <w:szCs w:val="20"/>
              </w:rPr>
              <w:t>v</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84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85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Or</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86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1"/>
                <w:position w:val="-1"/>
                <w:sz w:val="20"/>
                <w:szCs w:val="20"/>
              </w:rPr>
              <w:t>r</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87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1"/>
                <w:position w:val="-1"/>
                <w:sz w:val="20"/>
                <w:szCs w:val="20"/>
              </w:rPr>
              <w:t>erce</w:t>
            </w:r>
            <w:r w:rsidRPr="00537112">
              <w:rPr>
                <w:rFonts w:cs="Verdana"/>
                <w:spacing w:val="1"/>
                <w:position w:val="-1"/>
                <w:sz w:val="20"/>
                <w:szCs w:val="20"/>
              </w:rPr>
              <w:t>d</w:t>
            </w:r>
            <w:r w:rsidRPr="00537112">
              <w:rPr>
                <w:rFonts w:cs="Verdana"/>
                <w:spacing w:val="-1"/>
                <w:position w:val="-1"/>
                <w:sz w:val="20"/>
                <w:szCs w:val="20"/>
              </w:rPr>
              <w:t>e</w:t>
            </w:r>
            <w:r w:rsidRPr="00537112">
              <w:rPr>
                <w:rFonts w:cs="Verdana"/>
                <w:position w:val="-1"/>
                <w:sz w:val="20"/>
                <w:szCs w:val="20"/>
              </w:rPr>
              <w:t>s</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88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158</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w:t>
            </w:r>
            <w:r w:rsidRPr="00537112">
              <w:rPr>
                <w:rFonts w:cs="Verdana"/>
                <w:spacing w:val="3"/>
                <w:sz w:val="20"/>
                <w:szCs w:val="20"/>
              </w:rPr>
              <w:t>i</w:t>
            </w:r>
            <w:r w:rsidRPr="00537112">
              <w:rPr>
                <w:rFonts w:cs="Verdana"/>
                <w:spacing w:val="1"/>
                <w:sz w:val="20"/>
                <w:szCs w:val="20"/>
              </w:rPr>
              <w:t>gu</w:t>
            </w:r>
            <w:r w:rsidRPr="00537112">
              <w:rPr>
                <w:rFonts w:cs="Verdana"/>
                <w:spacing w:val="-1"/>
                <w:sz w:val="20"/>
                <w:szCs w:val="20"/>
              </w:rPr>
              <w:t>e</w:t>
            </w:r>
            <w:r w:rsidRPr="00537112">
              <w:rPr>
                <w:rFonts w:cs="Verdana"/>
                <w:sz w:val="20"/>
                <w:szCs w:val="20"/>
              </w:rPr>
              <w:t>l</w:t>
            </w:r>
            <w:r w:rsidRPr="00537112">
              <w:rPr>
                <w:rFonts w:cs="Verdana"/>
                <w:spacing w:val="-4"/>
                <w:sz w:val="20"/>
                <w:szCs w:val="20"/>
              </w:rPr>
              <w:t xml:space="preserve"> </w:t>
            </w:r>
            <w:r w:rsidRPr="00537112">
              <w:rPr>
                <w:rFonts w:cs="Verdana"/>
                <w:sz w:val="20"/>
                <w:szCs w:val="20"/>
              </w:rPr>
              <w:t>Xa</w:t>
            </w:r>
            <w:r w:rsidRPr="00537112">
              <w:rPr>
                <w:rFonts w:cs="Verdana"/>
                <w:spacing w:val="1"/>
                <w:sz w:val="20"/>
                <w:szCs w:val="20"/>
              </w:rPr>
              <w:t>p</w:t>
            </w:r>
            <w:r w:rsidRPr="00537112">
              <w:rPr>
                <w:rFonts w:cs="Verdana"/>
                <w:spacing w:val="-1"/>
                <w:sz w:val="20"/>
                <w:szCs w:val="20"/>
              </w:rPr>
              <w:t>o</w:t>
            </w:r>
            <w:r w:rsidRPr="00537112">
              <w:rPr>
                <w:rFonts w:cs="Verdana"/>
                <w:sz w:val="20"/>
                <w:szCs w:val="20"/>
              </w:rPr>
              <w:t>t</w:t>
            </w:r>
            <w:r w:rsidRPr="00537112">
              <w:rPr>
                <w:rFonts w:cs="Verdana"/>
                <w:spacing w:val="-6"/>
                <w:sz w:val="20"/>
                <w:szCs w:val="20"/>
              </w:rPr>
              <w:t xml:space="preserve"> </w:t>
            </w:r>
            <w:r w:rsidRPr="00537112">
              <w:rPr>
                <w:rFonts w:cs="Verdana"/>
                <w:sz w:val="20"/>
                <w:szCs w:val="20"/>
              </w:rPr>
              <w:t>Ma</w:t>
            </w:r>
            <w:r w:rsidRPr="00537112">
              <w:rPr>
                <w:rFonts w:cs="Verdana"/>
                <w:spacing w:val="-1"/>
                <w:sz w:val="20"/>
                <w:szCs w:val="20"/>
              </w:rPr>
              <w:t>r</w:t>
            </w:r>
            <w:r w:rsidRPr="00537112">
              <w:rPr>
                <w:rFonts w:cs="Verdana"/>
                <w:spacing w:val="1"/>
                <w:sz w:val="20"/>
                <w:szCs w:val="20"/>
              </w:rPr>
              <w:t>t</w:t>
            </w:r>
            <w:r w:rsidRPr="00537112">
              <w:rPr>
                <w:rFonts w:cs="Verdana"/>
                <w:spacing w:val="3"/>
                <w:sz w:val="20"/>
                <w:szCs w:val="20"/>
              </w:rPr>
              <w:t>i</w:t>
            </w:r>
            <w:r w:rsidRPr="00537112">
              <w:rPr>
                <w:rFonts w:cs="Verdana"/>
                <w:spacing w:val="1"/>
                <w:sz w:val="20"/>
                <w:szCs w:val="20"/>
              </w:rPr>
              <w:t>n</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89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1"/>
                <w:position w:val="-1"/>
                <w:sz w:val="20"/>
                <w:szCs w:val="20"/>
              </w:rPr>
              <w:t>erce</w:t>
            </w:r>
            <w:r w:rsidRPr="00537112">
              <w:rPr>
                <w:rFonts w:cs="Verdana"/>
                <w:spacing w:val="1"/>
                <w:position w:val="-1"/>
                <w:sz w:val="20"/>
                <w:szCs w:val="20"/>
              </w:rPr>
              <w:t>d</w:t>
            </w:r>
            <w:r w:rsidRPr="00537112">
              <w:rPr>
                <w:rFonts w:cs="Verdana"/>
                <w:spacing w:val="-1"/>
                <w:position w:val="-1"/>
                <w:sz w:val="20"/>
                <w:szCs w:val="20"/>
              </w:rPr>
              <w:t>e</w:t>
            </w:r>
            <w:r w:rsidRPr="00537112">
              <w:rPr>
                <w:rFonts w:cs="Verdana"/>
                <w:position w:val="-1"/>
                <w:sz w:val="20"/>
                <w:szCs w:val="20"/>
              </w:rPr>
              <w:t>s</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spacing w:val="1"/>
                <w:position w:val="-1"/>
                <w:sz w:val="20"/>
                <w:szCs w:val="20"/>
              </w:rPr>
              <w:t>uzm</w:t>
            </w:r>
            <w:r w:rsidRPr="00537112">
              <w:rPr>
                <w:rFonts w:cs="Verdana"/>
                <w:position w:val="-1"/>
                <w:sz w:val="20"/>
                <w:szCs w:val="20"/>
              </w:rPr>
              <w:t>án</w:t>
            </w:r>
            <w:r w:rsidRPr="00537112">
              <w:rPr>
                <w:rFonts w:cs="Verdana"/>
                <w:spacing w:val="-8"/>
                <w:position w:val="-1"/>
                <w:sz w:val="20"/>
                <w:szCs w:val="20"/>
              </w:rPr>
              <w:t xml:space="preserve"> </w:t>
            </w:r>
            <w:r w:rsidRPr="00537112">
              <w:rPr>
                <w:rFonts w:cs="Verdana"/>
                <w:position w:val="-1"/>
                <w:sz w:val="20"/>
                <w:szCs w:val="20"/>
              </w:rPr>
              <w:t>T</w:t>
            </w:r>
            <w:r w:rsidRPr="00537112">
              <w:rPr>
                <w:rFonts w:cs="Verdana"/>
                <w:spacing w:val="-1"/>
                <w:position w:val="-1"/>
                <w:sz w:val="20"/>
                <w:szCs w:val="20"/>
              </w:rPr>
              <w:t>orre</w:t>
            </w:r>
            <w:r w:rsidRPr="00537112">
              <w:rPr>
                <w:rFonts w:cs="Verdana"/>
                <w:position w:val="-1"/>
                <w:sz w:val="20"/>
                <w:szCs w:val="20"/>
              </w:rPr>
              <w:t>s</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90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3"/>
                <w:position w:val="-1"/>
                <w:sz w:val="20"/>
                <w:szCs w:val="20"/>
              </w:rPr>
              <w:t>l</w:t>
            </w:r>
            <w:r w:rsidRPr="00537112">
              <w:rPr>
                <w:rFonts w:cs="Verdana"/>
                <w:spacing w:val="-1"/>
                <w:position w:val="-1"/>
                <w:sz w:val="20"/>
                <w:szCs w:val="20"/>
              </w:rPr>
              <w:t>o</w:t>
            </w:r>
            <w:r w:rsidRPr="00537112">
              <w:rPr>
                <w:rFonts w:cs="Verdana"/>
                <w:position w:val="-1"/>
                <w:sz w:val="20"/>
                <w:szCs w:val="20"/>
              </w:rPr>
              <w:t>s</w:t>
            </w:r>
            <w:r w:rsidRPr="00537112">
              <w:rPr>
                <w:rFonts w:cs="Verdana"/>
                <w:spacing w:val="-7"/>
                <w:position w:val="-1"/>
                <w:sz w:val="20"/>
                <w:szCs w:val="20"/>
              </w:rPr>
              <w:t xml:space="preserve"> </w:t>
            </w:r>
            <w:r w:rsidRPr="00537112">
              <w:rPr>
                <w:rFonts w:cs="Verdana"/>
                <w:position w:val="-1"/>
                <w:sz w:val="20"/>
                <w:szCs w:val="20"/>
              </w:rPr>
              <w:t>Xa</w:t>
            </w:r>
            <w:r w:rsidRPr="00537112">
              <w:rPr>
                <w:rFonts w:cs="Verdana"/>
                <w:spacing w:val="1"/>
                <w:position w:val="-1"/>
                <w:sz w:val="20"/>
                <w:szCs w:val="20"/>
              </w:rPr>
              <w:t>p</w:t>
            </w:r>
            <w:r w:rsidRPr="00537112">
              <w:rPr>
                <w:rFonts w:cs="Verdana"/>
                <w:spacing w:val="-1"/>
                <w:position w:val="-1"/>
                <w:sz w:val="20"/>
                <w:szCs w:val="20"/>
              </w:rPr>
              <w:t>o</w:t>
            </w:r>
            <w:r w:rsidRPr="00537112">
              <w:rPr>
                <w:rFonts w:cs="Verdana"/>
                <w:position w:val="-1"/>
                <w:sz w:val="20"/>
                <w:szCs w:val="20"/>
              </w:rPr>
              <w:t>t</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spacing w:val="1"/>
                <w:position w:val="-1"/>
                <w:sz w:val="20"/>
                <w:szCs w:val="20"/>
              </w:rPr>
              <w:t>uzmA</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91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position w:val="-1"/>
                <w:sz w:val="20"/>
                <w:szCs w:val="20"/>
              </w:rPr>
              <w:t>z</w:t>
            </w:r>
            <w:r w:rsidRPr="00537112">
              <w:rPr>
                <w:rFonts w:cs="Verdana"/>
                <w:spacing w:val="-3"/>
                <w:position w:val="-1"/>
                <w:sz w:val="20"/>
                <w:szCs w:val="20"/>
              </w:rPr>
              <w:t xml:space="preserve"> </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Xa</w:t>
            </w:r>
            <w:r w:rsidRPr="00537112">
              <w:rPr>
                <w:rFonts w:cs="Verdana"/>
                <w:spacing w:val="1"/>
                <w:position w:val="-1"/>
                <w:sz w:val="20"/>
                <w:szCs w:val="20"/>
              </w:rPr>
              <w:t>p</w:t>
            </w:r>
            <w:r w:rsidRPr="00537112">
              <w:rPr>
                <w:rFonts w:cs="Verdana"/>
                <w:spacing w:val="-1"/>
                <w:position w:val="-1"/>
                <w:sz w:val="20"/>
                <w:szCs w:val="20"/>
              </w:rPr>
              <w:t>o</w:t>
            </w:r>
            <w:r w:rsidRPr="00537112">
              <w:rPr>
                <w:rFonts w:cs="Verdana"/>
                <w:position w:val="-1"/>
                <w:sz w:val="20"/>
                <w:szCs w:val="20"/>
              </w:rPr>
              <w:t>t</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spacing w:val="1"/>
                <w:position w:val="-1"/>
                <w:sz w:val="20"/>
                <w:szCs w:val="20"/>
              </w:rPr>
              <w:t>uzm</w:t>
            </w:r>
            <w:r w:rsidRPr="00537112">
              <w:rPr>
                <w:rFonts w:cs="Verdana"/>
                <w:position w:val="-1"/>
                <w:sz w:val="20"/>
                <w:szCs w:val="20"/>
              </w:rPr>
              <w:t>án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92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3"/>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Xa</w:t>
            </w:r>
            <w:r w:rsidRPr="00537112">
              <w:rPr>
                <w:rFonts w:cs="Verdana"/>
                <w:spacing w:val="1"/>
                <w:position w:val="-1"/>
                <w:sz w:val="20"/>
                <w:szCs w:val="20"/>
              </w:rPr>
              <w:t>p</w:t>
            </w:r>
            <w:r w:rsidRPr="00537112">
              <w:rPr>
                <w:rFonts w:cs="Verdana"/>
                <w:spacing w:val="-1"/>
                <w:position w:val="-1"/>
                <w:sz w:val="20"/>
                <w:szCs w:val="20"/>
              </w:rPr>
              <w:t>o</w:t>
            </w:r>
            <w:r w:rsidRPr="00537112">
              <w:rPr>
                <w:rFonts w:cs="Verdana"/>
                <w:position w:val="-1"/>
                <w:sz w:val="20"/>
                <w:szCs w:val="20"/>
              </w:rPr>
              <w:t>t</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spacing w:val="1"/>
                <w:position w:val="-1"/>
                <w:sz w:val="20"/>
                <w:szCs w:val="20"/>
              </w:rPr>
              <w:t>uzm</w:t>
            </w:r>
            <w:r w:rsidRPr="00537112">
              <w:rPr>
                <w:rFonts w:cs="Verdana"/>
                <w:position w:val="-1"/>
                <w:sz w:val="20"/>
                <w:szCs w:val="20"/>
              </w:rPr>
              <w:t>án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14"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159</w:t>
            </w:r>
          </w:p>
        </w:tc>
        <w:tc>
          <w:tcPr>
            <w:tcW w:w="3958" w:type="dxa"/>
            <w:vMerge w:val="restart"/>
            <w:tcBorders>
              <w:top w:val="single" w:sz="8" w:space="0" w:color="000000"/>
              <w:left w:val="single" w:sz="8" w:space="0" w:color="000000"/>
              <w:bottom w:val="single" w:sz="14"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Efr</w:t>
            </w:r>
            <w:r w:rsidRPr="00537112">
              <w:rPr>
                <w:rFonts w:cs="Verdana"/>
                <w:sz w:val="20"/>
                <w:szCs w:val="20"/>
              </w:rPr>
              <w:t>a</w:t>
            </w:r>
            <w:r w:rsidRPr="00537112">
              <w:rPr>
                <w:rFonts w:cs="Verdana"/>
                <w:spacing w:val="3"/>
                <w:sz w:val="20"/>
                <w:szCs w:val="20"/>
              </w:rPr>
              <w:t>í</w:t>
            </w:r>
            <w:r w:rsidRPr="00537112">
              <w:rPr>
                <w:rFonts w:cs="Verdana"/>
                <w:sz w:val="20"/>
                <w:szCs w:val="20"/>
              </w:rPr>
              <w:t>n</w:t>
            </w:r>
            <w:r w:rsidRPr="00537112">
              <w:rPr>
                <w:rFonts w:cs="Verdana"/>
                <w:spacing w:val="-6"/>
                <w:sz w:val="20"/>
                <w:szCs w:val="20"/>
              </w:rPr>
              <w:t xml:space="preserve"> </w:t>
            </w:r>
            <w:r w:rsidRPr="00537112">
              <w:rPr>
                <w:rFonts w:cs="Verdana"/>
                <w:spacing w:val="1"/>
                <w:sz w:val="20"/>
                <w:szCs w:val="20"/>
              </w:rPr>
              <w:t>A</w:t>
            </w:r>
            <w:r w:rsidRPr="00537112">
              <w:rPr>
                <w:rFonts w:cs="Verdana"/>
                <w:sz w:val="20"/>
                <w:szCs w:val="20"/>
              </w:rPr>
              <w:t>c</w:t>
            </w:r>
            <w:r w:rsidRPr="00537112">
              <w:rPr>
                <w:rFonts w:cs="Verdana"/>
                <w:spacing w:val="-3"/>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93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Her</w:t>
            </w:r>
            <w:r w:rsidRPr="00537112">
              <w:rPr>
                <w:rFonts w:cs="Verdana"/>
                <w:spacing w:val="3"/>
                <w:position w:val="-1"/>
                <w:sz w:val="20"/>
                <w:szCs w:val="20"/>
              </w:rPr>
              <w:t>li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g</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14"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14"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94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Efr</w:t>
            </w:r>
            <w:r w:rsidRPr="00537112">
              <w:rPr>
                <w:rFonts w:cs="Verdana"/>
                <w:position w:val="-1"/>
                <w:sz w:val="20"/>
                <w:szCs w:val="20"/>
              </w:rPr>
              <w:t>a</w:t>
            </w:r>
            <w:r w:rsidRPr="00537112">
              <w:rPr>
                <w:rFonts w:cs="Verdana"/>
                <w:spacing w:val="3"/>
                <w:position w:val="-1"/>
                <w:sz w:val="20"/>
                <w:szCs w:val="20"/>
              </w:rPr>
              <w:t>i</w:t>
            </w:r>
            <w:r w:rsidRPr="00537112">
              <w:rPr>
                <w:rFonts w:cs="Verdana"/>
                <w:position w:val="-1"/>
                <w:sz w:val="20"/>
                <w:szCs w:val="20"/>
              </w:rPr>
              <w:t>n</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position w:val="-1"/>
                <w:sz w:val="20"/>
                <w:szCs w:val="20"/>
              </w:rPr>
              <w:t>c</w:t>
            </w:r>
            <w:r w:rsidRPr="00537112">
              <w:rPr>
                <w:rFonts w:cs="Verdana"/>
                <w:spacing w:val="-3"/>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14"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14"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95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ose</w:t>
            </w:r>
            <w:r w:rsidRPr="00537112">
              <w:rPr>
                <w:rFonts w:cs="Verdana"/>
                <w:spacing w:val="1"/>
                <w:position w:val="-1"/>
                <w:sz w:val="20"/>
                <w:szCs w:val="20"/>
              </w:rPr>
              <w:t>nd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position w:val="-1"/>
                <w:sz w:val="20"/>
                <w:szCs w:val="20"/>
              </w:rPr>
              <w:t>c</w:t>
            </w:r>
            <w:r w:rsidRPr="00537112">
              <w:rPr>
                <w:rFonts w:cs="Verdana"/>
                <w:spacing w:val="-3"/>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n</w:t>
            </w:r>
            <w:r w:rsidRPr="00537112">
              <w:rPr>
                <w:rFonts w:cs="Verdana"/>
                <w:spacing w:val="3"/>
                <w:position w:val="-1"/>
                <w:sz w:val="20"/>
                <w:szCs w:val="20"/>
              </w:rPr>
              <w:t>í</w:t>
            </w:r>
            <w:r w:rsidRPr="00537112">
              <w:rPr>
                <w:rFonts w:cs="Verdana"/>
                <w:spacing w:val="1"/>
                <w:position w:val="-1"/>
                <w:sz w:val="20"/>
                <w:szCs w:val="20"/>
              </w:rPr>
              <w:t>g</w:t>
            </w:r>
            <w:r w:rsidRPr="00537112">
              <w:rPr>
                <w:rFonts w:cs="Verdana"/>
                <w:position w:val="-1"/>
                <w:sz w:val="20"/>
                <w:szCs w:val="20"/>
              </w:rPr>
              <w:t>a</w:t>
            </w:r>
          </w:p>
        </w:tc>
      </w:tr>
      <w:tr w:rsidR="00537112" w:rsidRPr="00537112" w:rsidTr="00630EEC">
        <w:trPr>
          <w:trHeight w:hRule="exact" w:val="254"/>
        </w:trPr>
        <w:tc>
          <w:tcPr>
            <w:tcW w:w="977" w:type="dxa"/>
            <w:vMerge/>
            <w:tcBorders>
              <w:top w:val="single" w:sz="8" w:space="0" w:color="000000"/>
              <w:left w:val="single" w:sz="8" w:space="0" w:color="000000"/>
              <w:bottom w:val="single" w:sz="14"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14"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14"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96</w:t>
            </w:r>
          </w:p>
        </w:tc>
        <w:tc>
          <w:tcPr>
            <w:tcW w:w="4496" w:type="dxa"/>
            <w:tcBorders>
              <w:top w:val="single" w:sz="8" w:space="0" w:color="000000"/>
              <w:left w:val="single" w:sz="8" w:space="0" w:color="000000"/>
              <w:bottom w:val="single" w:sz="14"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h</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m</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position w:val="-1"/>
                <w:sz w:val="20"/>
                <w:szCs w:val="20"/>
              </w:rPr>
              <w:t>c</w:t>
            </w:r>
            <w:r w:rsidRPr="00537112">
              <w:rPr>
                <w:rFonts w:cs="Verdana"/>
                <w:spacing w:val="-3"/>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g</w:t>
            </w:r>
            <w:r w:rsidRPr="00537112">
              <w:rPr>
                <w:rFonts w:cs="Verdana"/>
                <w:position w:val="-1"/>
                <w:sz w:val="20"/>
                <w:szCs w:val="20"/>
              </w:rPr>
              <w:t>a</w:t>
            </w:r>
          </w:p>
        </w:tc>
      </w:tr>
      <w:tr w:rsidR="00537112" w:rsidRPr="00537112" w:rsidTr="00630EEC">
        <w:trPr>
          <w:trHeight w:hRule="exact" w:val="254"/>
        </w:trPr>
        <w:tc>
          <w:tcPr>
            <w:tcW w:w="977" w:type="dxa"/>
            <w:vMerge w:val="restart"/>
            <w:tcBorders>
              <w:top w:val="single" w:sz="14"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160</w:t>
            </w:r>
          </w:p>
        </w:tc>
        <w:tc>
          <w:tcPr>
            <w:tcW w:w="3958" w:type="dxa"/>
            <w:vMerge w:val="restart"/>
            <w:tcBorders>
              <w:top w:val="single" w:sz="14"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V</w:t>
            </w:r>
            <w:r w:rsidRPr="00537112">
              <w:rPr>
                <w:rFonts w:cs="Verdana"/>
                <w:spacing w:val="-1"/>
                <w:sz w:val="20"/>
                <w:szCs w:val="20"/>
              </w:rPr>
              <w:t>e</w:t>
            </w:r>
            <w:r w:rsidRPr="00537112">
              <w:rPr>
                <w:rFonts w:cs="Verdana"/>
                <w:spacing w:val="1"/>
                <w:sz w:val="20"/>
                <w:szCs w:val="20"/>
              </w:rPr>
              <w:t>n</w:t>
            </w:r>
            <w:r w:rsidRPr="00537112">
              <w:rPr>
                <w:rFonts w:cs="Verdana"/>
                <w:sz w:val="20"/>
                <w:szCs w:val="20"/>
              </w:rPr>
              <w:t>a</w:t>
            </w:r>
            <w:r w:rsidRPr="00537112">
              <w:rPr>
                <w:rFonts w:cs="Verdana"/>
                <w:spacing w:val="1"/>
                <w:sz w:val="20"/>
                <w:szCs w:val="20"/>
              </w:rPr>
              <w:t>n</w:t>
            </w:r>
            <w:r w:rsidRPr="00537112">
              <w:rPr>
                <w:rFonts w:cs="Verdana"/>
                <w:spacing w:val="-1"/>
                <w:sz w:val="20"/>
                <w:szCs w:val="20"/>
              </w:rPr>
              <w:t>c</w:t>
            </w:r>
            <w:r w:rsidRPr="00537112">
              <w:rPr>
                <w:rFonts w:cs="Verdana"/>
                <w:spacing w:val="3"/>
                <w:sz w:val="20"/>
                <w:szCs w:val="20"/>
              </w:rPr>
              <w:t>i</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d</w:t>
            </w:r>
            <w:r w:rsidRPr="00537112">
              <w:rPr>
                <w:rFonts w:cs="Verdana"/>
                <w:sz w:val="20"/>
                <w:szCs w:val="20"/>
              </w:rPr>
              <w:t>e</w:t>
            </w:r>
            <w:r w:rsidRPr="00537112">
              <w:rPr>
                <w:rFonts w:cs="Verdana"/>
                <w:spacing w:val="-4"/>
                <w:sz w:val="20"/>
                <w:szCs w:val="20"/>
              </w:rPr>
              <w:t xml:space="preserve"> </w:t>
            </w:r>
            <w:r w:rsidRPr="00537112">
              <w:rPr>
                <w:rFonts w:cs="Verdana"/>
                <w:sz w:val="20"/>
                <w:szCs w:val="20"/>
              </w:rPr>
              <w:t>Paz</w:t>
            </w:r>
          </w:p>
        </w:tc>
        <w:tc>
          <w:tcPr>
            <w:tcW w:w="772" w:type="dxa"/>
            <w:tcBorders>
              <w:top w:val="single" w:sz="14"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97</w:t>
            </w:r>
          </w:p>
        </w:tc>
        <w:tc>
          <w:tcPr>
            <w:tcW w:w="4496" w:type="dxa"/>
            <w:tcBorders>
              <w:top w:val="single" w:sz="14"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977" w:type="dxa"/>
            <w:vMerge/>
            <w:tcBorders>
              <w:top w:val="single" w:sz="14"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14"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98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d</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f</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vMerge/>
            <w:tcBorders>
              <w:top w:val="single" w:sz="14"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14"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7</w:t>
            </w:r>
            <w:r w:rsidRPr="00537112">
              <w:rPr>
                <w:rFonts w:cs="Verdana"/>
                <w:spacing w:val="1"/>
                <w:position w:val="-1"/>
                <w:sz w:val="20"/>
                <w:szCs w:val="20"/>
              </w:rPr>
              <w:t>99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Ad</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an</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161</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00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z w:val="20"/>
                <w:szCs w:val="20"/>
              </w:rPr>
              <w:t>T</w:t>
            </w:r>
            <w:r w:rsidRPr="00537112">
              <w:rPr>
                <w:rFonts w:cs="Verdana"/>
                <w:spacing w:val="-1"/>
                <w:sz w:val="20"/>
                <w:szCs w:val="20"/>
              </w:rPr>
              <w:t>r</w:t>
            </w:r>
            <w:r w:rsidRPr="00537112">
              <w:rPr>
                <w:rFonts w:cs="Verdana"/>
                <w:sz w:val="20"/>
                <w:szCs w:val="20"/>
              </w:rPr>
              <w:t>á</w:t>
            </w:r>
            <w:r w:rsidRPr="00537112">
              <w:rPr>
                <w:rFonts w:cs="Verdana"/>
                <w:spacing w:val="1"/>
                <w:sz w:val="20"/>
                <w:szCs w:val="20"/>
              </w:rPr>
              <w:t>n</w:t>
            </w:r>
            <w:r w:rsidRPr="00537112">
              <w:rPr>
                <w:rFonts w:cs="Verdana"/>
                <w:spacing w:val="-1"/>
                <w:sz w:val="20"/>
                <w:szCs w:val="20"/>
              </w:rPr>
              <w:t>s</w:t>
            </w:r>
            <w:r w:rsidRPr="00537112">
              <w:rPr>
                <w:rFonts w:cs="Verdana"/>
                <w:spacing w:val="3"/>
                <w:sz w:val="20"/>
                <w:szCs w:val="20"/>
              </w:rPr>
              <w:t>i</w:t>
            </w:r>
            <w:r w:rsidRPr="00537112">
              <w:rPr>
                <w:rFonts w:cs="Verdana"/>
                <w:spacing w:val="1"/>
                <w:sz w:val="20"/>
                <w:szCs w:val="20"/>
              </w:rPr>
              <w:t>t</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Ju</w:t>
            </w:r>
            <w:r w:rsidRPr="00537112">
              <w:rPr>
                <w:rFonts w:cs="Verdana"/>
                <w:sz w:val="20"/>
                <w:szCs w:val="20"/>
              </w:rPr>
              <w:t>a</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U</w:t>
            </w:r>
            <w:r w:rsidRPr="00537112">
              <w:rPr>
                <w:rFonts w:cs="Verdana"/>
                <w:sz w:val="20"/>
                <w:szCs w:val="20"/>
              </w:rPr>
              <w:t>z</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162</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Da</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e</w:t>
            </w:r>
            <w:r w:rsidRPr="00537112">
              <w:rPr>
                <w:rFonts w:cs="Verdana"/>
                <w:sz w:val="20"/>
                <w:szCs w:val="20"/>
              </w:rPr>
              <w:t>l</w:t>
            </w:r>
            <w:r w:rsidRPr="00537112">
              <w:rPr>
                <w:rFonts w:cs="Verdana"/>
                <w:spacing w:val="-4"/>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Ló</w:t>
            </w:r>
            <w:r w:rsidRPr="00537112">
              <w:rPr>
                <w:rFonts w:cs="Verdana"/>
                <w:spacing w:val="1"/>
                <w:sz w:val="20"/>
                <w:szCs w:val="20"/>
              </w:rPr>
              <w:t>p</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01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efer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Ca</w:t>
            </w:r>
            <w:r w:rsidRPr="00537112">
              <w:rPr>
                <w:rFonts w:cs="Verdana"/>
                <w:spacing w:val="-1"/>
                <w:position w:val="-1"/>
                <w:sz w:val="20"/>
                <w:szCs w:val="20"/>
              </w:rPr>
              <w:t>c</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9"/>
                <w:position w:val="-1"/>
                <w:sz w:val="20"/>
                <w:szCs w:val="20"/>
              </w:rPr>
              <w:t xml:space="preserve"> </w:t>
            </w:r>
            <w:r w:rsidRPr="00537112">
              <w:rPr>
                <w:rFonts w:cs="Verdana"/>
                <w:spacing w:val="1"/>
                <w:position w:val="-1"/>
                <w:sz w:val="20"/>
                <w:szCs w:val="20"/>
              </w:rPr>
              <w:t>J</w:t>
            </w:r>
            <w:r w:rsidRPr="00537112">
              <w:rPr>
                <w:rFonts w:cs="Verdana"/>
                <w:spacing w:val="-1"/>
                <w:position w:val="-1"/>
                <w:sz w:val="20"/>
                <w:szCs w:val="20"/>
              </w:rPr>
              <w:t>eró</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m</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02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w:t>
            </w:r>
            <w:r w:rsidRPr="00537112">
              <w:rPr>
                <w:rFonts w:cs="Verdana"/>
                <w:spacing w:val="3"/>
                <w:position w:val="-1"/>
                <w:sz w:val="20"/>
                <w:szCs w:val="20"/>
              </w:rPr>
              <w:t>il</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1"/>
                <w:position w:val="-1"/>
                <w:sz w:val="20"/>
                <w:szCs w:val="20"/>
              </w:rPr>
              <w:t>h</w:t>
            </w:r>
            <w:r w:rsidRPr="00537112">
              <w:rPr>
                <w:rFonts w:cs="Verdana"/>
                <w:spacing w:val="-1"/>
                <w:position w:val="-1"/>
                <w:sz w:val="20"/>
                <w:szCs w:val="20"/>
              </w:rPr>
              <w:t>c</w:t>
            </w:r>
            <w:r w:rsidRPr="00537112">
              <w:rPr>
                <w:rFonts w:cs="Verdana"/>
                <w:spacing w:val="1"/>
                <w:position w:val="-1"/>
                <w:sz w:val="20"/>
                <w:szCs w:val="20"/>
              </w:rPr>
              <w:t>u</w:t>
            </w:r>
            <w:r w:rsidRPr="00537112">
              <w:rPr>
                <w:rFonts w:cs="Verdana"/>
                <w:spacing w:val="-1"/>
                <w:position w:val="-1"/>
                <w:sz w:val="20"/>
                <w:szCs w:val="20"/>
              </w:rPr>
              <w:t>e</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03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Le</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04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spacing w:val="3"/>
                <w:position w:val="-1"/>
                <w:sz w:val="20"/>
                <w:szCs w:val="20"/>
              </w:rPr>
              <w:t>li</w:t>
            </w:r>
            <w:r w:rsidRPr="00537112">
              <w:rPr>
                <w:rFonts w:cs="Verdana"/>
                <w:position w:val="-1"/>
                <w:sz w:val="20"/>
                <w:szCs w:val="20"/>
              </w:rPr>
              <w:t>an</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0"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163</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0" w:line="190" w:lineRule="exact"/>
              <w:jc w:val="left"/>
              <w:textAlignment w:val="auto"/>
              <w:rPr>
                <w:rFonts w:ascii="Times New Roman" w:hAnsi="Times New Roman"/>
                <w:sz w:val="19"/>
                <w:szCs w:val="19"/>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S</w:t>
            </w:r>
            <w:r w:rsidRPr="00537112">
              <w:rPr>
                <w:rFonts w:cs="Verdana"/>
                <w:sz w:val="20"/>
                <w:szCs w:val="20"/>
              </w:rPr>
              <w:t>a</w:t>
            </w:r>
            <w:r w:rsidRPr="00537112">
              <w:rPr>
                <w:rFonts w:cs="Verdana"/>
                <w:spacing w:val="1"/>
                <w:sz w:val="20"/>
                <w:szCs w:val="20"/>
              </w:rPr>
              <w:t>nt</w:t>
            </w:r>
            <w:r w:rsidRPr="00537112">
              <w:rPr>
                <w:rFonts w:cs="Verdana"/>
                <w:spacing w:val="3"/>
                <w:sz w:val="20"/>
                <w:szCs w:val="20"/>
              </w:rPr>
              <w:t>i</w:t>
            </w:r>
            <w:r w:rsidRPr="00537112">
              <w:rPr>
                <w:rFonts w:cs="Verdana"/>
                <w:sz w:val="20"/>
                <w:szCs w:val="20"/>
              </w:rPr>
              <w:t>a</w:t>
            </w:r>
            <w:r w:rsidRPr="00537112">
              <w:rPr>
                <w:rFonts w:cs="Verdana"/>
                <w:spacing w:val="1"/>
                <w:sz w:val="20"/>
                <w:szCs w:val="20"/>
              </w:rPr>
              <w:t>g</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Su</w:t>
            </w:r>
            <w:r w:rsidRPr="00537112">
              <w:rPr>
                <w:rFonts w:cs="Verdana"/>
                <w:spacing w:val="-1"/>
                <w:sz w:val="20"/>
                <w:szCs w:val="20"/>
              </w:rPr>
              <w:t>c</w:t>
            </w:r>
            <w:r w:rsidRPr="00537112">
              <w:rPr>
                <w:rFonts w:cs="Verdana"/>
                <w:spacing w:val="1"/>
                <w:sz w:val="20"/>
                <w:szCs w:val="20"/>
              </w:rPr>
              <w:t>u</w:t>
            </w:r>
            <w:r w:rsidRPr="00537112">
              <w:rPr>
                <w:rFonts w:cs="Verdana"/>
                <w:sz w:val="20"/>
                <w:szCs w:val="20"/>
              </w:rPr>
              <w:t>p</w:t>
            </w:r>
            <w:r w:rsidRPr="00537112">
              <w:rPr>
                <w:rFonts w:cs="Verdana"/>
                <w:spacing w:val="-6"/>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05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n</w:t>
            </w:r>
            <w:r w:rsidRPr="00537112">
              <w:rPr>
                <w:rFonts w:cs="Verdana"/>
                <w:spacing w:val="-1"/>
                <w:position w:val="-1"/>
                <w:sz w:val="20"/>
                <w:szCs w:val="20"/>
              </w:rPr>
              <w:t>oce</w:t>
            </w:r>
            <w:r w:rsidRPr="00537112">
              <w:rPr>
                <w:rFonts w:cs="Verdana"/>
                <w:spacing w:val="1"/>
                <w:position w:val="-1"/>
                <w:sz w:val="20"/>
                <w:szCs w:val="20"/>
              </w:rPr>
              <w:t>nt</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06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1"/>
                <w:position w:val="-1"/>
                <w:sz w:val="20"/>
                <w:szCs w:val="20"/>
              </w:rPr>
              <w:t>ó</w:t>
            </w:r>
            <w:r w:rsidRPr="00537112">
              <w:rPr>
                <w:rFonts w:cs="Verdana"/>
                <w:position w:val="-1"/>
                <w:sz w:val="20"/>
                <w:szCs w:val="20"/>
              </w:rPr>
              <w:t>n</w:t>
            </w:r>
            <w:r w:rsidRPr="00537112">
              <w:rPr>
                <w:rFonts w:cs="Verdana"/>
                <w:spacing w:val="-6"/>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07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u</w:t>
            </w:r>
            <w:r w:rsidRPr="00537112">
              <w:rPr>
                <w:rFonts w:cs="Verdana"/>
                <w:spacing w:val="3"/>
                <w:position w:val="-1"/>
                <w:sz w:val="20"/>
                <w:szCs w:val="20"/>
              </w:rPr>
              <w:t>l</w:t>
            </w:r>
            <w:r w:rsidRPr="00537112">
              <w:rPr>
                <w:rFonts w:cs="Verdana"/>
                <w:position w:val="-1"/>
                <w:sz w:val="20"/>
                <w:szCs w:val="20"/>
              </w:rPr>
              <w:t>a</w:t>
            </w:r>
            <w:r w:rsidRPr="00537112">
              <w:rPr>
                <w:rFonts w:cs="Verdana"/>
                <w:spacing w:val="3"/>
                <w:position w:val="-1"/>
                <w:sz w:val="20"/>
                <w:szCs w:val="20"/>
              </w:rPr>
              <w:t>li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08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w:t>
            </w:r>
            <w:r w:rsidRPr="00537112">
              <w:rPr>
                <w:rFonts w:cs="Verdana"/>
                <w:spacing w:val="1"/>
                <w:position w:val="-1"/>
                <w:sz w:val="20"/>
                <w:szCs w:val="20"/>
              </w:rPr>
              <w:t>umb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09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o</w:t>
            </w:r>
            <w:r w:rsidRPr="00537112">
              <w:rPr>
                <w:rFonts w:cs="Verdana"/>
                <w:spacing w:val="-7"/>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10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ore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164</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2" w:line="150" w:lineRule="exact"/>
              <w:jc w:val="left"/>
              <w:textAlignment w:val="auto"/>
              <w:rPr>
                <w:rFonts w:ascii="Times New Roman" w:hAnsi="Times New Roman"/>
                <w:sz w:val="15"/>
                <w:szCs w:val="15"/>
                <w:lang w:val="pt-BR"/>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lang w:val="pt-BR"/>
              </w:rPr>
            </w:pPr>
          </w:p>
          <w:p w:rsidR="00537112" w:rsidRPr="00537112" w:rsidRDefault="00537112" w:rsidP="00537112">
            <w:pPr>
              <w:autoSpaceDE w:val="0"/>
              <w:autoSpaceDN w:val="0"/>
              <w:spacing w:line="240" w:lineRule="auto"/>
              <w:ind w:right="-20"/>
              <w:jc w:val="left"/>
              <w:textAlignment w:val="auto"/>
              <w:rPr>
                <w:rFonts w:ascii="Times New Roman" w:hAnsi="Times New Roman"/>
                <w:lang w:val="pt-BR"/>
              </w:rPr>
            </w:pPr>
            <w:r w:rsidRPr="00537112">
              <w:rPr>
                <w:rFonts w:cs="Verdana"/>
                <w:spacing w:val="1"/>
                <w:sz w:val="20"/>
                <w:szCs w:val="20"/>
                <w:lang w:val="pt-BR"/>
              </w:rPr>
              <w:t>F</w:t>
            </w:r>
            <w:r w:rsidRPr="00537112">
              <w:rPr>
                <w:rFonts w:cs="Verdana"/>
                <w:spacing w:val="-1"/>
                <w:sz w:val="20"/>
                <w:szCs w:val="20"/>
                <w:lang w:val="pt-BR"/>
              </w:rPr>
              <w:t>r</w:t>
            </w:r>
            <w:r w:rsidRPr="00537112">
              <w:rPr>
                <w:rFonts w:cs="Verdana"/>
                <w:sz w:val="20"/>
                <w:szCs w:val="20"/>
                <w:lang w:val="pt-BR"/>
              </w:rPr>
              <w:t>a</w:t>
            </w:r>
            <w:r w:rsidRPr="00537112">
              <w:rPr>
                <w:rFonts w:cs="Verdana"/>
                <w:spacing w:val="1"/>
                <w:sz w:val="20"/>
                <w:szCs w:val="20"/>
                <w:lang w:val="pt-BR"/>
              </w:rPr>
              <w:t>n</w:t>
            </w:r>
            <w:r w:rsidRPr="00537112">
              <w:rPr>
                <w:rFonts w:cs="Verdana"/>
                <w:spacing w:val="-1"/>
                <w:sz w:val="20"/>
                <w:szCs w:val="20"/>
                <w:lang w:val="pt-BR"/>
              </w:rPr>
              <w:t>c</w:t>
            </w:r>
            <w:r w:rsidRPr="00537112">
              <w:rPr>
                <w:rFonts w:cs="Verdana"/>
                <w:spacing w:val="3"/>
                <w:sz w:val="20"/>
                <w:szCs w:val="20"/>
                <w:lang w:val="pt-BR"/>
              </w:rPr>
              <w:t>i</w:t>
            </w:r>
            <w:r w:rsidRPr="00537112">
              <w:rPr>
                <w:rFonts w:cs="Verdana"/>
                <w:spacing w:val="-1"/>
                <w:sz w:val="20"/>
                <w:szCs w:val="20"/>
                <w:lang w:val="pt-BR"/>
              </w:rPr>
              <w:t>sc</w:t>
            </w:r>
            <w:r w:rsidRPr="00537112">
              <w:rPr>
                <w:rFonts w:cs="Verdana"/>
                <w:sz w:val="20"/>
                <w:szCs w:val="20"/>
                <w:lang w:val="pt-BR"/>
              </w:rPr>
              <w:t>o</w:t>
            </w:r>
            <w:r w:rsidRPr="00537112">
              <w:rPr>
                <w:rFonts w:cs="Verdana"/>
                <w:spacing w:val="-11"/>
                <w:sz w:val="20"/>
                <w:szCs w:val="20"/>
                <w:lang w:val="pt-BR"/>
              </w:rPr>
              <w:t xml:space="preserve"> </w:t>
            </w:r>
            <w:r w:rsidRPr="00537112">
              <w:rPr>
                <w:rFonts w:cs="Verdana"/>
                <w:sz w:val="20"/>
                <w:szCs w:val="20"/>
                <w:lang w:val="pt-BR"/>
              </w:rPr>
              <w:t>B</w:t>
            </w:r>
            <w:r w:rsidRPr="00537112">
              <w:rPr>
                <w:rFonts w:cs="Verdana"/>
                <w:spacing w:val="-1"/>
                <w:sz w:val="20"/>
                <w:szCs w:val="20"/>
                <w:lang w:val="pt-BR"/>
              </w:rPr>
              <w:t>o</w:t>
            </w:r>
            <w:r w:rsidRPr="00537112">
              <w:rPr>
                <w:rFonts w:cs="Verdana"/>
                <w:spacing w:val="3"/>
                <w:sz w:val="20"/>
                <w:szCs w:val="20"/>
                <w:lang w:val="pt-BR"/>
              </w:rPr>
              <w:t>l</w:t>
            </w:r>
            <w:r w:rsidRPr="00537112">
              <w:rPr>
                <w:rFonts w:cs="Verdana"/>
                <w:sz w:val="20"/>
                <w:szCs w:val="20"/>
                <w:lang w:val="pt-BR"/>
              </w:rPr>
              <w:t>aj (o Bolaj López)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11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spacing w:val="-1"/>
                <w:position w:val="-1"/>
                <w:sz w:val="20"/>
                <w:szCs w:val="20"/>
              </w:rPr>
              <w:t>e</w:t>
            </w:r>
            <w:r w:rsidRPr="00537112">
              <w:rPr>
                <w:rFonts w:cs="Verdana"/>
                <w:spacing w:val="1"/>
                <w:position w:val="-1"/>
                <w:sz w:val="20"/>
                <w:szCs w:val="20"/>
              </w:rPr>
              <w:t>b</w:t>
            </w:r>
            <w:r w:rsidRPr="00537112">
              <w:rPr>
                <w:rFonts w:cs="Verdana"/>
                <w:position w:val="-1"/>
                <w:sz w:val="20"/>
                <w:szCs w:val="20"/>
              </w:rPr>
              <w:t>a</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340"/>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12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ng</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13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p</w:t>
            </w:r>
            <w:r w:rsidRPr="00537112">
              <w:rPr>
                <w:rFonts w:cs="Verdana"/>
                <w:position w:val="-1"/>
                <w:sz w:val="20"/>
                <w:szCs w:val="20"/>
              </w:rPr>
              <w:t>e</w:t>
            </w:r>
            <w:r w:rsidRPr="00537112">
              <w:rPr>
                <w:rFonts w:cs="Verdana"/>
                <w:spacing w:val="-8"/>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14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eró</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m</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165</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8"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pacing w:val="1"/>
                <w:sz w:val="20"/>
                <w:szCs w:val="20"/>
              </w:rPr>
              <w:t>qu</w:t>
            </w:r>
            <w:r w:rsidRPr="00537112">
              <w:rPr>
                <w:rFonts w:cs="Verdana"/>
                <w:spacing w:val="-1"/>
                <w:sz w:val="20"/>
                <w:szCs w:val="20"/>
              </w:rPr>
              <w:t>e</w:t>
            </w:r>
            <w:r w:rsidRPr="00537112">
              <w:rPr>
                <w:rFonts w:cs="Verdana"/>
                <w:spacing w:val="1"/>
                <w:sz w:val="20"/>
                <w:szCs w:val="20"/>
              </w:rPr>
              <w:t>j</w:t>
            </w:r>
            <w:r w:rsidRPr="00537112">
              <w:rPr>
                <w:rFonts w:cs="Verdana"/>
                <w:sz w:val="20"/>
                <w:szCs w:val="20"/>
              </w:rPr>
              <w:t>ay</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15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w:t>
            </w:r>
            <w:r w:rsidRPr="00537112">
              <w:rPr>
                <w:rFonts w:cs="Verdana"/>
                <w:position w:val="-1"/>
                <w:sz w:val="20"/>
                <w:szCs w:val="20"/>
              </w:rPr>
              <w:t>o</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16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Gre</w:t>
            </w:r>
            <w:r w:rsidRPr="00537112">
              <w:rPr>
                <w:rFonts w:cs="Verdana"/>
                <w:spacing w:val="1"/>
                <w:position w:val="-1"/>
                <w:sz w:val="20"/>
                <w:szCs w:val="20"/>
              </w:rPr>
              <w:t>g</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qu</w:t>
            </w:r>
            <w:r w:rsidRPr="00537112">
              <w:rPr>
                <w:rFonts w:cs="Verdana"/>
                <w:spacing w:val="-1"/>
                <w:position w:val="-1"/>
                <w:sz w:val="20"/>
                <w:szCs w:val="20"/>
              </w:rPr>
              <w:t>e</w:t>
            </w:r>
            <w:r w:rsidRPr="00537112">
              <w:rPr>
                <w:rFonts w:cs="Verdana"/>
                <w:spacing w:val="1"/>
                <w:position w:val="-1"/>
                <w:sz w:val="20"/>
                <w:szCs w:val="20"/>
              </w:rPr>
              <w:t>j</w:t>
            </w:r>
            <w:r w:rsidRPr="00537112">
              <w:rPr>
                <w:rFonts w:cs="Verdana"/>
                <w:position w:val="-1"/>
                <w:sz w:val="20"/>
                <w:szCs w:val="20"/>
              </w:rPr>
              <w:t>ay</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17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Ang</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qu</w:t>
            </w:r>
            <w:r w:rsidRPr="00537112">
              <w:rPr>
                <w:rFonts w:cs="Verdana"/>
                <w:spacing w:val="-1"/>
                <w:position w:val="-1"/>
                <w:sz w:val="20"/>
                <w:szCs w:val="20"/>
              </w:rPr>
              <w:t>e</w:t>
            </w:r>
            <w:r w:rsidRPr="00537112">
              <w:rPr>
                <w:rFonts w:cs="Verdana"/>
                <w:spacing w:val="1"/>
                <w:position w:val="-1"/>
                <w:sz w:val="20"/>
                <w:szCs w:val="20"/>
              </w:rPr>
              <w:t>j</w:t>
            </w:r>
            <w:r w:rsidRPr="00537112">
              <w:rPr>
                <w:rFonts w:cs="Verdana"/>
                <w:position w:val="-1"/>
                <w:sz w:val="20"/>
                <w:szCs w:val="20"/>
              </w:rPr>
              <w:t>ay</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4" w:line="130" w:lineRule="exact"/>
              <w:jc w:val="left"/>
              <w:textAlignment w:val="auto"/>
              <w:rPr>
                <w:rFonts w:ascii="Times New Roman" w:hAnsi="Times New Roman"/>
                <w:sz w:val="13"/>
                <w:szCs w:val="13"/>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166</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4" w:line="130" w:lineRule="exact"/>
              <w:jc w:val="left"/>
              <w:textAlignment w:val="auto"/>
              <w:rPr>
                <w:rFonts w:ascii="Times New Roman" w:hAnsi="Times New Roman"/>
                <w:sz w:val="13"/>
                <w:szCs w:val="13"/>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Lore</w:t>
            </w:r>
            <w:r w:rsidRPr="00537112">
              <w:rPr>
                <w:rFonts w:cs="Verdana"/>
                <w:spacing w:val="1"/>
                <w:sz w:val="20"/>
                <w:szCs w:val="20"/>
              </w:rPr>
              <w:t>nz</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18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or</w:t>
            </w:r>
            <w:r w:rsidRPr="00537112">
              <w:rPr>
                <w:rFonts w:cs="Verdana"/>
                <w:spacing w:val="1"/>
                <w:position w:val="-1"/>
                <w:sz w:val="20"/>
                <w:szCs w:val="20"/>
              </w:rPr>
              <w:t>n</w:t>
            </w:r>
            <w:r w:rsidRPr="00537112">
              <w:rPr>
                <w:rFonts w:cs="Verdana"/>
                <w:spacing w:val="-1"/>
                <w:position w:val="-1"/>
                <w:sz w:val="20"/>
                <w:szCs w:val="20"/>
              </w:rPr>
              <w:t>e</w:t>
            </w:r>
            <w:r w:rsidRPr="00537112">
              <w:rPr>
                <w:rFonts w:cs="Verdana"/>
                <w:spacing w:val="3"/>
                <w:position w:val="-1"/>
                <w:sz w:val="20"/>
                <w:szCs w:val="20"/>
              </w:rPr>
              <w:t>li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p>
        </w:tc>
      </w:tr>
      <w:tr w:rsidR="00537112" w:rsidRPr="00537112" w:rsidTr="00630EEC">
        <w:trPr>
          <w:trHeight w:hRule="exact" w:val="305"/>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z w:val="20"/>
                <w:szCs w:val="20"/>
              </w:rPr>
              <w:t>8</w:t>
            </w:r>
            <w:r w:rsidRPr="00537112">
              <w:rPr>
                <w:rFonts w:cs="Verdana"/>
                <w:spacing w:val="1"/>
                <w:sz w:val="20"/>
                <w:szCs w:val="20"/>
              </w:rPr>
              <w:t>19</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8" w:line="240" w:lineRule="auto"/>
              <w:ind w:right="-20"/>
              <w:jc w:val="left"/>
              <w:textAlignment w:val="auto"/>
              <w:rPr>
                <w:rFonts w:ascii="Times New Roman" w:hAnsi="Times New Roman"/>
              </w:rPr>
            </w:pPr>
            <w:r w:rsidRPr="00537112">
              <w:rPr>
                <w:rFonts w:cs="Verdana"/>
                <w:sz w:val="20"/>
                <w:szCs w:val="20"/>
              </w:rPr>
              <w:t>C</w:t>
            </w:r>
            <w:r w:rsidRPr="00537112">
              <w:rPr>
                <w:rFonts w:cs="Verdana"/>
                <w:spacing w:val="-1"/>
                <w:sz w:val="20"/>
                <w:szCs w:val="20"/>
              </w:rPr>
              <w:t>r</w:t>
            </w:r>
            <w:r w:rsidRPr="00537112">
              <w:rPr>
                <w:rFonts w:cs="Verdana"/>
                <w:spacing w:val="1"/>
                <w:sz w:val="20"/>
                <w:szCs w:val="20"/>
              </w:rPr>
              <w:t>u</w:t>
            </w:r>
            <w:r w:rsidRPr="00537112">
              <w:rPr>
                <w:rFonts w:cs="Verdana"/>
                <w:sz w:val="20"/>
                <w:szCs w:val="20"/>
              </w:rPr>
              <w:t>z</w:t>
            </w:r>
            <w:r w:rsidRPr="00537112">
              <w:rPr>
                <w:rFonts w:cs="Verdana"/>
                <w:spacing w:val="-5"/>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167</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15"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t</w:t>
            </w:r>
            <w:r w:rsidRPr="00537112">
              <w:rPr>
                <w:rFonts w:cs="Verdana"/>
                <w:spacing w:val="3"/>
                <w:sz w:val="20"/>
                <w:szCs w:val="20"/>
              </w:rPr>
              <w:t>il</w:t>
            </w:r>
            <w:r w:rsidRPr="00537112">
              <w:rPr>
                <w:rFonts w:cs="Verdana"/>
                <w:spacing w:val="1"/>
                <w:sz w:val="20"/>
                <w:szCs w:val="20"/>
              </w:rPr>
              <w:t>d</w:t>
            </w:r>
            <w:r w:rsidRPr="00537112">
              <w:rPr>
                <w:rFonts w:cs="Verdana"/>
                <w:sz w:val="20"/>
                <w:szCs w:val="20"/>
              </w:rPr>
              <w:t>e</w:t>
            </w:r>
            <w:r w:rsidRPr="00537112">
              <w:rPr>
                <w:rFonts w:cs="Verdana"/>
                <w:spacing w:val="-9"/>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Ló</w:t>
            </w:r>
            <w:r w:rsidRPr="00537112">
              <w:rPr>
                <w:rFonts w:cs="Verdana"/>
                <w:spacing w:val="1"/>
                <w:sz w:val="20"/>
                <w:szCs w:val="20"/>
              </w:rPr>
              <w:t>p</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20</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position w:val="-1"/>
                <w:sz w:val="20"/>
                <w:szCs w:val="20"/>
              </w:rPr>
              <w:t>n</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21</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L</w:t>
            </w:r>
            <w:r w:rsidRPr="00537112">
              <w:rPr>
                <w:rFonts w:cs="Verdana"/>
                <w:spacing w:val="3"/>
                <w:position w:val="-1"/>
                <w:sz w:val="20"/>
                <w:szCs w:val="20"/>
              </w:rPr>
              <w:t>i</w:t>
            </w:r>
            <w:r w:rsidRPr="00537112">
              <w:rPr>
                <w:rFonts w:cs="Verdana"/>
                <w:spacing w:val="1"/>
                <w:position w:val="-1"/>
                <w:sz w:val="20"/>
                <w:szCs w:val="20"/>
              </w:rPr>
              <w:t>nd</w:t>
            </w:r>
            <w:r w:rsidRPr="00537112">
              <w:rPr>
                <w:rFonts w:cs="Verdana"/>
                <w:position w:val="-1"/>
                <w:sz w:val="20"/>
                <w:szCs w:val="20"/>
              </w:rPr>
              <w:t>ay</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22</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ore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nd</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23</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3"/>
                <w:position w:val="-1"/>
                <w:sz w:val="20"/>
                <w:szCs w:val="20"/>
              </w:rPr>
              <w:t>ili</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os</w:t>
            </w:r>
            <w:r w:rsidRPr="00537112">
              <w:rPr>
                <w:rFonts w:cs="Verdana"/>
                <w:spacing w:val="1"/>
                <w:position w:val="-1"/>
                <w:sz w:val="20"/>
                <w:szCs w:val="20"/>
              </w:rPr>
              <w:t>m</w:t>
            </w:r>
            <w:r w:rsidRPr="00537112">
              <w:rPr>
                <w:rFonts w:cs="Verdana"/>
                <w:spacing w:val="-1"/>
                <w:position w:val="-1"/>
                <w:sz w:val="20"/>
                <w:szCs w:val="20"/>
              </w:rPr>
              <w:t>er</w:t>
            </w:r>
            <w:r w:rsidRPr="00537112">
              <w:rPr>
                <w:rFonts w:cs="Verdana"/>
                <w:position w:val="-1"/>
                <w:sz w:val="20"/>
                <w:szCs w:val="20"/>
              </w:rPr>
              <w:t>y</w:t>
            </w:r>
            <w:r w:rsidRPr="00537112">
              <w:rPr>
                <w:rFonts w:cs="Verdana"/>
                <w:spacing w:val="-10"/>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24</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Ma</w:t>
            </w:r>
            <w:r w:rsidRPr="00537112">
              <w:rPr>
                <w:rFonts w:cs="Verdana"/>
                <w:spacing w:val="1"/>
                <w:position w:val="-1"/>
                <w:sz w:val="20"/>
                <w:szCs w:val="20"/>
              </w:rPr>
              <w:t>gd</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168</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A</w:t>
            </w:r>
            <w:r w:rsidRPr="00537112">
              <w:rPr>
                <w:rFonts w:cs="Verdana"/>
                <w:spacing w:val="3"/>
                <w:sz w:val="20"/>
                <w:szCs w:val="20"/>
              </w:rPr>
              <w:t>l</w:t>
            </w:r>
            <w:r w:rsidRPr="00537112">
              <w:rPr>
                <w:rFonts w:cs="Verdana"/>
                <w:spacing w:val="-1"/>
                <w:sz w:val="20"/>
                <w:szCs w:val="20"/>
              </w:rPr>
              <w:t>fo</w:t>
            </w:r>
            <w:r w:rsidRPr="00537112">
              <w:rPr>
                <w:rFonts w:cs="Verdana"/>
                <w:spacing w:val="1"/>
                <w:sz w:val="20"/>
                <w:szCs w:val="20"/>
              </w:rPr>
              <w:t>n</w:t>
            </w:r>
            <w:r w:rsidRPr="00537112">
              <w:rPr>
                <w:rFonts w:cs="Verdana"/>
                <w:spacing w:val="-1"/>
                <w:sz w:val="20"/>
                <w:szCs w:val="20"/>
              </w:rPr>
              <w:t>s</w:t>
            </w:r>
            <w:r w:rsidRPr="00537112">
              <w:rPr>
                <w:rFonts w:cs="Verdana"/>
                <w:sz w:val="20"/>
                <w:szCs w:val="20"/>
              </w:rPr>
              <w:t>o</w:t>
            </w:r>
            <w:r w:rsidRPr="00537112">
              <w:rPr>
                <w:rFonts w:cs="Verdana"/>
                <w:spacing w:val="-9"/>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tumú</w:t>
            </w:r>
            <w:r w:rsidRPr="00537112">
              <w:rPr>
                <w:rFonts w:cs="Verdana"/>
                <w:sz w:val="20"/>
                <w:szCs w:val="20"/>
              </w:rPr>
              <w:t>l</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25</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ec</w:t>
            </w:r>
            <w:r w:rsidRPr="00537112">
              <w:rPr>
                <w:rFonts w:cs="Verdana"/>
                <w:spacing w:val="3"/>
                <w:position w:val="-1"/>
                <w:sz w:val="20"/>
                <w:szCs w:val="20"/>
              </w:rPr>
              <w:t>ili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26</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r</w:t>
            </w:r>
            <w:r w:rsidRPr="00537112">
              <w:rPr>
                <w:rFonts w:cs="Verdana"/>
                <w:spacing w:val="1"/>
                <w:position w:val="-1"/>
                <w:sz w:val="20"/>
                <w:szCs w:val="20"/>
              </w:rPr>
              <w:t>m</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Y</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97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169</w:t>
            </w:r>
          </w:p>
        </w:tc>
        <w:tc>
          <w:tcPr>
            <w:tcW w:w="395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T</w:t>
            </w:r>
            <w:r w:rsidRPr="00537112">
              <w:rPr>
                <w:rFonts w:cs="Verdana"/>
                <w:spacing w:val="-1"/>
                <w:sz w:val="20"/>
                <w:szCs w:val="20"/>
              </w:rPr>
              <w:t>eres</w:t>
            </w:r>
            <w:r w:rsidRPr="00537112">
              <w:rPr>
                <w:rFonts w:cs="Verdana"/>
                <w:sz w:val="20"/>
                <w:szCs w:val="20"/>
              </w:rPr>
              <w:t>a</w:t>
            </w:r>
            <w:r w:rsidRPr="00537112">
              <w:rPr>
                <w:rFonts w:cs="Verdana"/>
                <w:spacing w:val="-7"/>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r w:rsidRPr="00537112">
              <w:rPr>
                <w:rFonts w:cs="Verdana"/>
                <w:spacing w:val="-6"/>
                <w:sz w:val="20"/>
                <w:szCs w:val="20"/>
              </w:rPr>
              <w:t xml:space="preserve"> </w:t>
            </w:r>
            <w:r w:rsidRPr="00537112">
              <w:rPr>
                <w:rFonts w:cs="Verdana"/>
                <w:spacing w:val="-1"/>
                <w:sz w:val="20"/>
                <w:szCs w:val="20"/>
              </w:rPr>
              <w:t>Ló</w:t>
            </w:r>
            <w:r w:rsidRPr="00537112">
              <w:rPr>
                <w:rFonts w:cs="Verdana"/>
                <w:spacing w:val="1"/>
                <w:sz w:val="20"/>
                <w:szCs w:val="20"/>
              </w:rPr>
              <w:t>p</w:t>
            </w:r>
            <w:r w:rsidRPr="00537112">
              <w:rPr>
                <w:rFonts w:cs="Verdana"/>
                <w:spacing w:val="-1"/>
                <w:sz w:val="20"/>
                <w:szCs w:val="20"/>
              </w:rPr>
              <w:t>e</w:t>
            </w:r>
            <w:r w:rsidRPr="00537112">
              <w:rPr>
                <w:rFonts w:cs="Verdana"/>
                <w:sz w:val="20"/>
                <w:szCs w:val="20"/>
              </w:rPr>
              <w:t>z</w:t>
            </w: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27</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tumul</w:t>
            </w:r>
          </w:p>
        </w:tc>
      </w:tr>
      <w:tr w:rsidR="00537112" w:rsidRPr="00537112" w:rsidTr="00630EEC">
        <w:trPr>
          <w:trHeight w:hRule="exact" w:val="247"/>
        </w:trPr>
        <w:tc>
          <w:tcPr>
            <w:tcW w:w="977"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395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c>
          <w:tcPr>
            <w:tcW w:w="772"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8</w:t>
            </w:r>
            <w:r w:rsidRPr="00537112">
              <w:rPr>
                <w:rFonts w:cs="Verdana"/>
                <w:spacing w:val="1"/>
                <w:position w:val="-1"/>
                <w:sz w:val="20"/>
                <w:szCs w:val="20"/>
              </w:rPr>
              <w:t>28</w:t>
            </w:r>
          </w:p>
        </w:tc>
        <w:tc>
          <w:tcPr>
            <w:tcW w:w="449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n</w:t>
            </w:r>
            <w:r w:rsidRPr="00537112">
              <w:rPr>
                <w:rFonts w:cs="Verdana"/>
                <w:position w:val="-1"/>
                <w:sz w:val="20"/>
                <w:szCs w:val="20"/>
              </w:rPr>
              <w:t>y</w:t>
            </w:r>
            <w:r w:rsidRPr="00537112">
              <w:rPr>
                <w:rFonts w:cs="Verdana"/>
                <w:spacing w:val="-6"/>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oc</w:t>
            </w:r>
            <w:r w:rsidRPr="00537112">
              <w:rPr>
                <w:rFonts w:cs="Verdana"/>
                <w:position w:val="-1"/>
                <w:sz w:val="20"/>
                <w:szCs w:val="20"/>
              </w:rPr>
              <w:t>a</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pgSz w:w="12260" w:h="15840"/>
          <w:pgMar w:top="760" w:right="900" w:bottom="280" w:left="900" w:header="493" w:footer="0" w:gutter="0"/>
          <w:cols w:space="720"/>
          <w:noEndnote/>
        </w:sectPr>
      </w:pPr>
    </w:p>
    <w:p w:rsidR="00537112" w:rsidRPr="00537112" w:rsidRDefault="00537112" w:rsidP="00537112">
      <w:pPr>
        <w:autoSpaceDE w:val="0"/>
        <w:autoSpaceDN w:val="0"/>
        <w:spacing w:before="16" w:line="280" w:lineRule="exact"/>
        <w:jc w:val="left"/>
        <w:textAlignment w:val="auto"/>
        <w:rPr>
          <w:rFonts w:ascii="Times New Roman" w:hAnsi="Times New Roman"/>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977"/>
        <w:gridCol w:w="3958"/>
        <w:gridCol w:w="5268"/>
      </w:tblGrid>
      <w:tr w:rsidR="00537112" w:rsidRPr="00537112" w:rsidTr="00630EEC">
        <w:trPr>
          <w:trHeight w:hRule="exact" w:val="696"/>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16"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170</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6"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"N</w:t>
            </w:r>
            <w:r w:rsidRPr="00537112">
              <w:rPr>
                <w:rFonts w:cs="Verdana"/>
                <w:spacing w:val="3"/>
                <w:sz w:val="20"/>
                <w:szCs w:val="20"/>
              </w:rPr>
              <w:t>i</w:t>
            </w:r>
            <w:r w:rsidRPr="00537112">
              <w:rPr>
                <w:rFonts w:cs="Verdana"/>
                <w:spacing w:val="1"/>
                <w:sz w:val="20"/>
                <w:szCs w:val="20"/>
              </w:rPr>
              <w:t>ñ</w:t>
            </w:r>
            <w:r w:rsidRPr="00537112">
              <w:rPr>
                <w:rFonts w:cs="Verdana"/>
                <w:sz w:val="20"/>
                <w:szCs w:val="20"/>
              </w:rPr>
              <w:t>a</w:t>
            </w:r>
            <w:r w:rsidRPr="00537112">
              <w:rPr>
                <w:rFonts w:cs="Verdana"/>
                <w:spacing w:val="-5"/>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n</w:t>
            </w:r>
            <w:r w:rsidRPr="00537112">
              <w:rPr>
                <w:rFonts w:cs="Verdana"/>
                <w:spacing w:val="-3"/>
                <w:sz w:val="20"/>
                <w:szCs w:val="20"/>
              </w:rPr>
              <w:t xml:space="preserve"> </w:t>
            </w:r>
            <w:r w:rsidRPr="00537112">
              <w:rPr>
                <w:rFonts w:cs="Verdana"/>
                <w:spacing w:val="1"/>
                <w:sz w:val="20"/>
                <w:szCs w:val="20"/>
              </w:rPr>
              <w:t>n</w:t>
            </w:r>
            <w:r w:rsidRPr="00537112">
              <w:rPr>
                <w:rFonts w:cs="Verdana"/>
                <w:spacing w:val="-1"/>
                <w:sz w:val="20"/>
                <w:szCs w:val="20"/>
              </w:rPr>
              <w:t>o</w:t>
            </w:r>
            <w:r w:rsidRPr="00537112">
              <w:rPr>
                <w:rFonts w:cs="Verdana"/>
                <w:spacing w:val="1"/>
                <w:sz w:val="20"/>
                <w:szCs w:val="20"/>
              </w:rPr>
              <w:t>mb</w:t>
            </w:r>
            <w:r w:rsidRPr="00537112">
              <w:rPr>
                <w:rFonts w:cs="Verdana"/>
                <w:spacing w:val="-1"/>
                <w:sz w:val="20"/>
                <w:szCs w:val="20"/>
              </w:rPr>
              <w:t>re</w:t>
            </w:r>
            <w:r w:rsidRPr="00537112">
              <w:rPr>
                <w:rFonts w:cs="Verdana"/>
                <w:sz w:val="20"/>
                <w:szCs w:val="20"/>
              </w:rPr>
              <w:t>"</w:t>
            </w:r>
          </w:p>
        </w:tc>
        <w:tc>
          <w:tcPr>
            <w:tcW w:w="526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76" w:line="240" w:lineRule="auto"/>
              <w:ind w:right="28"/>
              <w:jc w:val="center"/>
              <w:textAlignment w:val="auto"/>
              <w:rPr>
                <w:rFonts w:cs="Verdana"/>
                <w:sz w:val="20"/>
                <w:szCs w:val="20"/>
              </w:rPr>
            </w:pPr>
            <w:r w:rsidRPr="00537112">
              <w:rPr>
                <w:rFonts w:cs="Verdana"/>
                <w:spacing w:val="1"/>
                <w:sz w:val="20"/>
                <w:szCs w:val="20"/>
              </w:rPr>
              <w:t>h</w:t>
            </w:r>
            <w:r w:rsidRPr="00537112">
              <w:rPr>
                <w:rFonts w:cs="Verdana"/>
                <w:spacing w:val="3"/>
                <w:sz w:val="20"/>
                <w:szCs w:val="20"/>
              </w:rPr>
              <w:t>i</w:t>
            </w:r>
            <w:r w:rsidRPr="00537112">
              <w:rPr>
                <w:rFonts w:cs="Verdana"/>
                <w:spacing w:val="1"/>
                <w:sz w:val="20"/>
                <w:szCs w:val="20"/>
              </w:rPr>
              <w:t>j</w:t>
            </w:r>
            <w:r w:rsidRPr="00537112">
              <w:rPr>
                <w:rFonts w:cs="Verdana"/>
                <w:sz w:val="20"/>
                <w:szCs w:val="20"/>
              </w:rPr>
              <w:t>a</w:t>
            </w:r>
            <w:r w:rsidRPr="00537112">
              <w:rPr>
                <w:rFonts w:cs="Verdana"/>
                <w:spacing w:val="-4"/>
                <w:sz w:val="20"/>
                <w:szCs w:val="20"/>
              </w:rPr>
              <w:t xml:space="preserve"> </w:t>
            </w:r>
            <w:r w:rsidRPr="00537112">
              <w:rPr>
                <w:rFonts w:cs="Verdana"/>
                <w:spacing w:val="1"/>
                <w:sz w:val="20"/>
                <w:szCs w:val="20"/>
              </w:rPr>
              <w:t>d</w:t>
            </w:r>
            <w:r w:rsidRPr="00537112">
              <w:rPr>
                <w:rFonts w:cs="Verdana"/>
                <w:sz w:val="20"/>
                <w:szCs w:val="20"/>
              </w:rPr>
              <w:t>e</w:t>
            </w:r>
            <w:r w:rsidRPr="00537112">
              <w:rPr>
                <w:rFonts w:cs="Verdana"/>
                <w:spacing w:val="-4"/>
                <w:sz w:val="20"/>
                <w:szCs w:val="20"/>
              </w:rPr>
              <w:t xml:space="preserve"> </w:t>
            </w:r>
            <w:r w:rsidRPr="00537112">
              <w:rPr>
                <w:rFonts w:cs="Verdana"/>
                <w:spacing w:val="-1"/>
                <w:sz w:val="20"/>
                <w:szCs w:val="20"/>
              </w:rPr>
              <w:t>L</w:t>
            </w:r>
            <w:r w:rsidRPr="00537112">
              <w:rPr>
                <w:rFonts w:cs="Verdana"/>
                <w:spacing w:val="1"/>
                <w:sz w:val="20"/>
                <w:szCs w:val="20"/>
              </w:rPr>
              <w:t>u</w:t>
            </w:r>
            <w:r w:rsidRPr="00537112">
              <w:rPr>
                <w:rFonts w:cs="Verdana"/>
                <w:spacing w:val="-1"/>
                <w:sz w:val="20"/>
                <w:szCs w:val="20"/>
              </w:rPr>
              <w:t>c</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a</w:t>
            </w:r>
            <w:r w:rsidRPr="00537112">
              <w:rPr>
                <w:rFonts w:cs="Verdana"/>
                <w:spacing w:val="-8"/>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r w:rsidRPr="00537112">
              <w:rPr>
                <w:rFonts w:cs="Verdana"/>
                <w:spacing w:val="-6"/>
                <w:sz w:val="20"/>
                <w:szCs w:val="20"/>
              </w:rPr>
              <w:t xml:space="preserve"> </w:t>
            </w:r>
            <w:r w:rsidRPr="00537112">
              <w:rPr>
                <w:rFonts w:cs="Verdana"/>
                <w:spacing w:val="-2"/>
                <w:sz w:val="20"/>
                <w:szCs w:val="20"/>
              </w:rPr>
              <w:t>I</w:t>
            </w:r>
            <w:r w:rsidRPr="00537112">
              <w:rPr>
                <w:rFonts w:cs="Verdana"/>
                <w:sz w:val="20"/>
                <w:szCs w:val="20"/>
              </w:rPr>
              <w:t>x</w:t>
            </w:r>
            <w:r w:rsidRPr="00537112">
              <w:rPr>
                <w:rFonts w:cs="Verdana"/>
                <w:spacing w:val="1"/>
                <w:sz w:val="20"/>
                <w:szCs w:val="20"/>
              </w:rPr>
              <w:t>p</w:t>
            </w:r>
            <w:r w:rsidRPr="00537112">
              <w:rPr>
                <w:rFonts w:cs="Verdana"/>
                <w:sz w:val="20"/>
                <w:szCs w:val="20"/>
              </w:rPr>
              <w:t>a</w:t>
            </w:r>
            <w:r w:rsidRPr="00537112">
              <w:rPr>
                <w:rFonts w:cs="Verdana"/>
                <w:spacing w:val="1"/>
                <w:sz w:val="20"/>
                <w:szCs w:val="20"/>
              </w:rPr>
              <w:t>n</w:t>
            </w:r>
            <w:r w:rsidRPr="00537112">
              <w:rPr>
                <w:rFonts w:cs="Verdana"/>
                <w:spacing w:val="-1"/>
                <w:sz w:val="20"/>
                <w:szCs w:val="20"/>
              </w:rPr>
              <w:t>co</w:t>
            </w:r>
            <w:r w:rsidRPr="00537112">
              <w:rPr>
                <w:rFonts w:cs="Verdana"/>
                <w:sz w:val="20"/>
                <w:szCs w:val="20"/>
              </w:rPr>
              <w:t>c</w:t>
            </w:r>
            <w:r w:rsidRPr="00537112">
              <w:rPr>
                <w:rFonts w:cs="Verdana"/>
                <w:spacing w:val="-10"/>
                <w:sz w:val="20"/>
                <w:szCs w:val="20"/>
              </w:rPr>
              <w:t xml:space="preserve"> </w:t>
            </w:r>
            <w:r w:rsidRPr="00537112">
              <w:rPr>
                <w:rFonts w:cs="Verdana"/>
                <w:sz w:val="20"/>
                <w:szCs w:val="20"/>
              </w:rPr>
              <w:t>y</w:t>
            </w:r>
            <w:r w:rsidRPr="00537112">
              <w:rPr>
                <w:rFonts w:cs="Verdana"/>
                <w:spacing w:val="-2"/>
                <w:sz w:val="20"/>
                <w:szCs w:val="20"/>
              </w:rPr>
              <w:t xml:space="preserve"> </w:t>
            </w:r>
            <w:r w:rsidRPr="00537112">
              <w:rPr>
                <w:rFonts w:cs="Verdana"/>
                <w:sz w:val="20"/>
                <w:szCs w:val="20"/>
              </w:rPr>
              <w:t>Da</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e</w:t>
            </w:r>
            <w:r w:rsidRPr="00537112">
              <w:rPr>
                <w:rFonts w:cs="Verdana"/>
                <w:sz w:val="20"/>
                <w:szCs w:val="20"/>
              </w:rPr>
              <w:t>l</w:t>
            </w:r>
            <w:r w:rsidRPr="00537112">
              <w:rPr>
                <w:rFonts w:cs="Verdana"/>
                <w:spacing w:val="-4"/>
                <w:sz w:val="20"/>
                <w:szCs w:val="20"/>
              </w:rPr>
              <w:t xml:space="preserve"> </w:t>
            </w:r>
            <w:r w:rsidRPr="00537112">
              <w:rPr>
                <w:rFonts w:cs="Verdana"/>
                <w:w w:val="99"/>
                <w:sz w:val="20"/>
                <w:szCs w:val="20"/>
              </w:rPr>
              <w:t>X</w:t>
            </w:r>
            <w:r w:rsidRPr="00537112">
              <w:rPr>
                <w:rFonts w:cs="Verdana"/>
                <w:spacing w:val="3"/>
                <w:w w:val="99"/>
                <w:sz w:val="20"/>
                <w:szCs w:val="20"/>
              </w:rPr>
              <w:t>i</w:t>
            </w:r>
            <w:r w:rsidRPr="00537112">
              <w:rPr>
                <w:rFonts w:cs="Verdana"/>
                <w:spacing w:val="1"/>
                <w:w w:val="99"/>
                <w:sz w:val="20"/>
                <w:szCs w:val="20"/>
              </w:rPr>
              <w:t>tumul</w:t>
            </w:r>
          </w:p>
          <w:p w:rsidR="00537112" w:rsidRPr="00537112" w:rsidRDefault="00537112" w:rsidP="00537112">
            <w:pPr>
              <w:autoSpaceDE w:val="0"/>
              <w:autoSpaceDN w:val="0"/>
              <w:spacing w:before="16" w:line="240" w:lineRule="auto"/>
              <w:ind w:right="2214"/>
              <w:jc w:val="center"/>
              <w:textAlignment w:val="auto"/>
              <w:rPr>
                <w:rFonts w:ascii="Times New Roman" w:hAnsi="Times New Roman"/>
              </w:rPr>
            </w:pPr>
            <w:r w:rsidRPr="00537112">
              <w:rPr>
                <w:rFonts w:cs="Verdana"/>
                <w:w w:val="99"/>
                <w:sz w:val="20"/>
                <w:szCs w:val="20"/>
              </w:rPr>
              <w:t>C</w:t>
            </w:r>
            <w:r w:rsidRPr="00537112">
              <w:rPr>
                <w:rFonts w:cs="Verdana"/>
                <w:spacing w:val="1"/>
                <w:w w:val="99"/>
                <w:sz w:val="20"/>
                <w:szCs w:val="20"/>
              </w:rPr>
              <w:t>u</w:t>
            </w:r>
            <w:r w:rsidRPr="00537112">
              <w:rPr>
                <w:rFonts w:cs="Verdana"/>
                <w:w w:val="99"/>
                <w:sz w:val="20"/>
                <w:szCs w:val="20"/>
              </w:rPr>
              <w:t>x</w:t>
            </w:r>
            <w:r w:rsidRPr="00537112">
              <w:rPr>
                <w:rFonts w:cs="Verdana"/>
                <w:spacing w:val="1"/>
                <w:w w:val="99"/>
                <w:sz w:val="20"/>
                <w:szCs w:val="20"/>
              </w:rPr>
              <w:t>um</w:t>
            </w:r>
          </w:p>
        </w:tc>
      </w:tr>
      <w:tr w:rsidR="00537112" w:rsidRPr="00537112" w:rsidTr="00630EEC">
        <w:trPr>
          <w:trHeight w:hRule="exact" w:val="494"/>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00" w:lineRule="exact"/>
              <w:jc w:val="left"/>
              <w:textAlignment w:val="auto"/>
              <w:rPr>
                <w:rFonts w:ascii="Times New Roman" w:hAnsi="Times New Roman"/>
                <w:sz w:val="10"/>
                <w:szCs w:val="10"/>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171</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9" w:lineRule="exact"/>
              <w:ind w:right="55"/>
              <w:jc w:val="center"/>
              <w:textAlignment w:val="auto"/>
              <w:rPr>
                <w:rFonts w:cs="Verdana"/>
                <w:sz w:val="20"/>
                <w:szCs w:val="20"/>
                <w:lang w:val="pt-BR"/>
              </w:rPr>
            </w:pPr>
            <w:r w:rsidRPr="00537112">
              <w:rPr>
                <w:rFonts w:cs="Verdana"/>
                <w:sz w:val="20"/>
                <w:szCs w:val="20"/>
                <w:lang w:val="pt-BR"/>
              </w:rPr>
              <w:t>P</w:t>
            </w:r>
            <w:r w:rsidRPr="00537112">
              <w:rPr>
                <w:rFonts w:cs="Verdana"/>
                <w:spacing w:val="-1"/>
                <w:sz w:val="20"/>
                <w:szCs w:val="20"/>
                <w:lang w:val="pt-BR"/>
              </w:rPr>
              <w:t>e</w:t>
            </w:r>
            <w:r w:rsidRPr="00537112">
              <w:rPr>
                <w:rFonts w:cs="Verdana"/>
                <w:spacing w:val="1"/>
                <w:sz w:val="20"/>
                <w:szCs w:val="20"/>
                <w:lang w:val="pt-BR"/>
              </w:rPr>
              <w:t>d</w:t>
            </w:r>
            <w:r w:rsidRPr="00537112">
              <w:rPr>
                <w:rFonts w:cs="Verdana"/>
                <w:spacing w:val="-1"/>
                <w:sz w:val="20"/>
                <w:szCs w:val="20"/>
                <w:lang w:val="pt-BR"/>
              </w:rPr>
              <w:t>r</w:t>
            </w:r>
            <w:r w:rsidRPr="00537112">
              <w:rPr>
                <w:rFonts w:cs="Verdana"/>
                <w:sz w:val="20"/>
                <w:szCs w:val="20"/>
                <w:lang w:val="pt-BR"/>
              </w:rPr>
              <w:t>o</w:t>
            </w:r>
            <w:r w:rsidRPr="00537112">
              <w:rPr>
                <w:rFonts w:cs="Verdana"/>
                <w:spacing w:val="-8"/>
                <w:sz w:val="20"/>
                <w:szCs w:val="20"/>
                <w:lang w:val="pt-BR"/>
              </w:rPr>
              <w:t xml:space="preserve"> </w:t>
            </w:r>
            <w:r w:rsidRPr="00537112">
              <w:rPr>
                <w:rFonts w:cs="Verdana"/>
                <w:spacing w:val="1"/>
                <w:sz w:val="20"/>
                <w:szCs w:val="20"/>
                <w:lang w:val="pt-BR"/>
              </w:rPr>
              <w:t>d</w:t>
            </w:r>
            <w:r w:rsidRPr="00537112">
              <w:rPr>
                <w:rFonts w:cs="Verdana"/>
                <w:sz w:val="20"/>
                <w:szCs w:val="20"/>
                <w:lang w:val="pt-BR"/>
              </w:rPr>
              <w:t>e</w:t>
            </w:r>
            <w:r w:rsidRPr="00537112">
              <w:rPr>
                <w:rFonts w:cs="Verdana"/>
                <w:spacing w:val="-4"/>
                <w:sz w:val="20"/>
                <w:szCs w:val="20"/>
                <w:lang w:val="pt-BR"/>
              </w:rPr>
              <w:t xml:space="preserve"> </w:t>
            </w:r>
            <w:r w:rsidRPr="00537112">
              <w:rPr>
                <w:rFonts w:cs="Verdana"/>
                <w:sz w:val="20"/>
                <w:szCs w:val="20"/>
                <w:lang w:val="pt-BR"/>
              </w:rPr>
              <w:t>Paz</w:t>
            </w:r>
            <w:r w:rsidRPr="00537112">
              <w:rPr>
                <w:rFonts w:cs="Verdana"/>
                <w:spacing w:val="-3"/>
                <w:sz w:val="20"/>
                <w:szCs w:val="20"/>
                <w:lang w:val="pt-BR"/>
              </w:rPr>
              <w:t xml:space="preserve"> </w:t>
            </w:r>
            <w:r w:rsidRPr="00537112">
              <w:rPr>
                <w:rFonts w:cs="Verdana"/>
                <w:sz w:val="20"/>
                <w:szCs w:val="20"/>
                <w:lang w:val="pt-BR"/>
              </w:rPr>
              <w:t>C</w:t>
            </w:r>
            <w:r w:rsidRPr="00537112">
              <w:rPr>
                <w:rFonts w:cs="Verdana"/>
                <w:spacing w:val="3"/>
                <w:sz w:val="20"/>
                <w:szCs w:val="20"/>
                <w:lang w:val="pt-BR"/>
              </w:rPr>
              <w:t>i</w:t>
            </w:r>
            <w:r w:rsidRPr="00537112">
              <w:rPr>
                <w:rFonts w:cs="Verdana"/>
                <w:spacing w:val="1"/>
                <w:sz w:val="20"/>
                <w:szCs w:val="20"/>
                <w:lang w:val="pt-BR"/>
              </w:rPr>
              <w:t>p</w:t>
            </w:r>
            <w:r w:rsidRPr="00537112">
              <w:rPr>
                <w:rFonts w:cs="Verdana"/>
                <w:spacing w:val="-1"/>
                <w:sz w:val="20"/>
                <w:szCs w:val="20"/>
                <w:lang w:val="pt-BR"/>
              </w:rPr>
              <w:t>r</w:t>
            </w:r>
            <w:r w:rsidRPr="00537112">
              <w:rPr>
                <w:rFonts w:cs="Verdana"/>
                <w:spacing w:val="3"/>
                <w:sz w:val="20"/>
                <w:szCs w:val="20"/>
                <w:lang w:val="pt-BR"/>
              </w:rPr>
              <w:t>i</w:t>
            </w:r>
            <w:r w:rsidRPr="00537112">
              <w:rPr>
                <w:rFonts w:cs="Verdana"/>
                <w:sz w:val="20"/>
                <w:szCs w:val="20"/>
                <w:lang w:val="pt-BR"/>
              </w:rPr>
              <w:t>an</w:t>
            </w:r>
            <w:r w:rsidRPr="00537112">
              <w:rPr>
                <w:rFonts w:cs="Verdana"/>
                <w:spacing w:val="-7"/>
                <w:sz w:val="20"/>
                <w:szCs w:val="20"/>
                <w:lang w:val="pt-BR"/>
              </w:rPr>
              <w:t xml:space="preserve"> </w:t>
            </w:r>
            <w:r w:rsidRPr="00537112">
              <w:rPr>
                <w:rFonts w:cs="Verdana"/>
                <w:spacing w:val="1"/>
                <w:sz w:val="20"/>
                <w:szCs w:val="20"/>
                <w:lang w:val="pt-BR"/>
              </w:rPr>
              <w:t>(</w:t>
            </w:r>
            <w:r w:rsidRPr="00537112">
              <w:rPr>
                <w:rFonts w:cs="Verdana"/>
                <w:sz w:val="20"/>
                <w:szCs w:val="20"/>
                <w:lang w:val="pt-BR"/>
              </w:rPr>
              <w:t>o</w:t>
            </w:r>
            <w:r w:rsidRPr="00537112">
              <w:rPr>
                <w:rFonts w:cs="Verdana"/>
                <w:spacing w:val="-4"/>
                <w:sz w:val="20"/>
                <w:szCs w:val="20"/>
                <w:lang w:val="pt-BR"/>
              </w:rPr>
              <w:t xml:space="preserve"> </w:t>
            </w:r>
            <w:r w:rsidRPr="00537112">
              <w:rPr>
                <w:rFonts w:cs="Verdana"/>
                <w:sz w:val="20"/>
                <w:szCs w:val="20"/>
                <w:lang w:val="pt-BR"/>
              </w:rPr>
              <w:t>P</w:t>
            </w:r>
            <w:r w:rsidRPr="00537112">
              <w:rPr>
                <w:rFonts w:cs="Verdana"/>
                <w:spacing w:val="-1"/>
                <w:sz w:val="20"/>
                <w:szCs w:val="20"/>
                <w:lang w:val="pt-BR"/>
              </w:rPr>
              <w:t>e</w:t>
            </w:r>
            <w:r w:rsidRPr="00537112">
              <w:rPr>
                <w:rFonts w:cs="Verdana"/>
                <w:spacing w:val="1"/>
                <w:sz w:val="20"/>
                <w:szCs w:val="20"/>
                <w:lang w:val="pt-BR"/>
              </w:rPr>
              <w:t>d</w:t>
            </w:r>
            <w:r w:rsidRPr="00537112">
              <w:rPr>
                <w:rFonts w:cs="Verdana"/>
                <w:spacing w:val="-1"/>
                <w:sz w:val="20"/>
                <w:szCs w:val="20"/>
                <w:lang w:val="pt-BR"/>
              </w:rPr>
              <w:t>r</w:t>
            </w:r>
            <w:r w:rsidRPr="00537112">
              <w:rPr>
                <w:rFonts w:cs="Verdana"/>
                <w:sz w:val="20"/>
                <w:szCs w:val="20"/>
                <w:lang w:val="pt-BR"/>
              </w:rPr>
              <w:t>o</w:t>
            </w:r>
            <w:r w:rsidRPr="00537112">
              <w:rPr>
                <w:rFonts w:cs="Verdana"/>
                <w:spacing w:val="-8"/>
                <w:sz w:val="20"/>
                <w:szCs w:val="20"/>
                <w:lang w:val="pt-BR"/>
              </w:rPr>
              <w:t xml:space="preserve"> </w:t>
            </w:r>
            <w:r w:rsidRPr="00537112">
              <w:rPr>
                <w:rFonts w:cs="Verdana"/>
                <w:spacing w:val="1"/>
                <w:sz w:val="20"/>
                <w:szCs w:val="20"/>
                <w:lang w:val="pt-BR"/>
              </w:rPr>
              <w:t>d</w:t>
            </w:r>
            <w:r w:rsidRPr="00537112">
              <w:rPr>
                <w:rFonts w:cs="Verdana"/>
                <w:sz w:val="20"/>
                <w:szCs w:val="20"/>
                <w:lang w:val="pt-BR"/>
              </w:rPr>
              <w:t>e</w:t>
            </w:r>
            <w:r w:rsidRPr="00537112">
              <w:rPr>
                <w:rFonts w:cs="Verdana"/>
                <w:spacing w:val="-4"/>
                <w:sz w:val="20"/>
                <w:szCs w:val="20"/>
                <w:lang w:val="pt-BR"/>
              </w:rPr>
              <w:t xml:space="preserve"> </w:t>
            </w:r>
            <w:r w:rsidRPr="00537112">
              <w:rPr>
                <w:rFonts w:cs="Verdana"/>
                <w:w w:val="99"/>
                <w:sz w:val="20"/>
                <w:szCs w:val="20"/>
                <w:lang w:val="pt-BR"/>
              </w:rPr>
              <w:t>Paz</w:t>
            </w:r>
          </w:p>
          <w:p w:rsidR="00537112" w:rsidRPr="00537112" w:rsidRDefault="00537112" w:rsidP="00537112">
            <w:pPr>
              <w:autoSpaceDE w:val="0"/>
              <w:autoSpaceDN w:val="0"/>
              <w:spacing w:before="16" w:line="239" w:lineRule="exact"/>
              <w:ind w:right="1450"/>
              <w:jc w:val="center"/>
              <w:textAlignment w:val="auto"/>
              <w:rPr>
                <w:rFonts w:ascii="Times New Roman" w:hAnsi="Times New Roman"/>
              </w:rPr>
            </w:pPr>
            <w:r w:rsidRPr="00537112">
              <w:rPr>
                <w:rFonts w:cs="Verdana"/>
                <w:w w:val="99"/>
                <w:position w:val="-1"/>
                <w:sz w:val="20"/>
                <w:szCs w:val="20"/>
              </w:rPr>
              <w:t>C</w:t>
            </w:r>
            <w:r w:rsidRPr="00537112">
              <w:rPr>
                <w:rFonts w:cs="Verdana"/>
                <w:spacing w:val="3"/>
                <w:w w:val="99"/>
                <w:position w:val="-1"/>
                <w:sz w:val="20"/>
                <w:szCs w:val="20"/>
              </w:rPr>
              <w:t>i</w:t>
            </w:r>
            <w:r w:rsidRPr="00537112">
              <w:rPr>
                <w:rFonts w:cs="Verdana"/>
                <w:spacing w:val="1"/>
                <w:w w:val="99"/>
                <w:position w:val="-1"/>
                <w:sz w:val="20"/>
                <w:szCs w:val="20"/>
              </w:rPr>
              <w:t>p</w:t>
            </w:r>
            <w:r w:rsidRPr="00537112">
              <w:rPr>
                <w:rFonts w:cs="Verdana"/>
                <w:spacing w:val="-1"/>
                <w:w w:val="99"/>
                <w:position w:val="-1"/>
                <w:sz w:val="20"/>
                <w:szCs w:val="20"/>
              </w:rPr>
              <w:t>r</w:t>
            </w:r>
            <w:r w:rsidRPr="00537112">
              <w:rPr>
                <w:rFonts w:cs="Verdana"/>
                <w:spacing w:val="3"/>
                <w:w w:val="99"/>
                <w:position w:val="-1"/>
                <w:sz w:val="20"/>
                <w:szCs w:val="20"/>
              </w:rPr>
              <w:t>i</w:t>
            </w:r>
            <w:r w:rsidRPr="00537112">
              <w:rPr>
                <w:rFonts w:cs="Verdana"/>
                <w:w w:val="99"/>
                <w:position w:val="-1"/>
                <w:sz w:val="20"/>
                <w:szCs w:val="20"/>
              </w:rPr>
              <w:t>a</w:t>
            </w:r>
            <w:r w:rsidRPr="00537112">
              <w:rPr>
                <w:rFonts w:cs="Verdana"/>
                <w:spacing w:val="1"/>
                <w:w w:val="99"/>
                <w:position w:val="-1"/>
                <w:sz w:val="20"/>
                <w:szCs w:val="20"/>
              </w:rPr>
              <w:t>n</w:t>
            </w:r>
            <w:r w:rsidRPr="00537112">
              <w:rPr>
                <w:rFonts w:cs="Verdana"/>
                <w:spacing w:val="-1"/>
                <w:w w:val="99"/>
                <w:position w:val="-1"/>
                <w:sz w:val="20"/>
                <w:szCs w:val="20"/>
              </w:rPr>
              <w:t>o</w:t>
            </w:r>
            <w:r w:rsidRPr="00537112">
              <w:rPr>
                <w:rFonts w:cs="Verdana"/>
                <w:w w:val="99"/>
                <w:position w:val="-1"/>
                <w:sz w:val="20"/>
                <w:szCs w:val="20"/>
              </w:rPr>
              <w:t>)</w:t>
            </w:r>
          </w:p>
        </w:tc>
        <w:tc>
          <w:tcPr>
            <w:tcW w:w="5268" w:type="dxa"/>
            <w:vMerge w:val="restart"/>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1" w:line="180" w:lineRule="exact"/>
              <w:jc w:val="left"/>
              <w:textAlignment w:val="auto"/>
              <w:rPr>
                <w:rFonts w:ascii="Times New Roman" w:hAnsi="Times New Roman"/>
                <w:sz w:val="18"/>
                <w:szCs w:val="18"/>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line="255" w:lineRule="auto"/>
              <w:ind w:right="163"/>
              <w:jc w:val="left"/>
              <w:textAlignment w:val="auto"/>
              <w:rPr>
                <w:rFonts w:ascii="Times New Roman" w:hAnsi="Times New Roman"/>
              </w:rPr>
            </w:pPr>
            <w:r w:rsidRPr="00537112">
              <w:rPr>
                <w:rFonts w:cs="Verdana"/>
                <w:b/>
                <w:bCs/>
                <w:sz w:val="20"/>
                <w:szCs w:val="20"/>
              </w:rPr>
              <w:t>LA</w:t>
            </w:r>
            <w:r w:rsidRPr="00537112">
              <w:rPr>
                <w:rFonts w:cs="Verdana"/>
                <w:b/>
                <w:bCs/>
                <w:spacing w:val="-5"/>
                <w:sz w:val="20"/>
                <w:szCs w:val="20"/>
              </w:rPr>
              <w:t xml:space="preserve"> </w:t>
            </w:r>
            <w:r w:rsidRPr="00537112">
              <w:rPr>
                <w:rFonts w:cs="Verdana"/>
                <w:b/>
                <w:bCs/>
                <w:sz w:val="20"/>
                <w:szCs w:val="20"/>
              </w:rPr>
              <w:t>C</w:t>
            </w:r>
            <w:r w:rsidRPr="00537112">
              <w:rPr>
                <w:rFonts w:cs="Verdana"/>
                <w:b/>
                <w:bCs/>
                <w:spacing w:val="1"/>
                <w:sz w:val="20"/>
                <w:szCs w:val="20"/>
              </w:rPr>
              <w:t>O</w:t>
            </w:r>
            <w:r w:rsidRPr="00537112">
              <w:rPr>
                <w:rFonts w:cs="Verdana"/>
                <w:b/>
                <w:bCs/>
                <w:sz w:val="20"/>
                <w:szCs w:val="20"/>
              </w:rPr>
              <w:t>R</w:t>
            </w:r>
            <w:r w:rsidRPr="00537112">
              <w:rPr>
                <w:rFonts w:cs="Verdana"/>
                <w:b/>
                <w:bCs/>
                <w:spacing w:val="1"/>
                <w:sz w:val="20"/>
                <w:szCs w:val="20"/>
              </w:rPr>
              <w:t>T</w:t>
            </w:r>
            <w:r w:rsidRPr="00537112">
              <w:rPr>
                <w:rFonts w:cs="Verdana"/>
                <w:b/>
                <w:bCs/>
                <w:sz w:val="20"/>
                <w:szCs w:val="20"/>
              </w:rPr>
              <w:t>E</w:t>
            </w:r>
            <w:r w:rsidRPr="00537112">
              <w:rPr>
                <w:rFonts w:cs="Verdana"/>
                <w:b/>
                <w:bCs/>
                <w:spacing w:val="-7"/>
                <w:sz w:val="20"/>
                <w:szCs w:val="20"/>
              </w:rPr>
              <w:t xml:space="preserve"> </w:t>
            </w:r>
            <w:r w:rsidRPr="00537112">
              <w:rPr>
                <w:rFonts w:cs="Verdana"/>
                <w:b/>
                <w:bCs/>
                <w:spacing w:val="-1"/>
                <w:sz w:val="20"/>
                <w:szCs w:val="20"/>
              </w:rPr>
              <w:t>N</w:t>
            </w:r>
            <w:r w:rsidRPr="00537112">
              <w:rPr>
                <w:rFonts w:cs="Verdana"/>
                <w:b/>
                <w:bCs/>
                <w:sz w:val="20"/>
                <w:szCs w:val="20"/>
              </w:rPr>
              <w:t>O</w:t>
            </w:r>
            <w:r w:rsidRPr="00537112">
              <w:rPr>
                <w:rFonts w:cs="Verdana"/>
                <w:b/>
                <w:bCs/>
                <w:spacing w:val="-3"/>
                <w:sz w:val="20"/>
                <w:szCs w:val="20"/>
              </w:rPr>
              <w:t xml:space="preserve"> </w:t>
            </w:r>
            <w:r w:rsidRPr="00537112">
              <w:rPr>
                <w:rFonts w:cs="Verdana"/>
                <w:b/>
                <w:bCs/>
                <w:spacing w:val="1"/>
                <w:sz w:val="20"/>
                <w:szCs w:val="20"/>
              </w:rPr>
              <w:t>T</w:t>
            </w:r>
            <w:r w:rsidRPr="00537112">
              <w:rPr>
                <w:rFonts w:cs="Verdana"/>
                <w:b/>
                <w:bCs/>
                <w:spacing w:val="-1"/>
                <w:sz w:val="20"/>
                <w:szCs w:val="20"/>
              </w:rPr>
              <w:t>I</w:t>
            </w:r>
            <w:r w:rsidRPr="00537112">
              <w:rPr>
                <w:rFonts w:cs="Verdana"/>
                <w:b/>
                <w:bCs/>
                <w:spacing w:val="1"/>
                <w:sz w:val="20"/>
                <w:szCs w:val="20"/>
              </w:rPr>
              <w:t>E</w:t>
            </w:r>
            <w:r w:rsidRPr="00537112">
              <w:rPr>
                <w:rFonts w:cs="Verdana"/>
                <w:b/>
                <w:bCs/>
                <w:spacing w:val="-1"/>
                <w:sz w:val="20"/>
                <w:szCs w:val="20"/>
              </w:rPr>
              <w:t>N</w:t>
            </w:r>
            <w:r w:rsidRPr="00537112">
              <w:rPr>
                <w:rFonts w:cs="Verdana"/>
                <w:b/>
                <w:bCs/>
                <w:sz w:val="20"/>
                <w:szCs w:val="20"/>
              </w:rPr>
              <w:t>E</w:t>
            </w:r>
            <w:r w:rsidRPr="00537112">
              <w:rPr>
                <w:rFonts w:cs="Verdana"/>
                <w:b/>
                <w:bCs/>
                <w:spacing w:val="-7"/>
                <w:sz w:val="20"/>
                <w:szCs w:val="20"/>
              </w:rPr>
              <w:t xml:space="preserve"> </w:t>
            </w:r>
            <w:r w:rsidRPr="00537112">
              <w:rPr>
                <w:rFonts w:cs="Verdana"/>
                <w:b/>
                <w:bCs/>
                <w:spacing w:val="-1"/>
                <w:sz w:val="20"/>
                <w:szCs w:val="20"/>
              </w:rPr>
              <w:t>IN</w:t>
            </w:r>
            <w:r w:rsidRPr="00537112">
              <w:rPr>
                <w:rFonts w:cs="Verdana"/>
                <w:b/>
                <w:bCs/>
                <w:sz w:val="20"/>
                <w:szCs w:val="20"/>
              </w:rPr>
              <w:t>F</w:t>
            </w:r>
            <w:r w:rsidRPr="00537112">
              <w:rPr>
                <w:rFonts w:cs="Verdana"/>
                <w:b/>
                <w:bCs/>
                <w:spacing w:val="1"/>
                <w:sz w:val="20"/>
                <w:szCs w:val="20"/>
              </w:rPr>
              <w:t>O</w:t>
            </w:r>
            <w:r w:rsidRPr="00537112">
              <w:rPr>
                <w:rFonts w:cs="Verdana"/>
                <w:b/>
                <w:bCs/>
                <w:sz w:val="20"/>
                <w:szCs w:val="20"/>
              </w:rPr>
              <w:t>R</w:t>
            </w:r>
            <w:r w:rsidRPr="00537112">
              <w:rPr>
                <w:rFonts w:cs="Verdana"/>
                <w:b/>
                <w:bCs/>
                <w:spacing w:val="1"/>
                <w:sz w:val="20"/>
                <w:szCs w:val="20"/>
              </w:rPr>
              <w:t>M</w:t>
            </w:r>
            <w:r w:rsidRPr="00537112">
              <w:rPr>
                <w:rFonts w:cs="Verdana"/>
                <w:b/>
                <w:bCs/>
                <w:spacing w:val="-1"/>
                <w:sz w:val="20"/>
                <w:szCs w:val="20"/>
              </w:rPr>
              <w:t>A</w:t>
            </w:r>
            <w:r w:rsidRPr="00537112">
              <w:rPr>
                <w:rFonts w:cs="Verdana"/>
                <w:b/>
                <w:bCs/>
                <w:sz w:val="20"/>
                <w:szCs w:val="20"/>
              </w:rPr>
              <w:t>C</w:t>
            </w:r>
            <w:r w:rsidRPr="00537112">
              <w:rPr>
                <w:rFonts w:cs="Verdana"/>
                <w:b/>
                <w:bCs/>
                <w:spacing w:val="-1"/>
                <w:sz w:val="20"/>
                <w:szCs w:val="20"/>
              </w:rPr>
              <w:t>I</w:t>
            </w:r>
            <w:r w:rsidRPr="00537112">
              <w:rPr>
                <w:rFonts w:cs="Verdana"/>
                <w:b/>
                <w:bCs/>
                <w:spacing w:val="1"/>
                <w:sz w:val="20"/>
                <w:szCs w:val="20"/>
              </w:rPr>
              <w:t>Ó</w:t>
            </w:r>
            <w:r w:rsidRPr="00537112">
              <w:rPr>
                <w:rFonts w:cs="Verdana"/>
                <w:b/>
                <w:bCs/>
                <w:sz w:val="20"/>
                <w:szCs w:val="20"/>
              </w:rPr>
              <w:t>N</w:t>
            </w:r>
            <w:r w:rsidRPr="00537112">
              <w:rPr>
                <w:rFonts w:cs="Verdana"/>
                <w:b/>
                <w:bCs/>
                <w:spacing w:val="-19"/>
                <w:sz w:val="20"/>
                <w:szCs w:val="20"/>
              </w:rPr>
              <w:t xml:space="preserve"> </w:t>
            </w:r>
            <w:r w:rsidRPr="00537112">
              <w:rPr>
                <w:rFonts w:cs="Verdana"/>
                <w:b/>
                <w:bCs/>
                <w:sz w:val="20"/>
                <w:szCs w:val="20"/>
              </w:rPr>
              <w:t>S</w:t>
            </w:r>
            <w:r w:rsidRPr="00537112">
              <w:rPr>
                <w:rFonts w:cs="Verdana"/>
                <w:b/>
                <w:bCs/>
                <w:spacing w:val="1"/>
                <w:sz w:val="20"/>
                <w:szCs w:val="20"/>
              </w:rPr>
              <w:t>O</w:t>
            </w:r>
            <w:r w:rsidRPr="00537112">
              <w:rPr>
                <w:rFonts w:cs="Verdana"/>
                <w:b/>
                <w:bCs/>
                <w:spacing w:val="-1"/>
                <w:sz w:val="20"/>
                <w:szCs w:val="20"/>
              </w:rPr>
              <w:t>B</w:t>
            </w:r>
            <w:r w:rsidRPr="00537112">
              <w:rPr>
                <w:rFonts w:cs="Verdana"/>
                <w:b/>
                <w:bCs/>
                <w:sz w:val="20"/>
                <w:szCs w:val="20"/>
              </w:rPr>
              <w:t>RE S</w:t>
            </w:r>
            <w:r w:rsidRPr="00537112">
              <w:rPr>
                <w:rFonts w:cs="Verdana"/>
                <w:b/>
                <w:bCs/>
                <w:spacing w:val="-1"/>
                <w:sz w:val="20"/>
                <w:szCs w:val="20"/>
              </w:rPr>
              <w:t>U</w:t>
            </w:r>
            <w:r w:rsidRPr="00537112">
              <w:rPr>
                <w:rFonts w:cs="Verdana"/>
                <w:b/>
                <w:bCs/>
                <w:sz w:val="20"/>
                <w:szCs w:val="20"/>
              </w:rPr>
              <w:t>S</w:t>
            </w:r>
            <w:r w:rsidRPr="00537112">
              <w:rPr>
                <w:rFonts w:cs="Verdana"/>
                <w:b/>
                <w:bCs/>
                <w:spacing w:val="-5"/>
                <w:sz w:val="20"/>
                <w:szCs w:val="20"/>
              </w:rPr>
              <w:t xml:space="preserve"> </w:t>
            </w:r>
            <w:r w:rsidRPr="00537112">
              <w:rPr>
                <w:rFonts w:cs="Verdana"/>
                <w:b/>
                <w:bCs/>
                <w:sz w:val="20"/>
                <w:szCs w:val="20"/>
              </w:rPr>
              <w:t>F</w:t>
            </w:r>
            <w:r w:rsidRPr="00537112">
              <w:rPr>
                <w:rFonts w:cs="Verdana"/>
                <w:b/>
                <w:bCs/>
                <w:spacing w:val="-1"/>
                <w:sz w:val="20"/>
                <w:szCs w:val="20"/>
              </w:rPr>
              <w:t>A</w:t>
            </w:r>
            <w:r w:rsidRPr="00537112">
              <w:rPr>
                <w:rFonts w:cs="Verdana"/>
                <w:b/>
                <w:bCs/>
                <w:spacing w:val="1"/>
                <w:sz w:val="20"/>
                <w:szCs w:val="20"/>
              </w:rPr>
              <w:t>M</w:t>
            </w:r>
            <w:r w:rsidRPr="00537112">
              <w:rPr>
                <w:rFonts w:cs="Verdana"/>
                <w:b/>
                <w:bCs/>
                <w:spacing w:val="-1"/>
                <w:sz w:val="20"/>
                <w:szCs w:val="20"/>
              </w:rPr>
              <w:t>I</w:t>
            </w:r>
            <w:r w:rsidRPr="00537112">
              <w:rPr>
                <w:rFonts w:cs="Verdana"/>
                <w:b/>
                <w:bCs/>
                <w:sz w:val="20"/>
                <w:szCs w:val="20"/>
              </w:rPr>
              <w:t>L</w:t>
            </w:r>
            <w:r w:rsidRPr="00537112">
              <w:rPr>
                <w:rFonts w:cs="Verdana"/>
                <w:b/>
                <w:bCs/>
                <w:spacing w:val="-1"/>
                <w:sz w:val="20"/>
                <w:szCs w:val="20"/>
              </w:rPr>
              <w:t>IA</w:t>
            </w:r>
            <w:r w:rsidRPr="00537112">
              <w:rPr>
                <w:rFonts w:cs="Verdana"/>
                <w:b/>
                <w:bCs/>
                <w:sz w:val="20"/>
                <w:szCs w:val="20"/>
              </w:rPr>
              <w:t>R</w:t>
            </w:r>
            <w:r w:rsidRPr="00537112">
              <w:rPr>
                <w:rFonts w:cs="Verdana"/>
                <w:b/>
                <w:bCs/>
                <w:spacing w:val="1"/>
                <w:sz w:val="20"/>
                <w:szCs w:val="20"/>
              </w:rPr>
              <w:t>E</w:t>
            </w:r>
            <w:r w:rsidRPr="00537112">
              <w:rPr>
                <w:rFonts w:cs="Verdana"/>
                <w:b/>
                <w:bCs/>
                <w:sz w:val="20"/>
                <w:szCs w:val="20"/>
              </w:rPr>
              <w:t>S</w:t>
            </w: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172</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co</w:t>
            </w:r>
            <w:r w:rsidRPr="00537112">
              <w:rPr>
                <w:rFonts w:cs="Verdana"/>
                <w:spacing w:val="1"/>
                <w:position w:val="-1"/>
                <w:sz w:val="20"/>
                <w:szCs w:val="20"/>
              </w:rPr>
              <w:t>p</w:t>
            </w:r>
            <w:r w:rsidRPr="00537112">
              <w:rPr>
                <w:rFonts w:cs="Verdana"/>
                <w:position w:val="-1"/>
                <w:sz w:val="20"/>
                <w:szCs w:val="20"/>
              </w:rPr>
              <w:t>al</w:t>
            </w:r>
          </w:p>
        </w:tc>
        <w:tc>
          <w:tcPr>
            <w:tcW w:w="526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173</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B</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t</w:t>
            </w:r>
            <w:r w:rsidRPr="00537112">
              <w:rPr>
                <w:rFonts w:cs="Verdana"/>
                <w:spacing w:val="-1"/>
                <w:position w:val="-1"/>
                <w:sz w:val="20"/>
                <w:szCs w:val="20"/>
              </w:rPr>
              <w:t>r</w:t>
            </w:r>
            <w:r w:rsidRPr="00537112">
              <w:rPr>
                <w:rFonts w:cs="Verdana"/>
                <w:position w:val="-1"/>
                <w:sz w:val="20"/>
                <w:szCs w:val="20"/>
              </w:rPr>
              <w:t>an</w:t>
            </w:r>
            <w:r w:rsidRPr="00537112">
              <w:rPr>
                <w:rFonts w:cs="Verdana"/>
                <w:spacing w:val="-7"/>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z</w:t>
            </w:r>
            <w:r w:rsidRPr="00537112">
              <w:rPr>
                <w:rFonts w:cs="Verdana"/>
                <w:position w:val="-1"/>
                <w:sz w:val="20"/>
                <w:szCs w:val="20"/>
              </w:rPr>
              <w:t>a</w:t>
            </w:r>
            <w:r w:rsidRPr="00537112">
              <w:rPr>
                <w:rFonts w:cs="Verdana"/>
                <w:spacing w:val="1"/>
                <w:position w:val="-1"/>
                <w:sz w:val="20"/>
                <w:szCs w:val="20"/>
              </w:rPr>
              <w:t>gu</w:t>
            </w:r>
            <w:r w:rsidRPr="00537112">
              <w:rPr>
                <w:rFonts w:cs="Verdana"/>
                <w:spacing w:val="3"/>
                <w:position w:val="-1"/>
                <w:sz w:val="20"/>
                <w:szCs w:val="20"/>
              </w:rPr>
              <w:t>i</w:t>
            </w:r>
            <w:r w:rsidRPr="00537112">
              <w:rPr>
                <w:rFonts w:cs="Verdana"/>
                <w:spacing w:val="-1"/>
                <w:position w:val="-1"/>
                <w:sz w:val="20"/>
                <w:szCs w:val="20"/>
              </w:rPr>
              <w:t>rre</w:t>
            </w:r>
          </w:p>
        </w:tc>
        <w:tc>
          <w:tcPr>
            <w:tcW w:w="526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174</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c>
          <w:tcPr>
            <w:tcW w:w="526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175</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p</w:t>
            </w:r>
            <w:r w:rsidRPr="00537112">
              <w:rPr>
                <w:rFonts w:cs="Verdana"/>
                <w:position w:val="-1"/>
                <w:sz w:val="20"/>
                <w:szCs w:val="20"/>
              </w:rPr>
              <w:t>e</w:t>
            </w:r>
            <w:r w:rsidRPr="00537112">
              <w:rPr>
                <w:rFonts w:cs="Verdana"/>
                <w:spacing w:val="-8"/>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c>
          <w:tcPr>
            <w:tcW w:w="526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176</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ng</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c>
          <w:tcPr>
            <w:tcW w:w="526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r>
      <w:tr w:rsidR="00537112" w:rsidRPr="00537112" w:rsidTr="00630EEC">
        <w:trPr>
          <w:trHeight w:hRule="exact" w:val="494"/>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177</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Pa</w:t>
            </w:r>
            <w:r w:rsidRPr="00537112">
              <w:rPr>
                <w:rFonts w:cs="Verdana"/>
                <w:spacing w:val="1"/>
                <w:sz w:val="20"/>
                <w:szCs w:val="20"/>
              </w:rPr>
              <w:t>t</w:t>
            </w:r>
            <w:r w:rsidRPr="00537112">
              <w:rPr>
                <w:rFonts w:cs="Verdana"/>
                <w:spacing w:val="-1"/>
                <w:sz w:val="20"/>
                <w:szCs w:val="20"/>
              </w:rPr>
              <w:t>r</w:t>
            </w:r>
            <w:r w:rsidRPr="00537112">
              <w:rPr>
                <w:rFonts w:cs="Verdana"/>
                <w:spacing w:val="3"/>
                <w:sz w:val="20"/>
                <w:szCs w:val="20"/>
              </w:rPr>
              <w:t>i</w:t>
            </w:r>
            <w:r w:rsidRPr="00537112">
              <w:rPr>
                <w:rFonts w:cs="Verdana"/>
                <w:spacing w:val="-1"/>
                <w:sz w:val="20"/>
                <w:szCs w:val="20"/>
              </w:rPr>
              <w:t>c</w:t>
            </w:r>
            <w:r w:rsidRPr="00537112">
              <w:rPr>
                <w:rFonts w:cs="Verdana"/>
                <w:spacing w:val="3"/>
                <w:sz w:val="20"/>
                <w:szCs w:val="20"/>
              </w:rPr>
              <w:t>i</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á</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r w:rsidRPr="00537112">
              <w:rPr>
                <w:rFonts w:cs="Verdana"/>
                <w:spacing w:val="-9"/>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c>
          <w:tcPr>
            <w:tcW w:w="526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auto"/>
              <w:ind w:right="-20"/>
              <w:jc w:val="left"/>
              <w:textAlignment w:val="auto"/>
              <w:rPr>
                <w:rFonts w:ascii="Times New Roman" w:hAnsi="Times New Roman"/>
              </w:rPr>
            </w:pP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178</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as</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c>
          <w:tcPr>
            <w:tcW w:w="526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179</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c</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c>
          <w:tcPr>
            <w:tcW w:w="526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180</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ng</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c>
          <w:tcPr>
            <w:tcW w:w="526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181</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p>
        </w:tc>
        <w:tc>
          <w:tcPr>
            <w:tcW w:w="526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182</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p>
        </w:tc>
        <w:tc>
          <w:tcPr>
            <w:tcW w:w="526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r>
      <w:tr w:rsidR="00537112" w:rsidRPr="00537112" w:rsidTr="00630EEC">
        <w:trPr>
          <w:trHeight w:hRule="exact" w:val="247"/>
        </w:trPr>
        <w:tc>
          <w:tcPr>
            <w:tcW w:w="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183</w:t>
            </w:r>
          </w:p>
        </w:tc>
        <w:tc>
          <w:tcPr>
            <w:tcW w:w="3958"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Lore</w:t>
            </w:r>
            <w:r w:rsidRPr="00537112">
              <w:rPr>
                <w:rFonts w:cs="Verdana"/>
                <w:spacing w:val="1"/>
                <w:position w:val="-1"/>
                <w:sz w:val="20"/>
                <w:szCs w:val="20"/>
              </w:rPr>
              <w:t>nz</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c>
          <w:tcPr>
            <w:tcW w:w="5268" w:type="dxa"/>
            <w:vMerge/>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pgSz w:w="12260" w:h="15840"/>
          <w:pgMar w:top="760" w:right="900" w:bottom="280" w:left="900" w:header="493" w:footer="0" w:gutter="0"/>
          <w:cols w:space="720"/>
          <w:noEndnote/>
        </w:sect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9" w:line="80" w:lineRule="exact"/>
        <w:jc w:val="left"/>
        <w:textAlignment w:val="auto"/>
        <w:rPr>
          <w:rFonts w:ascii="Arial" w:hAnsi="Arial" w:cs="Arial"/>
          <w:sz w:val="8"/>
          <w:szCs w:val="8"/>
        </w:rPr>
      </w:pPr>
    </w:p>
    <w:tbl>
      <w:tblPr>
        <w:tblW w:w="0" w:type="auto"/>
        <w:tblInd w:w="113" w:type="dxa"/>
        <w:tblLayout w:type="fixed"/>
        <w:tblCellMar>
          <w:left w:w="0" w:type="dxa"/>
          <w:right w:w="0" w:type="dxa"/>
        </w:tblCellMar>
        <w:tblLook w:val="0000" w:firstRow="0" w:lastRow="0" w:firstColumn="0" w:lastColumn="0" w:noHBand="0" w:noVBand="0"/>
      </w:tblPr>
      <w:tblGrid>
        <w:gridCol w:w="569"/>
        <w:gridCol w:w="3706"/>
        <w:gridCol w:w="583"/>
        <w:gridCol w:w="3991"/>
      </w:tblGrid>
      <w:tr w:rsidR="00537112" w:rsidRPr="00537112" w:rsidTr="00630EEC">
        <w:trPr>
          <w:trHeight w:hRule="exact" w:val="466"/>
        </w:trPr>
        <w:tc>
          <w:tcPr>
            <w:tcW w:w="8849" w:type="dxa"/>
            <w:gridSpan w:val="4"/>
            <w:tcBorders>
              <w:top w:val="single" w:sz="16" w:space="0" w:color="000000"/>
              <w:left w:val="single" w:sz="16" w:space="0" w:color="000000"/>
              <w:bottom w:val="single" w:sz="16" w:space="0" w:color="000000"/>
              <w:right w:val="single" w:sz="16" w:space="0" w:color="000000"/>
            </w:tcBorders>
            <w:shd w:val="clear" w:color="auto" w:fill="C0C0C0"/>
          </w:tcPr>
          <w:p w:rsidR="00537112" w:rsidRPr="00537112" w:rsidRDefault="00537112" w:rsidP="00537112">
            <w:pPr>
              <w:autoSpaceDE w:val="0"/>
              <w:autoSpaceDN w:val="0"/>
              <w:spacing w:before="55" w:line="240" w:lineRule="auto"/>
              <w:ind w:right="-20"/>
              <w:jc w:val="left"/>
              <w:textAlignment w:val="auto"/>
              <w:rPr>
                <w:rFonts w:ascii="Times New Roman" w:hAnsi="Times New Roman"/>
              </w:rPr>
            </w:pPr>
            <w:r w:rsidRPr="00537112">
              <w:rPr>
                <w:rFonts w:cs="Verdana"/>
                <w:b/>
                <w:bCs/>
                <w:spacing w:val="1"/>
              </w:rPr>
              <w:t>AN</w:t>
            </w:r>
            <w:r w:rsidRPr="00537112">
              <w:rPr>
                <w:rFonts w:cs="Verdana"/>
                <w:b/>
                <w:bCs/>
                <w:spacing w:val="-1"/>
              </w:rPr>
              <w:t>EX</w:t>
            </w:r>
            <w:r w:rsidRPr="00537112">
              <w:rPr>
                <w:rFonts w:cs="Verdana"/>
                <w:b/>
                <w:bCs/>
              </w:rPr>
              <w:t xml:space="preserve">O </w:t>
            </w:r>
            <w:r w:rsidRPr="00537112">
              <w:rPr>
                <w:rFonts w:cs="Verdana"/>
                <w:b/>
                <w:bCs/>
                <w:spacing w:val="1"/>
              </w:rPr>
              <w:t>II</w:t>
            </w:r>
            <w:r w:rsidRPr="00537112">
              <w:rPr>
                <w:rFonts w:cs="Verdana"/>
                <w:b/>
                <w:bCs/>
              </w:rPr>
              <w:t xml:space="preserve">. </w:t>
            </w:r>
            <w:r w:rsidRPr="00537112">
              <w:rPr>
                <w:rFonts w:cs="Verdana"/>
                <w:b/>
                <w:bCs/>
                <w:spacing w:val="-1"/>
              </w:rPr>
              <w:t>PE</w:t>
            </w:r>
            <w:r w:rsidRPr="00537112">
              <w:rPr>
                <w:rFonts w:cs="Verdana"/>
                <w:b/>
                <w:bCs/>
              </w:rPr>
              <w:t>RSO</w:t>
            </w:r>
            <w:r w:rsidRPr="00537112">
              <w:rPr>
                <w:rFonts w:cs="Verdana"/>
                <w:b/>
                <w:bCs/>
                <w:spacing w:val="1"/>
              </w:rPr>
              <w:t>NA</w:t>
            </w:r>
            <w:r w:rsidRPr="00537112">
              <w:rPr>
                <w:rFonts w:cs="Verdana"/>
                <w:b/>
                <w:bCs/>
              </w:rPr>
              <w:t>S</w:t>
            </w:r>
            <w:r w:rsidRPr="00537112">
              <w:rPr>
                <w:rFonts w:cs="Verdana"/>
                <w:b/>
                <w:bCs/>
                <w:spacing w:val="81"/>
              </w:rPr>
              <w:t xml:space="preserve"> </w:t>
            </w:r>
            <w:r w:rsidRPr="00537112">
              <w:rPr>
                <w:rFonts w:cs="Verdana"/>
                <w:b/>
                <w:bCs/>
              </w:rPr>
              <w:t>D</w:t>
            </w:r>
            <w:r w:rsidRPr="00537112">
              <w:rPr>
                <w:rFonts w:cs="Verdana"/>
                <w:b/>
                <w:bCs/>
                <w:spacing w:val="-1"/>
              </w:rPr>
              <w:t>E</w:t>
            </w:r>
            <w:r w:rsidRPr="00537112">
              <w:rPr>
                <w:rFonts w:cs="Verdana"/>
                <w:b/>
                <w:bCs/>
              </w:rPr>
              <w:t>S</w:t>
            </w:r>
            <w:r w:rsidRPr="00537112">
              <w:rPr>
                <w:rFonts w:cs="Verdana"/>
                <w:b/>
                <w:bCs/>
                <w:spacing w:val="-1"/>
              </w:rPr>
              <w:t>P</w:t>
            </w:r>
            <w:r w:rsidRPr="00537112">
              <w:rPr>
                <w:rFonts w:cs="Verdana"/>
                <w:b/>
                <w:bCs/>
                <w:spacing w:val="1"/>
              </w:rPr>
              <w:t>LA</w:t>
            </w:r>
            <w:r w:rsidRPr="00537112">
              <w:rPr>
                <w:rFonts w:cs="Verdana"/>
                <w:b/>
                <w:bCs/>
              </w:rPr>
              <w:t>Z</w:t>
            </w:r>
            <w:r w:rsidRPr="00537112">
              <w:rPr>
                <w:rFonts w:cs="Verdana"/>
                <w:b/>
                <w:bCs/>
                <w:spacing w:val="1"/>
              </w:rPr>
              <w:t>A</w:t>
            </w:r>
            <w:r w:rsidRPr="00537112">
              <w:rPr>
                <w:rFonts w:cs="Verdana"/>
                <w:b/>
                <w:bCs/>
              </w:rPr>
              <w:t>D</w:t>
            </w:r>
            <w:r w:rsidRPr="00537112">
              <w:rPr>
                <w:rFonts w:cs="Verdana"/>
                <w:b/>
                <w:bCs/>
                <w:spacing w:val="1"/>
              </w:rPr>
              <w:t>A</w:t>
            </w:r>
            <w:r w:rsidRPr="00537112">
              <w:rPr>
                <w:rFonts w:cs="Verdana"/>
                <w:b/>
                <w:bCs/>
              </w:rPr>
              <w:t>S</w:t>
            </w:r>
          </w:p>
        </w:tc>
      </w:tr>
      <w:tr w:rsidR="00537112" w:rsidRPr="00537112" w:rsidTr="00630EEC">
        <w:trPr>
          <w:trHeight w:hRule="exact" w:val="247"/>
        </w:trPr>
        <w:tc>
          <w:tcPr>
            <w:tcW w:w="569" w:type="dxa"/>
            <w:tcBorders>
              <w:top w:val="single" w:sz="16"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16" w:lineRule="exact"/>
              <w:ind w:right="146"/>
              <w:jc w:val="center"/>
              <w:textAlignment w:val="auto"/>
              <w:rPr>
                <w:rFonts w:ascii="Times New Roman" w:hAnsi="Times New Roman"/>
              </w:rPr>
            </w:pPr>
            <w:r w:rsidRPr="00537112">
              <w:rPr>
                <w:rFonts w:cs="Verdana"/>
                <w:b/>
                <w:bCs/>
                <w:w w:val="99"/>
                <w:position w:val="-1"/>
                <w:sz w:val="20"/>
                <w:szCs w:val="20"/>
              </w:rPr>
              <w:t>1</w:t>
            </w:r>
          </w:p>
        </w:tc>
        <w:tc>
          <w:tcPr>
            <w:tcW w:w="3706" w:type="dxa"/>
            <w:tcBorders>
              <w:top w:val="single" w:sz="16"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c>
          <w:tcPr>
            <w:tcW w:w="583" w:type="dxa"/>
            <w:tcBorders>
              <w:top w:val="single" w:sz="16"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16" w:lineRule="exact"/>
              <w:ind w:right="-20"/>
              <w:jc w:val="left"/>
              <w:textAlignment w:val="auto"/>
              <w:rPr>
                <w:rFonts w:ascii="Times New Roman" w:hAnsi="Times New Roman"/>
              </w:rPr>
            </w:pPr>
            <w:r w:rsidRPr="00537112">
              <w:rPr>
                <w:rFonts w:cs="Verdana"/>
                <w:b/>
                <w:bCs/>
                <w:position w:val="-1"/>
                <w:sz w:val="20"/>
                <w:szCs w:val="20"/>
              </w:rPr>
              <w:t>56</w:t>
            </w:r>
          </w:p>
        </w:tc>
        <w:tc>
          <w:tcPr>
            <w:tcW w:w="3991" w:type="dxa"/>
            <w:tcBorders>
              <w:top w:val="single" w:sz="16"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6" w:lineRule="exact"/>
              <w:ind w:right="-20"/>
              <w:jc w:val="left"/>
              <w:textAlignment w:val="auto"/>
              <w:rPr>
                <w:rFonts w:ascii="Times New Roman" w:hAnsi="Times New Roman"/>
              </w:rPr>
            </w:pPr>
            <w:r w:rsidRPr="00537112">
              <w:rPr>
                <w:rFonts w:cs="Verdana"/>
                <w:spacing w:val="1"/>
                <w:position w:val="-1"/>
                <w:sz w:val="20"/>
                <w:szCs w:val="20"/>
              </w:rPr>
              <w:t>Ub</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d</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146"/>
              <w:jc w:val="center"/>
              <w:textAlignment w:val="auto"/>
              <w:rPr>
                <w:rFonts w:ascii="Times New Roman" w:hAnsi="Times New Roman"/>
              </w:rPr>
            </w:pPr>
            <w:r w:rsidRPr="00537112">
              <w:rPr>
                <w:rFonts w:cs="Verdana"/>
                <w:b/>
                <w:bCs/>
                <w:w w:val="99"/>
                <w:position w:val="-1"/>
                <w:sz w:val="20"/>
                <w:szCs w:val="20"/>
              </w:rPr>
              <w:t>2</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U</w:t>
            </w:r>
            <w:r w:rsidRPr="00537112">
              <w:rPr>
                <w:rFonts w:cs="Verdana"/>
                <w:spacing w:val="-1"/>
                <w:position w:val="-1"/>
                <w:sz w:val="20"/>
                <w:szCs w:val="20"/>
              </w:rPr>
              <w:t>r</w:t>
            </w:r>
            <w:r w:rsidRPr="00537112">
              <w:rPr>
                <w:rFonts w:cs="Verdana"/>
                <w:spacing w:val="1"/>
                <w:position w:val="-1"/>
                <w:sz w:val="20"/>
                <w:szCs w:val="20"/>
              </w:rPr>
              <w:t>b</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57</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62"/>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146"/>
              <w:jc w:val="center"/>
              <w:textAlignment w:val="auto"/>
              <w:rPr>
                <w:rFonts w:ascii="Times New Roman" w:hAnsi="Times New Roman"/>
              </w:rPr>
            </w:pPr>
            <w:r w:rsidRPr="00537112">
              <w:rPr>
                <w:rFonts w:cs="Verdana"/>
                <w:b/>
                <w:bCs/>
                <w:w w:val="99"/>
                <w:position w:val="-1"/>
                <w:sz w:val="20"/>
                <w:szCs w:val="20"/>
              </w:rPr>
              <w:t>3</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position w:val="-1"/>
                <w:sz w:val="20"/>
                <w:szCs w:val="20"/>
              </w:rPr>
              <w:t>n</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58</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spacing w:val="-1"/>
                <w:position w:val="-1"/>
                <w:sz w:val="20"/>
                <w:szCs w:val="20"/>
              </w:rPr>
              <w:t>H</w:t>
            </w:r>
            <w:r w:rsidRPr="00537112">
              <w:rPr>
                <w:rFonts w:cs="Verdana"/>
                <w:spacing w:val="3"/>
                <w:position w:val="-1"/>
                <w:sz w:val="20"/>
                <w:szCs w:val="20"/>
              </w:rPr>
              <w:t>il</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146"/>
              <w:jc w:val="center"/>
              <w:textAlignment w:val="auto"/>
              <w:rPr>
                <w:rFonts w:ascii="Times New Roman" w:hAnsi="Times New Roman"/>
              </w:rPr>
            </w:pPr>
            <w:r w:rsidRPr="00537112">
              <w:rPr>
                <w:rFonts w:cs="Verdana"/>
                <w:b/>
                <w:bCs/>
                <w:w w:val="99"/>
                <w:position w:val="-1"/>
                <w:sz w:val="20"/>
                <w:szCs w:val="20"/>
              </w:rPr>
              <w:t>4</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59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qu</w:t>
            </w:r>
            <w:r w:rsidRPr="00537112">
              <w:rPr>
                <w:rFonts w:cs="Verdana"/>
                <w:position w:val="-1"/>
                <w:sz w:val="20"/>
                <w:szCs w:val="20"/>
              </w:rPr>
              <w:t>e</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146"/>
              <w:jc w:val="center"/>
              <w:textAlignment w:val="auto"/>
              <w:rPr>
                <w:rFonts w:ascii="Times New Roman" w:hAnsi="Times New Roman"/>
              </w:rPr>
            </w:pPr>
            <w:r w:rsidRPr="00537112">
              <w:rPr>
                <w:rFonts w:cs="Verdana"/>
                <w:b/>
                <w:bCs/>
                <w:w w:val="99"/>
                <w:position w:val="-1"/>
                <w:sz w:val="20"/>
                <w:szCs w:val="20"/>
              </w:rPr>
              <w:t>5</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Dav</w:t>
            </w:r>
            <w:r w:rsidRPr="00537112">
              <w:rPr>
                <w:rFonts w:cs="Verdana"/>
                <w:spacing w:val="3"/>
                <w:position w:val="-1"/>
                <w:sz w:val="20"/>
                <w:szCs w:val="20"/>
              </w:rPr>
              <w:t>i</w:t>
            </w:r>
            <w:r w:rsidRPr="00537112">
              <w:rPr>
                <w:rFonts w:cs="Verdana"/>
                <w:position w:val="-1"/>
                <w:sz w:val="20"/>
                <w:szCs w:val="20"/>
              </w:rPr>
              <w:t>d</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60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m</w:t>
            </w:r>
            <w:r w:rsidRPr="00537112">
              <w:rPr>
                <w:rFonts w:cs="Verdana"/>
                <w:spacing w:val="3"/>
                <w:position w:val="-1"/>
                <w:sz w:val="20"/>
                <w:szCs w:val="20"/>
              </w:rPr>
              <w:t>ili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146"/>
              <w:jc w:val="center"/>
              <w:textAlignment w:val="auto"/>
              <w:rPr>
                <w:rFonts w:ascii="Times New Roman" w:hAnsi="Times New Roman"/>
              </w:rPr>
            </w:pPr>
            <w:r w:rsidRPr="00537112">
              <w:rPr>
                <w:rFonts w:cs="Verdana"/>
                <w:b/>
                <w:bCs/>
                <w:w w:val="99"/>
                <w:position w:val="-1"/>
                <w:sz w:val="20"/>
                <w:szCs w:val="20"/>
              </w:rPr>
              <w:t>6</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61</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il</w:t>
            </w:r>
            <w:r w:rsidRPr="00537112">
              <w:rPr>
                <w:rFonts w:cs="Verdana"/>
                <w:spacing w:val="1"/>
                <w:position w:val="-1"/>
                <w:sz w:val="20"/>
                <w:szCs w:val="20"/>
              </w:rPr>
              <w:t>d</w:t>
            </w:r>
            <w:r w:rsidRPr="00537112">
              <w:rPr>
                <w:rFonts w:cs="Verdana"/>
                <w:position w:val="-1"/>
                <w:sz w:val="20"/>
                <w:szCs w:val="20"/>
              </w:rPr>
              <w:t>e</w:t>
            </w:r>
            <w:r w:rsidRPr="00537112">
              <w:rPr>
                <w:rFonts w:cs="Verdana"/>
                <w:spacing w:val="-9"/>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146"/>
              <w:jc w:val="center"/>
              <w:textAlignment w:val="auto"/>
              <w:rPr>
                <w:rFonts w:ascii="Times New Roman" w:hAnsi="Times New Roman"/>
              </w:rPr>
            </w:pPr>
            <w:r w:rsidRPr="00537112">
              <w:rPr>
                <w:rFonts w:cs="Verdana"/>
                <w:b/>
                <w:bCs/>
                <w:w w:val="99"/>
                <w:position w:val="-1"/>
                <w:sz w:val="20"/>
                <w:szCs w:val="20"/>
              </w:rPr>
              <w:t>7</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il</w:t>
            </w:r>
            <w:r w:rsidRPr="00537112">
              <w:rPr>
                <w:rFonts w:cs="Verdana"/>
                <w:spacing w:val="1"/>
                <w:position w:val="-1"/>
                <w:sz w:val="20"/>
                <w:szCs w:val="20"/>
              </w:rPr>
              <w:t>d</w:t>
            </w:r>
            <w:r w:rsidRPr="00537112">
              <w:rPr>
                <w:rFonts w:cs="Verdana"/>
                <w:position w:val="-1"/>
                <w:sz w:val="20"/>
                <w:szCs w:val="20"/>
              </w:rPr>
              <w:t>e</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62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Ba</w:t>
            </w:r>
            <w:r w:rsidRPr="00537112">
              <w:rPr>
                <w:rFonts w:cs="Verdana"/>
                <w:spacing w:val="3"/>
                <w:position w:val="-1"/>
                <w:sz w:val="20"/>
                <w:szCs w:val="20"/>
              </w:rPr>
              <w:t>l</w:t>
            </w:r>
            <w:r w:rsidRPr="00537112">
              <w:rPr>
                <w:rFonts w:cs="Verdana"/>
                <w:position w:val="-1"/>
                <w:sz w:val="20"/>
                <w:szCs w:val="20"/>
              </w:rPr>
              <w:t>v</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146"/>
              <w:jc w:val="center"/>
              <w:textAlignment w:val="auto"/>
              <w:rPr>
                <w:rFonts w:ascii="Times New Roman" w:hAnsi="Times New Roman"/>
              </w:rPr>
            </w:pPr>
            <w:r w:rsidRPr="00537112">
              <w:rPr>
                <w:rFonts w:cs="Verdana"/>
                <w:b/>
                <w:bCs/>
                <w:w w:val="99"/>
                <w:position w:val="-1"/>
                <w:sz w:val="20"/>
                <w:szCs w:val="20"/>
              </w:rPr>
              <w:t>8</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Her</w:t>
            </w:r>
            <w:r w:rsidRPr="00537112">
              <w:rPr>
                <w:rFonts w:cs="Verdana"/>
                <w:spacing w:val="3"/>
                <w:position w:val="-1"/>
                <w:sz w:val="20"/>
                <w:szCs w:val="20"/>
              </w:rPr>
              <w:t>li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63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position w:val="-1"/>
                <w:sz w:val="20"/>
                <w:szCs w:val="20"/>
              </w:rPr>
              <w:t>a</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at</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146"/>
              <w:jc w:val="center"/>
              <w:textAlignment w:val="auto"/>
              <w:rPr>
                <w:rFonts w:ascii="Times New Roman" w:hAnsi="Times New Roman"/>
              </w:rPr>
            </w:pPr>
            <w:r w:rsidRPr="00537112">
              <w:rPr>
                <w:rFonts w:cs="Verdana"/>
                <w:b/>
                <w:bCs/>
                <w:w w:val="99"/>
                <w:position w:val="-1"/>
                <w:sz w:val="20"/>
                <w:szCs w:val="20"/>
              </w:rPr>
              <w:t>9</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3"/>
                <w:position w:val="-1"/>
                <w:sz w:val="20"/>
                <w:szCs w:val="20"/>
              </w:rPr>
              <w:t>l</w:t>
            </w:r>
            <w:r w:rsidRPr="00537112">
              <w:rPr>
                <w:rFonts w:cs="Verdana"/>
                <w:spacing w:val="-1"/>
                <w:position w:val="-1"/>
                <w:sz w:val="20"/>
                <w:szCs w:val="20"/>
              </w:rPr>
              <w:t>o</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H</w:t>
            </w:r>
            <w:r w:rsidRPr="00537112">
              <w:rPr>
                <w:rFonts w:cs="Verdana"/>
                <w:spacing w:val="1"/>
                <w:position w:val="-1"/>
                <w:sz w:val="20"/>
                <w:szCs w:val="20"/>
              </w:rPr>
              <w:t>umb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ú</w:t>
            </w:r>
            <w:r w:rsidRPr="00537112">
              <w:rPr>
                <w:rFonts w:cs="Verdana"/>
                <w:position w:val="-1"/>
                <w:sz w:val="20"/>
                <w:szCs w:val="20"/>
              </w:rPr>
              <w:t>z</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64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spacing w:val="-1"/>
                <w:position w:val="-1"/>
                <w:sz w:val="20"/>
                <w:szCs w:val="20"/>
              </w:rPr>
              <w:t>of</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at</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10</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position w:val="-1"/>
                <w:sz w:val="20"/>
                <w:szCs w:val="20"/>
              </w:rPr>
              <w:t>n</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65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gu</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11</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es</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io</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66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3"/>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12</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Su</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tumú</w:t>
            </w:r>
            <w:r w:rsidRPr="00537112">
              <w:rPr>
                <w:rFonts w:cs="Verdana"/>
                <w:position w:val="-1"/>
                <w:sz w:val="20"/>
                <w:szCs w:val="20"/>
              </w:rPr>
              <w:t>l</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67</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13</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u</w:t>
            </w:r>
            <w:r w:rsidRPr="00537112">
              <w:rPr>
                <w:rFonts w:cs="Verdana"/>
                <w:spacing w:val="3"/>
                <w:position w:val="-1"/>
                <w:sz w:val="20"/>
                <w:szCs w:val="20"/>
              </w:rPr>
              <w:t>l</w:t>
            </w:r>
            <w:r w:rsidRPr="00537112">
              <w:rPr>
                <w:rFonts w:cs="Verdana"/>
                <w:position w:val="-1"/>
                <w:sz w:val="20"/>
                <w:szCs w:val="20"/>
              </w:rPr>
              <w:t>a</w:t>
            </w:r>
            <w:r w:rsidRPr="00537112">
              <w:rPr>
                <w:rFonts w:cs="Verdana"/>
                <w:spacing w:val="3"/>
                <w:position w:val="-1"/>
                <w:sz w:val="20"/>
                <w:szCs w:val="20"/>
              </w:rPr>
              <w:t>li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68</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dg</w:t>
            </w:r>
            <w:r w:rsidRPr="00537112">
              <w:rPr>
                <w:rFonts w:cs="Verdana"/>
                <w:position w:val="-1"/>
                <w:sz w:val="20"/>
                <w:szCs w:val="20"/>
              </w:rPr>
              <w:t>ar</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14</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s</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69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r</w:t>
            </w:r>
            <w:r w:rsidRPr="00537112">
              <w:rPr>
                <w:rFonts w:cs="Verdana"/>
                <w:spacing w:val="1"/>
                <w:position w:val="-1"/>
                <w:sz w:val="20"/>
                <w:szCs w:val="20"/>
              </w:rPr>
              <w:t>m</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15</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r</w:t>
            </w:r>
            <w:r w:rsidRPr="00537112">
              <w:rPr>
                <w:rFonts w:cs="Verdana"/>
                <w:spacing w:val="1"/>
                <w:position w:val="-1"/>
                <w:sz w:val="20"/>
                <w:szCs w:val="20"/>
              </w:rPr>
              <w:t>m</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Y</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70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osef</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16</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Es</w:t>
            </w:r>
            <w:r w:rsidRPr="00537112">
              <w:rPr>
                <w:rFonts w:cs="Verdana"/>
                <w:spacing w:val="1"/>
                <w:position w:val="-1"/>
                <w:sz w:val="20"/>
                <w:szCs w:val="20"/>
              </w:rPr>
              <w:t>th</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71</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r>
      <w:tr w:rsidR="00537112" w:rsidRPr="00537112" w:rsidTr="00630EEC">
        <w:trPr>
          <w:trHeight w:hRule="exact" w:val="494"/>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17</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z w:val="20"/>
                <w:szCs w:val="20"/>
              </w:rPr>
              <w:t>v</w:t>
            </w:r>
            <w:r w:rsidRPr="00537112">
              <w:rPr>
                <w:rFonts w:cs="Verdana"/>
                <w:spacing w:val="3"/>
                <w:sz w:val="20"/>
                <w:szCs w:val="20"/>
              </w:rPr>
              <w:t>i</w:t>
            </w:r>
            <w:r w:rsidRPr="00537112">
              <w:rPr>
                <w:rFonts w:cs="Verdana"/>
                <w:sz w:val="20"/>
                <w:szCs w:val="20"/>
              </w:rPr>
              <w:t>n</w:t>
            </w:r>
            <w:r w:rsidRPr="00537112">
              <w:rPr>
                <w:rFonts w:cs="Verdana"/>
                <w:spacing w:val="-7"/>
                <w:sz w:val="20"/>
                <w:szCs w:val="20"/>
              </w:rPr>
              <w:t xml:space="preserve"> </w:t>
            </w:r>
            <w:r w:rsidRPr="00537112">
              <w:rPr>
                <w:rFonts w:cs="Verdana"/>
                <w:spacing w:val="-1"/>
                <w:sz w:val="20"/>
                <w:szCs w:val="20"/>
              </w:rPr>
              <w:t>G</w:t>
            </w:r>
            <w:r w:rsidRPr="00537112">
              <w:rPr>
                <w:rFonts w:cs="Verdana"/>
                <w:spacing w:val="3"/>
                <w:sz w:val="20"/>
                <w:szCs w:val="20"/>
              </w:rPr>
              <w:t>i</w:t>
            </w:r>
            <w:r w:rsidRPr="00537112">
              <w:rPr>
                <w:rFonts w:cs="Verdana"/>
                <w:spacing w:val="-1"/>
                <w:sz w:val="20"/>
                <w:szCs w:val="20"/>
              </w:rPr>
              <w:t>o</w:t>
            </w:r>
            <w:r w:rsidRPr="00537112">
              <w:rPr>
                <w:rFonts w:cs="Verdana"/>
                <w:sz w:val="20"/>
                <w:szCs w:val="20"/>
              </w:rPr>
              <w:t>va</w:t>
            </w:r>
            <w:r w:rsidRPr="00537112">
              <w:rPr>
                <w:rFonts w:cs="Verdana"/>
                <w:spacing w:val="1"/>
                <w:sz w:val="20"/>
                <w:szCs w:val="20"/>
              </w:rPr>
              <w:t>n</w:t>
            </w:r>
            <w:r w:rsidRPr="00537112">
              <w:rPr>
                <w:rFonts w:cs="Verdana"/>
                <w:sz w:val="20"/>
                <w:szCs w:val="20"/>
              </w:rPr>
              <w:t>y</w:t>
            </w:r>
            <w:r w:rsidRPr="00537112">
              <w:rPr>
                <w:rFonts w:cs="Verdana"/>
                <w:spacing w:val="-9"/>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á</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r w:rsidRPr="00537112">
              <w:rPr>
                <w:rFonts w:cs="Verdana"/>
                <w:spacing w:val="-9"/>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72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i</w:t>
            </w:r>
            <w:r w:rsidRPr="00537112">
              <w:rPr>
                <w:rFonts w:cs="Verdana"/>
                <w:sz w:val="20"/>
                <w:szCs w:val="20"/>
              </w:rPr>
              <w:t>a</w:t>
            </w:r>
            <w:r w:rsidRPr="00537112">
              <w:rPr>
                <w:rFonts w:cs="Verdana"/>
                <w:spacing w:val="-5"/>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z w:val="20"/>
                <w:szCs w:val="20"/>
              </w:rPr>
              <w:t>C</w:t>
            </w:r>
            <w:r w:rsidRPr="00537112">
              <w:rPr>
                <w:rFonts w:cs="Verdana"/>
                <w:spacing w:val="-1"/>
                <w:sz w:val="20"/>
                <w:szCs w:val="20"/>
              </w:rPr>
              <w:t>or</w:t>
            </w:r>
            <w:r w:rsidRPr="00537112">
              <w:rPr>
                <w:rFonts w:cs="Verdana"/>
                <w:spacing w:val="1"/>
                <w:sz w:val="20"/>
                <w:szCs w:val="20"/>
              </w:rPr>
              <w:t>t</w:t>
            </w:r>
            <w:r w:rsidRPr="00537112">
              <w:rPr>
                <w:rFonts w:cs="Verdana"/>
                <w:spacing w:val="-1"/>
                <w:sz w:val="20"/>
                <w:szCs w:val="20"/>
              </w:rPr>
              <w:t>e</w:t>
            </w:r>
            <w:r w:rsidRPr="00537112">
              <w:rPr>
                <w:rFonts w:cs="Verdana"/>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18</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73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j</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19</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74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3"/>
                <w:position w:val="-1"/>
                <w:sz w:val="20"/>
                <w:szCs w:val="20"/>
              </w:rPr>
              <w:t>li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20</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gu</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Ang</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75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w:t>
            </w:r>
            <w:r w:rsidRPr="00537112">
              <w:rPr>
                <w:rFonts w:cs="Verdana"/>
                <w:spacing w:val="3"/>
                <w:position w:val="-1"/>
                <w:sz w:val="20"/>
                <w:szCs w:val="20"/>
              </w:rPr>
              <w:t>l</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L</w:t>
            </w:r>
            <w:r w:rsidRPr="00537112">
              <w:rPr>
                <w:rFonts w:cs="Verdana"/>
                <w:spacing w:val="1"/>
                <w:position w:val="-1"/>
                <w:sz w:val="20"/>
                <w:szCs w:val="20"/>
              </w:rPr>
              <w:t>u</w:t>
            </w:r>
            <w:r w:rsidRPr="00537112">
              <w:rPr>
                <w:rFonts w:cs="Verdana"/>
                <w:position w:val="-1"/>
                <w:sz w:val="20"/>
                <w:szCs w:val="20"/>
              </w:rPr>
              <w:t>z</w:t>
            </w:r>
            <w:r w:rsidRPr="00537112">
              <w:rPr>
                <w:rFonts w:cs="Verdana"/>
                <w:spacing w:val="-3"/>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21</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u</w:t>
            </w:r>
            <w:r w:rsidRPr="00537112">
              <w:rPr>
                <w:rFonts w:cs="Verdana"/>
                <w:spacing w:val="-1"/>
                <w:position w:val="-1"/>
                <w:sz w:val="20"/>
                <w:szCs w:val="20"/>
              </w:rPr>
              <w:t>r</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76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i</w:t>
            </w:r>
            <w:r w:rsidRPr="00537112">
              <w:rPr>
                <w:rFonts w:cs="Verdana"/>
                <w:spacing w:val="1"/>
                <w:position w:val="-1"/>
                <w:sz w:val="20"/>
                <w:szCs w:val="20"/>
              </w:rPr>
              <w:t>d</w:t>
            </w:r>
            <w:r w:rsidRPr="00537112">
              <w:rPr>
                <w:rFonts w:cs="Verdana"/>
                <w:spacing w:val="-1"/>
                <w:position w:val="-1"/>
                <w:sz w:val="20"/>
                <w:szCs w:val="20"/>
              </w:rPr>
              <w:t>e</w:t>
            </w:r>
            <w:r w:rsidRPr="00537112">
              <w:rPr>
                <w:rFonts w:cs="Verdana"/>
                <w:spacing w:val="3"/>
                <w:position w:val="-1"/>
                <w:sz w:val="20"/>
                <w:szCs w:val="20"/>
              </w:rPr>
              <w:t>li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z</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22</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1"/>
                <w:position w:val="-1"/>
                <w:sz w:val="20"/>
                <w:szCs w:val="20"/>
              </w:rPr>
              <w:t>o</w:t>
            </w:r>
            <w:r w:rsidRPr="00537112">
              <w:rPr>
                <w:rFonts w:cs="Verdana"/>
                <w:spacing w:val="1"/>
                <w:position w:val="-1"/>
                <w:sz w:val="20"/>
                <w:szCs w:val="20"/>
              </w:rPr>
              <w:t>d</w:t>
            </w:r>
            <w:r w:rsidRPr="00537112">
              <w:rPr>
                <w:rFonts w:cs="Verdana"/>
                <w:spacing w:val="-1"/>
                <w:position w:val="-1"/>
                <w:sz w:val="20"/>
                <w:szCs w:val="20"/>
              </w:rPr>
              <w:t>es</w:t>
            </w:r>
            <w:r w:rsidRPr="00537112">
              <w:rPr>
                <w:rFonts w:cs="Verdana"/>
                <w:spacing w:val="1"/>
                <w:position w:val="-1"/>
                <w:sz w:val="20"/>
                <w:szCs w:val="20"/>
              </w:rPr>
              <w:t>t</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77</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dg</w:t>
            </w:r>
            <w:r w:rsidRPr="00537112">
              <w:rPr>
                <w:rFonts w:cs="Verdana"/>
                <w:position w:val="-1"/>
                <w:sz w:val="20"/>
                <w:szCs w:val="20"/>
              </w:rPr>
              <w:t>ar</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y</w:t>
            </w:r>
            <w:r w:rsidRPr="00537112">
              <w:rPr>
                <w:rFonts w:cs="Verdana"/>
                <w:spacing w:val="-2"/>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23</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position w:val="-1"/>
                <w:sz w:val="20"/>
                <w:szCs w:val="20"/>
              </w:rPr>
              <w:t>o</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78</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r</w:t>
            </w:r>
            <w:r w:rsidRPr="00537112">
              <w:rPr>
                <w:rFonts w:cs="Verdana"/>
                <w:spacing w:val="3"/>
                <w:position w:val="-1"/>
                <w:sz w:val="20"/>
                <w:szCs w:val="20"/>
              </w:rPr>
              <w:t>l</w:t>
            </w:r>
            <w:r w:rsidRPr="00537112">
              <w:rPr>
                <w:rFonts w:cs="Verdana"/>
                <w:spacing w:val="1"/>
                <w:position w:val="-1"/>
                <w:sz w:val="20"/>
                <w:szCs w:val="20"/>
              </w:rPr>
              <w:t>ub</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Ma</w:t>
            </w:r>
            <w:r w:rsidRPr="00537112">
              <w:rPr>
                <w:rFonts w:cs="Verdana"/>
                <w:spacing w:val="1"/>
                <w:position w:val="-1"/>
                <w:sz w:val="20"/>
                <w:szCs w:val="20"/>
              </w:rPr>
              <w:t>gd</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24</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il</w:t>
            </w:r>
            <w:r w:rsidRPr="00537112">
              <w:rPr>
                <w:rFonts w:cs="Verdana"/>
                <w:spacing w:val="1"/>
                <w:position w:val="-1"/>
                <w:sz w:val="20"/>
                <w:szCs w:val="20"/>
              </w:rPr>
              <w:t>d</w:t>
            </w:r>
            <w:r w:rsidRPr="00537112">
              <w:rPr>
                <w:rFonts w:cs="Verdana"/>
                <w:position w:val="-1"/>
                <w:sz w:val="20"/>
                <w:szCs w:val="20"/>
              </w:rPr>
              <w:t>e</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position w:val="-1"/>
                <w:sz w:val="20"/>
                <w:szCs w:val="20"/>
              </w:rPr>
              <w:t>ó</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79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Lore</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E</w:t>
            </w:r>
            <w:r w:rsidRPr="00537112">
              <w:rPr>
                <w:rFonts w:cs="Verdana"/>
                <w:spacing w:val="1"/>
                <w:position w:val="-1"/>
                <w:sz w:val="20"/>
                <w:szCs w:val="20"/>
              </w:rPr>
              <w:t>ug</w:t>
            </w: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25</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Es</w:t>
            </w:r>
            <w:r w:rsidRPr="00537112">
              <w:rPr>
                <w:rFonts w:cs="Verdana"/>
                <w:spacing w:val="1"/>
                <w:position w:val="-1"/>
                <w:sz w:val="20"/>
                <w:szCs w:val="20"/>
              </w:rPr>
              <w:t>t</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position w:val="-1"/>
                <w:sz w:val="20"/>
                <w:szCs w:val="20"/>
              </w:rPr>
              <w:t>ó</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80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b</w:t>
            </w:r>
            <w:r w:rsidRPr="00537112">
              <w:rPr>
                <w:rFonts w:cs="Verdana"/>
                <w:spacing w:val="3"/>
                <w:position w:val="-1"/>
                <w:sz w:val="20"/>
                <w:szCs w:val="20"/>
              </w:rPr>
              <w:t>l</w:t>
            </w:r>
            <w:r w:rsidRPr="00537112">
              <w:rPr>
                <w:rFonts w:cs="Verdana"/>
                <w:position w:val="-1"/>
                <w:sz w:val="20"/>
                <w:szCs w:val="20"/>
              </w:rPr>
              <w:t>o</w:t>
            </w:r>
            <w:r w:rsidRPr="00537112">
              <w:rPr>
                <w:rFonts w:cs="Verdana"/>
                <w:spacing w:val="-7"/>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26</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3"/>
                <w:position w:val="-1"/>
                <w:sz w:val="20"/>
                <w:szCs w:val="20"/>
              </w:rPr>
              <w:t>l</w:t>
            </w:r>
            <w:r w:rsidRPr="00537112">
              <w:rPr>
                <w:rFonts w:cs="Verdana"/>
                <w:spacing w:val="-1"/>
                <w:position w:val="-1"/>
                <w:sz w:val="20"/>
                <w:szCs w:val="20"/>
              </w:rPr>
              <w:t>o</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é</w:t>
            </w:r>
            <w:r w:rsidRPr="00537112">
              <w:rPr>
                <w:rFonts w:cs="Verdana"/>
                <w:spacing w:val="-7"/>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position w:val="-1"/>
                <w:sz w:val="20"/>
                <w:szCs w:val="20"/>
              </w:rPr>
              <w:t>ó</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81</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gu</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27</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er</w:t>
            </w:r>
            <w:r w:rsidRPr="00537112">
              <w:rPr>
                <w:rFonts w:cs="Verdana"/>
                <w:spacing w:val="1"/>
                <w:position w:val="-1"/>
                <w:sz w:val="20"/>
                <w:szCs w:val="20"/>
              </w:rPr>
              <w:t>th</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í</w:t>
            </w:r>
            <w:r w:rsidRPr="00537112">
              <w:rPr>
                <w:rFonts w:cs="Verdana"/>
                <w:spacing w:val="1"/>
                <w:position w:val="-1"/>
                <w:sz w:val="20"/>
                <w:szCs w:val="20"/>
              </w:rPr>
              <w:t>n</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z</w:t>
            </w:r>
            <w:r w:rsidRPr="00537112">
              <w:rPr>
                <w:rFonts w:cs="Verdana"/>
                <w:position w:val="-1"/>
                <w:sz w:val="20"/>
                <w:szCs w:val="20"/>
              </w:rPr>
              <w:t>a</w:t>
            </w:r>
            <w:r w:rsidRPr="00537112">
              <w:rPr>
                <w:rFonts w:cs="Verdana"/>
                <w:spacing w:val="1"/>
                <w:position w:val="-1"/>
                <w:sz w:val="20"/>
                <w:szCs w:val="20"/>
              </w:rPr>
              <w:t>gu</w:t>
            </w:r>
            <w:r w:rsidRPr="00537112">
              <w:rPr>
                <w:rFonts w:cs="Verdana"/>
                <w:spacing w:val="3"/>
                <w:position w:val="-1"/>
                <w:sz w:val="20"/>
                <w:szCs w:val="20"/>
              </w:rPr>
              <w:t>i</w:t>
            </w:r>
            <w:r w:rsidRPr="00537112">
              <w:rPr>
                <w:rFonts w:cs="Verdana"/>
                <w:spacing w:val="-1"/>
                <w:position w:val="-1"/>
                <w:sz w:val="20"/>
                <w:szCs w:val="20"/>
              </w:rPr>
              <w:t>rre</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82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n</w:t>
            </w:r>
            <w:r w:rsidRPr="00537112">
              <w:rPr>
                <w:rFonts w:cs="Verdana"/>
                <w:spacing w:val="-1"/>
                <w:position w:val="-1"/>
                <w:sz w:val="20"/>
                <w:szCs w:val="20"/>
              </w:rPr>
              <w:t>oce</w:t>
            </w:r>
            <w:r w:rsidRPr="00537112">
              <w:rPr>
                <w:rFonts w:cs="Verdana"/>
                <w:spacing w:val="1"/>
                <w:position w:val="-1"/>
                <w:sz w:val="20"/>
                <w:szCs w:val="20"/>
              </w:rPr>
              <w:t>nt</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28</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d</w:t>
            </w:r>
            <w:r w:rsidRPr="00537112">
              <w:rPr>
                <w:rFonts w:cs="Verdana"/>
                <w:position w:val="-1"/>
                <w:sz w:val="20"/>
                <w:szCs w:val="20"/>
              </w:rPr>
              <w:t>w</w:t>
            </w:r>
            <w:r w:rsidRPr="00537112">
              <w:rPr>
                <w:rFonts w:cs="Verdana"/>
                <w:spacing w:val="3"/>
                <w:position w:val="-1"/>
                <w:sz w:val="20"/>
                <w:szCs w:val="20"/>
              </w:rPr>
              <w:t>i</w:t>
            </w:r>
            <w:r w:rsidRPr="00537112">
              <w:rPr>
                <w:rFonts w:cs="Verdana"/>
                <w:position w:val="-1"/>
                <w:sz w:val="20"/>
                <w:szCs w:val="20"/>
              </w:rPr>
              <w:t>n</w:t>
            </w:r>
            <w:r w:rsidRPr="00537112">
              <w:rPr>
                <w:rFonts w:cs="Verdana"/>
                <w:spacing w:val="-6"/>
                <w:position w:val="-1"/>
                <w:sz w:val="20"/>
                <w:szCs w:val="20"/>
              </w:rPr>
              <w:t xml:space="preserve"> </w:t>
            </w:r>
            <w:r w:rsidRPr="00537112">
              <w:rPr>
                <w:rFonts w:cs="Verdana"/>
                <w:spacing w:val="-1"/>
                <w:position w:val="-1"/>
                <w:sz w:val="20"/>
                <w:szCs w:val="20"/>
              </w:rPr>
              <w:t>E</w:t>
            </w:r>
            <w:r w:rsidRPr="00537112">
              <w:rPr>
                <w:rFonts w:cs="Verdana"/>
                <w:spacing w:val="1"/>
                <w:position w:val="-1"/>
                <w:sz w:val="20"/>
                <w:szCs w:val="20"/>
              </w:rPr>
              <w:t>du</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1"/>
                <w:position w:val="-1"/>
                <w:sz w:val="20"/>
                <w:szCs w:val="20"/>
              </w:rPr>
              <w:t>e</w:t>
            </w:r>
            <w:r w:rsidRPr="00537112">
              <w:rPr>
                <w:rFonts w:cs="Verdana"/>
                <w:position w:val="-1"/>
                <w:sz w:val="20"/>
                <w:szCs w:val="20"/>
              </w:rPr>
              <w:t>z</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83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position w:val="-1"/>
                <w:sz w:val="20"/>
                <w:szCs w:val="20"/>
              </w:rPr>
              <w:t>a</w:t>
            </w:r>
            <w:r w:rsidRPr="00537112">
              <w:rPr>
                <w:rFonts w:cs="Verdana"/>
                <w:spacing w:val="1"/>
                <w:position w:val="-1"/>
                <w:sz w:val="20"/>
                <w:szCs w:val="20"/>
              </w:rPr>
              <w:t>z</w:t>
            </w:r>
            <w:r w:rsidRPr="00537112">
              <w:rPr>
                <w:rFonts w:cs="Verdana"/>
                <w:position w:val="-1"/>
                <w:sz w:val="20"/>
                <w:szCs w:val="20"/>
              </w:rPr>
              <w:t>a</w:t>
            </w:r>
            <w:r w:rsidRPr="00537112">
              <w:rPr>
                <w:rFonts w:cs="Verdana"/>
                <w:spacing w:val="-1"/>
                <w:position w:val="-1"/>
                <w:sz w:val="20"/>
                <w:szCs w:val="20"/>
              </w:rPr>
              <w:t>r</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ecóc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29</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g</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1"/>
                <w:position w:val="-1"/>
                <w:sz w:val="20"/>
                <w:szCs w:val="20"/>
              </w:rPr>
              <w:t>e</w:t>
            </w:r>
            <w:r w:rsidRPr="00537112">
              <w:rPr>
                <w:rFonts w:cs="Verdana"/>
                <w:position w:val="-1"/>
                <w:sz w:val="20"/>
                <w:szCs w:val="20"/>
              </w:rPr>
              <w:t>z</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84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e</w:t>
            </w:r>
            <w:r w:rsidRPr="00537112">
              <w:rPr>
                <w:rFonts w:cs="Verdana"/>
                <w:spacing w:val="1"/>
                <w:position w:val="-1"/>
                <w:sz w:val="20"/>
                <w:szCs w:val="20"/>
              </w:rPr>
              <w:t>g</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d</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30</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m</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Hor</w:t>
            </w:r>
            <w:r w:rsidRPr="00537112">
              <w:rPr>
                <w:rFonts w:cs="Verdana"/>
                <w:spacing w:val="1"/>
                <w:position w:val="-1"/>
                <w:sz w:val="20"/>
                <w:szCs w:val="20"/>
              </w:rPr>
              <w:t>t</w:t>
            </w: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1"/>
                <w:position w:val="-1"/>
                <w:sz w:val="20"/>
                <w:szCs w:val="20"/>
              </w:rPr>
              <w:t>e</w:t>
            </w:r>
            <w:r w:rsidRPr="00537112">
              <w:rPr>
                <w:rFonts w:cs="Verdana"/>
                <w:position w:val="-1"/>
                <w:sz w:val="20"/>
                <w:szCs w:val="20"/>
              </w:rPr>
              <w:t>z</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85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31</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ose</w:t>
            </w:r>
            <w:r w:rsidRPr="00537112">
              <w:rPr>
                <w:rFonts w:cs="Verdana"/>
                <w:spacing w:val="3"/>
                <w:position w:val="-1"/>
                <w:sz w:val="20"/>
                <w:szCs w:val="20"/>
              </w:rPr>
              <w:t>li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í</w:t>
            </w:r>
            <w:r w:rsidRPr="00537112">
              <w:rPr>
                <w:rFonts w:cs="Verdana"/>
                <w:spacing w:val="1"/>
                <w:position w:val="-1"/>
                <w:sz w:val="20"/>
                <w:szCs w:val="20"/>
              </w:rPr>
              <w:t>n</w:t>
            </w:r>
            <w:r w:rsidRPr="00537112">
              <w:rPr>
                <w:rFonts w:cs="Verdana"/>
                <w:spacing w:val="-1"/>
                <w:position w:val="-1"/>
                <w:sz w:val="20"/>
                <w:szCs w:val="20"/>
              </w:rPr>
              <w:t>e</w:t>
            </w:r>
            <w:r w:rsidRPr="00537112">
              <w:rPr>
                <w:rFonts w:cs="Verdana"/>
                <w:position w:val="-1"/>
                <w:sz w:val="20"/>
                <w:szCs w:val="20"/>
              </w:rPr>
              <w:t>z</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86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w:t>
            </w:r>
            <w:r w:rsidRPr="00537112">
              <w:rPr>
                <w:rFonts w:cs="Verdana"/>
                <w:position w:val="-1"/>
                <w:sz w:val="20"/>
                <w:szCs w:val="20"/>
              </w:rPr>
              <w:t>r</w:t>
            </w:r>
            <w:r w:rsidRPr="00537112">
              <w:rPr>
                <w:rFonts w:cs="Verdana"/>
                <w:spacing w:val="-8"/>
                <w:position w:val="-1"/>
                <w:sz w:val="20"/>
                <w:szCs w:val="20"/>
              </w:rPr>
              <w:t xml:space="preserve"> </w:t>
            </w:r>
            <w:r w:rsidRPr="00537112">
              <w:rPr>
                <w:rFonts w:cs="Verdana"/>
                <w:position w:val="-1"/>
                <w:sz w:val="20"/>
                <w:szCs w:val="20"/>
              </w:rPr>
              <w:t>Cá</w:t>
            </w:r>
            <w:r w:rsidRPr="00537112">
              <w:rPr>
                <w:rFonts w:cs="Verdana"/>
                <w:spacing w:val="-1"/>
                <w:position w:val="-1"/>
                <w:sz w:val="20"/>
                <w:szCs w:val="20"/>
              </w:rPr>
              <w:t>s</w:t>
            </w:r>
            <w:r w:rsidRPr="00537112">
              <w:rPr>
                <w:rFonts w:cs="Verdana"/>
                <w:spacing w:val="1"/>
                <w:position w:val="-1"/>
                <w:sz w:val="20"/>
                <w:szCs w:val="20"/>
              </w:rPr>
              <w:t>tu</w:t>
            </w:r>
            <w:r w:rsidRPr="00537112">
              <w:rPr>
                <w:rFonts w:cs="Verdana"/>
                <w:spacing w:val="3"/>
                <w:position w:val="-1"/>
                <w:sz w:val="20"/>
                <w:szCs w:val="20"/>
              </w:rPr>
              <w:t>l</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32</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87</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c</w:t>
            </w:r>
            <w:r w:rsidRPr="00537112">
              <w:rPr>
                <w:rFonts w:cs="Verdana"/>
                <w:position w:val="-1"/>
                <w:sz w:val="20"/>
                <w:szCs w:val="20"/>
              </w:rPr>
              <w:t>a</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ú</w:t>
            </w:r>
            <w:r w:rsidRPr="00537112">
              <w:rPr>
                <w:rFonts w:cs="Verdana"/>
                <w:position w:val="-1"/>
                <w:sz w:val="20"/>
                <w:szCs w:val="20"/>
              </w:rPr>
              <w:t>p</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33</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gd</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o</w:t>
            </w:r>
            <w:r w:rsidRPr="00537112">
              <w:rPr>
                <w:rFonts w:cs="Verdana"/>
                <w:spacing w:val="-13"/>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88</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up</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34</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ce</w:t>
            </w:r>
            <w:r w:rsidRPr="00537112">
              <w:rPr>
                <w:rFonts w:cs="Verdana"/>
                <w:spacing w:val="1"/>
                <w:position w:val="-1"/>
                <w:sz w:val="20"/>
                <w:szCs w:val="20"/>
              </w:rPr>
              <w:t>nt</w:t>
            </w:r>
            <w:r w:rsidRPr="00537112">
              <w:rPr>
                <w:rFonts w:cs="Verdana"/>
                <w:position w:val="-1"/>
                <w:sz w:val="20"/>
                <w:szCs w:val="20"/>
              </w:rPr>
              <w:t>e</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89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35</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90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c</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36</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nd</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13"/>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91</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Ta</w:t>
            </w:r>
            <w:r w:rsidRPr="00537112">
              <w:rPr>
                <w:rFonts w:cs="Verdana"/>
                <w:spacing w:val="-1"/>
                <w:position w:val="-1"/>
                <w:sz w:val="20"/>
                <w:szCs w:val="20"/>
              </w:rPr>
              <w:t>rc</w:t>
            </w:r>
            <w:r w:rsidRPr="00537112">
              <w:rPr>
                <w:rFonts w:cs="Verdana"/>
                <w:spacing w:val="3"/>
                <w:position w:val="-1"/>
                <w:sz w:val="20"/>
                <w:szCs w:val="20"/>
              </w:rPr>
              <w:t>il</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37</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92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38</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spacing w:val="1"/>
                <w:position w:val="-1"/>
                <w:sz w:val="20"/>
                <w:szCs w:val="20"/>
              </w:rPr>
              <w:t>u</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up</w:t>
            </w:r>
            <w:r w:rsidRPr="00537112">
              <w:rPr>
                <w:rFonts w:cs="Verdana"/>
                <w:position w:val="-1"/>
                <w:sz w:val="20"/>
                <w:szCs w:val="20"/>
              </w:rPr>
              <w:t>e</w:t>
            </w:r>
            <w:r w:rsidRPr="00537112">
              <w:rPr>
                <w:rFonts w:cs="Verdana"/>
                <w:spacing w:val="-13"/>
                <w:position w:val="-1"/>
                <w:sz w:val="20"/>
                <w:szCs w:val="20"/>
              </w:rPr>
              <w:t xml:space="preserve"> </w:t>
            </w:r>
            <w:r w:rsidRPr="00537112">
              <w:rPr>
                <w:rFonts w:cs="Verdana"/>
                <w:spacing w:val="1"/>
                <w:position w:val="-1"/>
                <w:sz w:val="20"/>
                <w:szCs w:val="20"/>
              </w:rPr>
              <w:t>Amp</w:t>
            </w:r>
            <w:r w:rsidRPr="00537112">
              <w:rPr>
                <w:rFonts w:cs="Verdana"/>
                <w:spacing w:val="-1"/>
                <w:position w:val="-1"/>
                <w:sz w:val="20"/>
                <w:szCs w:val="20"/>
              </w:rPr>
              <w:t>ére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93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3"/>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an</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39</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position w:val="-1"/>
                <w:sz w:val="20"/>
                <w:szCs w:val="20"/>
              </w:rPr>
              <w:t>n</w:t>
            </w:r>
            <w:r w:rsidRPr="00537112">
              <w:rPr>
                <w:rFonts w:cs="Verdana"/>
                <w:spacing w:val="-8"/>
                <w:position w:val="-1"/>
                <w:sz w:val="20"/>
                <w:szCs w:val="20"/>
              </w:rPr>
              <w:t xml:space="preserve"> </w:t>
            </w:r>
            <w:r w:rsidRPr="00537112">
              <w:rPr>
                <w:rFonts w:cs="Verdana"/>
                <w:position w:val="-1"/>
                <w:sz w:val="20"/>
                <w:szCs w:val="20"/>
              </w:rPr>
              <w:t>P</w:t>
            </w:r>
            <w:r w:rsidRPr="00537112">
              <w:rPr>
                <w:rFonts w:cs="Verdana"/>
                <w:spacing w:val="3"/>
                <w:position w:val="-1"/>
                <w:sz w:val="20"/>
                <w:szCs w:val="20"/>
              </w:rPr>
              <w:t>i</w:t>
            </w:r>
            <w:r w:rsidRPr="00537112">
              <w:rPr>
                <w:rFonts w:cs="Verdana"/>
                <w:spacing w:val="-1"/>
                <w:position w:val="-1"/>
                <w:sz w:val="20"/>
                <w:szCs w:val="20"/>
              </w:rPr>
              <w:t>o</w:t>
            </w:r>
            <w:r w:rsidRPr="00537112">
              <w:rPr>
                <w:rFonts w:cs="Verdana"/>
                <w:position w:val="-1"/>
                <w:sz w:val="20"/>
                <w:szCs w:val="20"/>
              </w:rPr>
              <w:t>x</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94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v</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Ya</w:t>
            </w:r>
            <w:r w:rsidRPr="00537112">
              <w:rPr>
                <w:rFonts w:cs="Verdana"/>
                <w:spacing w:val="1"/>
                <w:position w:val="-1"/>
                <w:sz w:val="20"/>
                <w:szCs w:val="20"/>
              </w:rPr>
              <w:t>n</w:t>
            </w:r>
            <w:r w:rsidRPr="00537112">
              <w:rPr>
                <w:rFonts w:cs="Verdana"/>
                <w:spacing w:val="-1"/>
                <w:position w:val="-1"/>
                <w:sz w:val="20"/>
                <w:szCs w:val="20"/>
              </w:rPr>
              <w:t>e</w:t>
            </w:r>
            <w:r w:rsidRPr="00537112">
              <w:rPr>
                <w:rFonts w:cs="Verdana"/>
                <w:spacing w:val="1"/>
                <w:position w:val="-1"/>
                <w:sz w:val="20"/>
                <w:szCs w:val="20"/>
              </w:rPr>
              <w:t>t</w:t>
            </w:r>
            <w:r w:rsidRPr="00537112">
              <w:rPr>
                <w:rFonts w:cs="Verdana"/>
                <w:position w:val="-1"/>
                <w:sz w:val="20"/>
                <w:szCs w:val="20"/>
              </w:rPr>
              <w:t>h</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an</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40</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3"/>
                <w:position w:val="-1"/>
                <w:sz w:val="20"/>
                <w:szCs w:val="20"/>
              </w:rPr>
              <w:t>i</w:t>
            </w:r>
            <w:r w:rsidRPr="00537112">
              <w:rPr>
                <w:rFonts w:cs="Verdana"/>
                <w:spacing w:val="-1"/>
                <w:position w:val="-1"/>
                <w:sz w:val="20"/>
                <w:szCs w:val="20"/>
              </w:rPr>
              <w:t>o</w:t>
            </w:r>
            <w:r w:rsidRPr="00537112">
              <w:rPr>
                <w:rFonts w:cs="Verdana"/>
                <w:position w:val="-1"/>
                <w:sz w:val="20"/>
                <w:szCs w:val="20"/>
              </w:rPr>
              <w:t>x</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95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dg</w:t>
            </w:r>
            <w:r w:rsidRPr="00537112">
              <w:rPr>
                <w:rFonts w:cs="Verdana"/>
                <w:position w:val="-1"/>
                <w:sz w:val="20"/>
                <w:szCs w:val="20"/>
              </w:rPr>
              <w:t>ar</w:t>
            </w:r>
            <w:r w:rsidRPr="00537112">
              <w:rPr>
                <w:rFonts w:cs="Verdana"/>
                <w:spacing w:val="-8"/>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é</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an</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41</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Am</w:t>
            </w:r>
            <w:r w:rsidRPr="00537112">
              <w:rPr>
                <w:rFonts w:cs="Verdana"/>
                <w:position w:val="-1"/>
                <w:sz w:val="20"/>
                <w:szCs w:val="20"/>
              </w:rPr>
              <w:t>a</w:t>
            </w:r>
            <w:r w:rsidRPr="00537112">
              <w:rPr>
                <w:rFonts w:cs="Verdana"/>
                <w:spacing w:val="3"/>
                <w:position w:val="-1"/>
                <w:sz w:val="20"/>
                <w:szCs w:val="20"/>
              </w:rPr>
              <w:t>li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3"/>
                <w:position w:val="-1"/>
                <w:sz w:val="20"/>
                <w:szCs w:val="20"/>
              </w:rPr>
              <w:t>i</w:t>
            </w:r>
            <w:r w:rsidRPr="00537112">
              <w:rPr>
                <w:rFonts w:cs="Verdana"/>
                <w:spacing w:val="-1"/>
                <w:position w:val="-1"/>
                <w:sz w:val="20"/>
                <w:szCs w:val="20"/>
              </w:rPr>
              <w:t>o</w:t>
            </w:r>
            <w:r w:rsidRPr="00537112">
              <w:rPr>
                <w:rFonts w:cs="Verdana"/>
                <w:position w:val="-1"/>
                <w:sz w:val="20"/>
                <w:szCs w:val="20"/>
              </w:rPr>
              <w:t>x</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96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Ang</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c</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T</w:t>
            </w:r>
            <w:r w:rsidRPr="00537112">
              <w:rPr>
                <w:rFonts w:cs="Verdana"/>
                <w:spacing w:val="-1"/>
                <w:position w:val="-1"/>
                <w:sz w:val="20"/>
                <w:szCs w:val="20"/>
              </w:rPr>
              <w:t>orre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42</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w:t>
            </w:r>
            <w:r w:rsidRPr="00537112">
              <w:rPr>
                <w:rFonts w:cs="Verdana"/>
                <w:spacing w:val="1"/>
                <w:position w:val="-1"/>
                <w:sz w:val="20"/>
                <w:szCs w:val="20"/>
              </w:rPr>
              <w:t>d</w:t>
            </w:r>
            <w:r w:rsidRPr="00537112">
              <w:rPr>
                <w:rFonts w:cs="Verdana"/>
                <w:spacing w:val="3"/>
                <w:position w:val="-1"/>
                <w:sz w:val="20"/>
                <w:szCs w:val="20"/>
              </w:rPr>
              <w:t>ili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Y</w:t>
            </w:r>
            <w:r w:rsidRPr="00537112">
              <w:rPr>
                <w:rFonts w:cs="Verdana"/>
                <w:spacing w:val="-1"/>
                <w:position w:val="-1"/>
                <w:sz w:val="20"/>
                <w:szCs w:val="20"/>
              </w:rPr>
              <w:t>esce</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3"/>
                <w:position w:val="-1"/>
                <w:sz w:val="20"/>
                <w:szCs w:val="20"/>
              </w:rPr>
              <w:t>i</w:t>
            </w:r>
            <w:r w:rsidRPr="00537112">
              <w:rPr>
                <w:rFonts w:cs="Verdana"/>
                <w:spacing w:val="-1"/>
                <w:position w:val="-1"/>
                <w:sz w:val="20"/>
                <w:szCs w:val="20"/>
              </w:rPr>
              <w:t>o</w:t>
            </w:r>
            <w:r w:rsidRPr="00537112">
              <w:rPr>
                <w:rFonts w:cs="Verdana"/>
                <w:position w:val="-1"/>
                <w:sz w:val="20"/>
                <w:szCs w:val="20"/>
              </w:rPr>
              <w:t>x</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97</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il</w:t>
            </w:r>
            <w:r w:rsidRPr="00537112">
              <w:rPr>
                <w:rFonts w:cs="Verdana"/>
                <w:spacing w:val="1"/>
                <w:position w:val="-1"/>
                <w:sz w:val="20"/>
                <w:szCs w:val="20"/>
              </w:rPr>
              <w:t>m</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T</w:t>
            </w:r>
            <w:r w:rsidRPr="00537112">
              <w:rPr>
                <w:rFonts w:cs="Verdana"/>
                <w:spacing w:val="-1"/>
                <w:position w:val="-1"/>
                <w:sz w:val="20"/>
                <w:szCs w:val="20"/>
              </w:rPr>
              <w:t>orre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43</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w:t>
            </w:r>
            <w:r w:rsidRPr="00537112">
              <w:rPr>
                <w:rFonts w:cs="Verdana"/>
                <w:spacing w:val="1"/>
                <w:position w:val="-1"/>
                <w:sz w:val="20"/>
                <w:szCs w:val="20"/>
              </w:rPr>
              <w:t>ug</w:t>
            </w:r>
            <w:r w:rsidRPr="00537112">
              <w:rPr>
                <w:rFonts w:cs="Verdana"/>
                <w:position w:val="-1"/>
                <w:sz w:val="20"/>
                <w:szCs w:val="20"/>
              </w:rPr>
              <w:t>o</w:t>
            </w:r>
            <w:r w:rsidRPr="00537112">
              <w:rPr>
                <w:rFonts w:cs="Verdana"/>
                <w:spacing w:val="-7"/>
                <w:position w:val="-1"/>
                <w:sz w:val="20"/>
                <w:szCs w:val="20"/>
              </w:rPr>
              <w:t xml:space="preserve"> </w:t>
            </w:r>
            <w:r w:rsidRPr="00537112">
              <w:rPr>
                <w:rFonts w:cs="Verdana"/>
                <w:position w:val="-1"/>
                <w:sz w:val="20"/>
                <w:szCs w:val="20"/>
              </w:rPr>
              <w:t>Ba</w:t>
            </w:r>
            <w:r w:rsidRPr="00537112">
              <w:rPr>
                <w:rFonts w:cs="Verdana"/>
                <w:spacing w:val="3"/>
                <w:position w:val="-1"/>
                <w:sz w:val="20"/>
                <w:szCs w:val="20"/>
              </w:rPr>
              <w:t>l</w:t>
            </w:r>
            <w:r w:rsidRPr="00537112">
              <w:rPr>
                <w:rFonts w:cs="Verdana"/>
                <w:spacing w:val="1"/>
                <w:position w:val="-1"/>
                <w:sz w:val="20"/>
                <w:szCs w:val="20"/>
              </w:rPr>
              <w:t>d</w:t>
            </w:r>
            <w:r w:rsidRPr="00537112">
              <w:rPr>
                <w:rFonts w:cs="Verdana"/>
                <w:spacing w:val="-1"/>
                <w:position w:val="-1"/>
                <w:sz w:val="20"/>
                <w:szCs w:val="20"/>
              </w:rPr>
              <w:t>o</w:t>
            </w:r>
            <w:r w:rsidRPr="00537112">
              <w:rPr>
                <w:rFonts w:cs="Verdana"/>
                <w:spacing w:val="1"/>
                <w:position w:val="-1"/>
                <w:sz w:val="20"/>
                <w:szCs w:val="20"/>
              </w:rPr>
              <w:t>m</w:t>
            </w:r>
            <w:r w:rsidRPr="00537112">
              <w:rPr>
                <w:rFonts w:cs="Verdana"/>
                <w:spacing w:val="-1"/>
                <w:position w:val="-1"/>
                <w:sz w:val="20"/>
                <w:szCs w:val="20"/>
              </w:rPr>
              <w:t>er</w:t>
            </w:r>
            <w:r w:rsidRPr="00537112">
              <w:rPr>
                <w:rFonts w:cs="Verdana"/>
                <w:position w:val="-1"/>
                <w:sz w:val="20"/>
                <w:szCs w:val="20"/>
              </w:rPr>
              <w:t>o</w:t>
            </w:r>
            <w:r w:rsidRPr="00537112">
              <w:rPr>
                <w:rFonts w:cs="Verdana"/>
                <w:spacing w:val="-13"/>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3"/>
                <w:position w:val="-1"/>
                <w:sz w:val="20"/>
                <w:szCs w:val="20"/>
              </w:rPr>
              <w:t>i</w:t>
            </w:r>
            <w:r w:rsidRPr="00537112">
              <w:rPr>
                <w:rFonts w:cs="Verdana"/>
                <w:spacing w:val="-1"/>
                <w:position w:val="-1"/>
                <w:sz w:val="20"/>
                <w:szCs w:val="20"/>
              </w:rPr>
              <w:t>o</w:t>
            </w:r>
            <w:r w:rsidRPr="00537112">
              <w:rPr>
                <w:rFonts w:cs="Verdana"/>
                <w:position w:val="-1"/>
                <w:sz w:val="20"/>
                <w:szCs w:val="20"/>
              </w:rPr>
              <w:t>x</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98</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o</w:t>
            </w:r>
            <w:r w:rsidRPr="00537112">
              <w:rPr>
                <w:rFonts w:cs="Verdana"/>
                <w:spacing w:val="1"/>
                <w:position w:val="-1"/>
                <w:sz w:val="20"/>
                <w:szCs w:val="20"/>
              </w:rPr>
              <w:t>nz</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T</w:t>
            </w:r>
            <w:r w:rsidRPr="00537112">
              <w:rPr>
                <w:rFonts w:cs="Verdana"/>
                <w:spacing w:val="-1"/>
                <w:position w:val="-1"/>
                <w:sz w:val="20"/>
                <w:szCs w:val="20"/>
              </w:rPr>
              <w:t>orre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44</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Au</w:t>
            </w:r>
            <w:r w:rsidRPr="00537112">
              <w:rPr>
                <w:rFonts w:cs="Verdana"/>
                <w:spacing w:val="-1"/>
                <w:position w:val="-1"/>
                <w:sz w:val="20"/>
                <w:szCs w:val="20"/>
              </w:rPr>
              <w:t>r</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Es</w:t>
            </w:r>
            <w:r w:rsidRPr="00537112">
              <w:rPr>
                <w:rFonts w:cs="Verdana"/>
                <w:spacing w:val="1"/>
                <w:position w:val="-1"/>
                <w:sz w:val="20"/>
                <w:szCs w:val="20"/>
              </w:rPr>
              <w:t>t</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3"/>
                <w:position w:val="-1"/>
                <w:sz w:val="20"/>
                <w:szCs w:val="20"/>
              </w:rPr>
              <w:t>i</w:t>
            </w:r>
            <w:r w:rsidRPr="00537112">
              <w:rPr>
                <w:rFonts w:cs="Verdana"/>
                <w:spacing w:val="-1"/>
                <w:position w:val="-1"/>
                <w:sz w:val="20"/>
                <w:szCs w:val="20"/>
              </w:rPr>
              <w:t>o</w:t>
            </w:r>
            <w:r w:rsidRPr="00537112">
              <w:rPr>
                <w:rFonts w:cs="Verdana"/>
                <w:position w:val="-1"/>
                <w:sz w:val="20"/>
                <w:szCs w:val="20"/>
              </w:rPr>
              <w:t>x</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99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Er</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nd</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45</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position w:val="-1"/>
                <w:sz w:val="20"/>
                <w:szCs w:val="20"/>
              </w:rPr>
              <w:t>a</w:t>
            </w:r>
            <w:r w:rsidRPr="00537112">
              <w:rPr>
                <w:rFonts w:cs="Verdana"/>
                <w:spacing w:val="1"/>
                <w:position w:val="-1"/>
                <w:sz w:val="20"/>
                <w:szCs w:val="20"/>
              </w:rPr>
              <w:t>b</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100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46</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101</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47</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or</w:t>
            </w:r>
            <w:r w:rsidRPr="00537112">
              <w:rPr>
                <w:rFonts w:cs="Verdana"/>
                <w:spacing w:val="1"/>
                <w:position w:val="-1"/>
                <w:sz w:val="20"/>
                <w:szCs w:val="20"/>
              </w:rPr>
              <w:t>g</w:t>
            </w:r>
            <w:r w:rsidRPr="00537112">
              <w:rPr>
                <w:rFonts w:cs="Verdana"/>
                <w:position w:val="-1"/>
                <w:sz w:val="20"/>
                <w:szCs w:val="20"/>
              </w:rPr>
              <w:t>e</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102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48</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103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í</w:t>
            </w:r>
            <w:r w:rsidRPr="00537112">
              <w:rPr>
                <w:rFonts w:cs="Verdana"/>
                <w:position w:val="-1"/>
                <w:sz w:val="20"/>
                <w:szCs w:val="20"/>
              </w:rPr>
              <w:t>n</w:t>
            </w:r>
            <w:r w:rsidRPr="00537112">
              <w:rPr>
                <w:rFonts w:cs="Verdana"/>
                <w:spacing w:val="-6"/>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49</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104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dg</w:t>
            </w:r>
            <w:r w:rsidRPr="00537112">
              <w:rPr>
                <w:rFonts w:cs="Verdana"/>
                <w:position w:val="-1"/>
                <w:sz w:val="20"/>
                <w:szCs w:val="20"/>
              </w:rPr>
              <w:t>ar</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50</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3"/>
                <w:position w:val="-1"/>
                <w:sz w:val="20"/>
                <w:szCs w:val="20"/>
              </w:rPr>
              <w:t>i</w:t>
            </w:r>
            <w:r w:rsidRPr="00537112">
              <w:rPr>
                <w:rFonts w:cs="Verdana"/>
                <w:position w:val="-1"/>
                <w:sz w:val="20"/>
                <w:szCs w:val="20"/>
              </w:rPr>
              <w:t>s</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é</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105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b</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51</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g</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106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52</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b</w:t>
            </w:r>
            <w:r w:rsidRPr="00537112">
              <w:rPr>
                <w:rFonts w:cs="Verdana"/>
                <w:spacing w:val="-1"/>
                <w:position w:val="-1"/>
                <w:sz w:val="20"/>
                <w:szCs w:val="20"/>
              </w:rPr>
              <w:t>oy</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107</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w:t>
            </w:r>
            <w:r w:rsidRPr="00537112">
              <w:rPr>
                <w:rFonts w:cs="Verdana"/>
                <w:spacing w:val="3"/>
                <w:position w:val="-1"/>
                <w:sz w:val="20"/>
                <w:szCs w:val="20"/>
              </w:rPr>
              <w:t>li</w:t>
            </w:r>
            <w:r w:rsidRPr="00537112">
              <w:rPr>
                <w:rFonts w:cs="Verdana"/>
                <w:position w:val="-1"/>
                <w:sz w:val="20"/>
                <w:szCs w:val="20"/>
              </w:rPr>
              <w:t>v</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53</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d</w:t>
            </w:r>
            <w:r w:rsidRPr="00537112">
              <w:rPr>
                <w:rFonts w:cs="Verdana"/>
                <w:spacing w:val="-1"/>
                <w:position w:val="-1"/>
                <w:sz w:val="20"/>
                <w:szCs w:val="20"/>
              </w:rPr>
              <w:t>e</w:t>
            </w:r>
            <w:r w:rsidRPr="00537112">
              <w:rPr>
                <w:rFonts w:cs="Verdana"/>
                <w:position w:val="-1"/>
                <w:sz w:val="20"/>
                <w:szCs w:val="20"/>
              </w:rPr>
              <w:t>l</w:t>
            </w:r>
            <w:r w:rsidRPr="00537112">
              <w:rPr>
                <w:rFonts w:cs="Verdana"/>
                <w:spacing w:val="-1"/>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108</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Na</w:t>
            </w:r>
            <w:r w:rsidRPr="00537112">
              <w:rPr>
                <w:rFonts w:cs="Verdana"/>
                <w:spacing w:val="1"/>
                <w:position w:val="-1"/>
                <w:sz w:val="20"/>
                <w:szCs w:val="20"/>
              </w:rPr>
              <w:t>t</w:t>
            </w:r>
            <w:r w:rsidRPr="00537112">
              <w:rPr>
                <w:rFonts w:cs="Verdana"/>
                <w:position w:val="-1"/>
                <w:sz w:val="20"/>
                <w:szCs w:val="20"/>
              </w:rPr>
              <w:t>a</w:t>
            </w:r>
            <w:r w:rsidRPr="00537112">
              <w:rPr>
                <w:rFonts w:cs="Verdana"/>
                <w:spacing w:val="3"/>
                <w:position w:val="-1"/>
                <w:sz w:val="20"/>
                <w:szCs w:val="20"/>
              </w:rPr>
              <w:t>li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54</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position w:val="-1"/>
                <w:sz w:val="20"/>
                <w:szCs w:val="20"/>
              </w:rPr>
              <w:t>N</w:t>
            </w:r>
            <w:r w:rsidRPr="00537112">
              <w:rPr>
                <w:rFonts w:cs="Verdana"/>
                <w:spacing w:val="3"/>
                <w:position w:val="-1"/>
                <w:sz w:val="20"/>
                <w:szCs w:val="20"/>
              </w:rPr>
              <w:t>i</w:t>
            </w:r>
            <w:r w:rsidRPr="00537112">
              <w:rPr>
                <w:rFonts w:cs="Verdana"/>
                <w:spacing w:val="-1"/>
                <w:position w:val="-1"/>
                <w:sz w:val="20"/>
                <w:szCs w:val="20"/>
              </w:rPr>
              <w:t>co</w:t>
            </w:r>
            <w:r w:rsidRPr="00537112">
              <w:rPr>
                <w:rFonts w:cs="Verdana"/>
                <w:spacing w:val="3"/>
                <w:position w:val="-1"/>
                <w:sz w:val="20"/>
                <w:szCs w:val="20"/>
              </w:rPr>
              <w:t>l</w:t>
            </w:r>
            <w:r w:rsidRPr="00537112">
              <w:rPr>
                <w:rFonts w:cs="Verdana"/>
                <w:position w:val="-1"/>
                <w:sz w:val="20"/>
                <w:szCs w:val="20"/>
              </w:rPr>
              <w:t>as</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109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v</w:t>
            </w:r>
            <w:r w:rsidRPr="00537112">
              <w:rPr>
                <w:rFonts w:cs="Verdana"/>
                <w:spacing w:val="3"/>
                <w:position w:val="-1"/>
                <w:sz w:val="20"/>
                <w:szCs w:val="20"/>
              </w:rPr>
              <w:t>i</w:t>
            </w:r>
            <w:r w:rsidRPr="00537112">
              <w:rPr>
                <w:rFonts w:cs="Verdana"/>
                <w:spacing w:val="-1"/>
                <w:position w:val="-1"/>
                <w:sz w:val="20"/>
                <w:szCs w:val="20"/>
              </w:rPr>
              <w:t>r</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55</w:t>
            </w:r>
          </w:p>
        </w:tc>
        <w:tc>
          <w:tcPr>
            <w:tcW w:w="3706"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c>
          <w:tcPr>
            <w:tcW w:w="583"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110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u</w:t>
            </w:r>
            <w:r w:rsidRPr="00537112">
              <w:rPr>
                <w:rFonts w:cs="Verdana"/>
                <w:spacing w:val="-1"/>
                <w:position w:val="-1"/>
                <w:sz w:val="20"/>
                <w:szCs w:val="20"/>
              </w:rPr>
              <w:t>s</w:t>
            </w:r>
            <w:r w:rsidRPr="00537112">
              <w:rPr>
                <w:rFonts w:cs="Verdana"/>
                <w:spacing w:val="1"/>
                <w:position w:val="-1"/>
                <w:sz w:val="20"/>
                <w:szCs w:val="20"/>
              </w:rPr>
              <w:t>t</w:t>
            </w:r>
            <w:r w:rsidRPr="00537112">
              <w:rPr>
                <w:rFonts w:cs="Verdana"/>
                <w:position w:val="-1"/>
                <w:sz w:val="20"/>
                <w:szCs w:val="20"/>
              </w:rPr>
              <w:t>a</w:t>
            </w:r>
            <w:r w:rsidRPr="00537112">
              <w:rPr>
                <w:rFonts w:cs="Verdana"/>
                <w:spacing w:val="1"/>
                <w:position w:val="-1"/>
                <w:sz w:val="20"/>
                <w:szCs w:val="20"/>
              </w:rPr>
              <w:t>qu</w:t>
            </w:r>
            <w:r w:rsidRPr="00537112">
              <w:rPr>
                <w:rFonts w:cs="Verdana"/>
                <w:spacing w:val="3"/>
                <w:position w:val="-1"/>
                <w:sz w:val="20"/>
                <w:szCs w:val="20"/>
              </w:rPr>
              <w:t>i</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position w:val="-1"/>
                <w:sz w:val="20"/>
                <w:szCs w:val="20"/>
              </w:rPr>
              <w:t>C</w:t>
            </w:r>
            <w:r w:rsidRPr="00537112">
              <w:rPr>
                <w:rFonts w:cs="Verdana"/>
                <w:spacing w:val="1"/>
                <w:position w:val="-1"/>
                <w:sz w:val="20"/>
                <w:szCs w:val="20"/>
              </w:rPr>
              <w:t>uqu</w:t>
            </w:r>
            <w:r w:rsidRPr="00537112">
              <w:rPr>
                <w:rFonts w:cs="Verdana"/>
                <w:spacing w:val="-1"/>
                <w:position w:val="-1"/>
                <w:sz w:val="20"/>
                <w:szCs w:val="20"/>
              </w:rPr>
              <w:t>e</w:t>
            </w:r>
            <w:r w:rsidRPr="00537112">
              <w:rPr>
                <w:rFonts w:cs="Verdana"/>
                <w:position w:val="-1"/>
                <w:sz w:val="20"/>
                <w:szCs w:val="20"/>
              </w:rPr>
              <w:t>j</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headerReference w:type="default" r:id="rId18"/>
          <w:pgSz w:w="12260" w:h="15840"/>
          <w:pgMar w:top="600" w:right="1720" w:bottom="280" w:left="1340" w:header="0" w:footer="0" w:gutter="0"/>
          <w:cols w:space="720" w:equalWidth="0">
            <w:col w:w="9200"/>
          </w:cols>
          <w:noEndnote/>
        </w:sectPr>
      </w:pPr>
    </w:p>
    <w:p w:rsidR="00537112" w:rsidRPr="00537112" w:rsidRDefault="00537112" w:rsidP="00537112">
      <w:pPr>
        <w:autoSpaceDE w:val="0"/>
        <w:autoSpaceDN w:val="0"/>
        <w:spacing w:before="9" w:line="80" w:lineRule="exact"/>
        <w:jc w:val="left"/>
        <w:textAlignment w:val="auto"/>
        <w:rPr>
          <w:rFonts w:ascii="Times New Roman" w:hAnsi="Times New Roman"/>
          <w:sz w:val="8"/>
          <w:szCs w:val="8"/>
        </w:rPr>
      </w:pPr>
    </w:p>
    <w:tbl>
      <w:tblPr>
        <w:tblW w:w="0" w:type="auto"/>
        <w:tblInd w:w="113" w:type="dxa"/>
        <w:tblLayout w:type="fixed"/>
        <w:tblCellMar>
          <w:left w:w="0" w:type="dxa"/>
          <w:right w:w="0" w:type="dxa"/>
        </w:tblCellMar>
        <w:tblLook w:val="0000" w:firstRow="0" w:lastRow="0" w:firstColumn="0" w:lastColumn="0" w:noHBand="0" w:noVBand="0"/>
      </w:tblPr>
      <w:tblGrid>
        <w:gridCol w:w="569"/>
        <w:gridCol w:w="3705"/>
        <w:gridCol w:w="584"/>
        <w:gridCol w:w="3991"/>
      </w:tblGrid>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111</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position w:val="-1"/>
                <w:sz w:val="20"/>
                <w:szCs w:val="20"/>
              </w:rPr>
              <w:t>Pa</w:t>
            </w:r>
            <w:r w:rsidRPr="00537112">
              <w:rPr>
                <w:rFonts w:cs="Verdana"/>
                <w:spacing w:val="1"/>
                <w:position w:val="-1"/>
                <w:sz w:val="20"/>
                <w:szCs w:val="20"/>
              </w:rPr>
              <w:t>t</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169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w:t>
            </w:r>
            <w:r w:rsidRPr="00537112">
              <w:rPr>
                <w:rFonts w:cs="Verdana"/>
                <w:spacing w:val="1"/>
                <w:position w:val="-1"/>
                <w:sz w:val="20"/>
                <w:szCs w:val="20"/>
              </w:rPr>
              <w:t>u</w:t>
            </w:r>
            <w:r w:rsidRPr="00537112">
              <w:rPr>
                <w:rFonts w:cs="Verdana"/>
                <w:spacing w:val="3"/>
                <w:position w:val="-1"/>
                <w:sz w:val="20"/>
                <w:szCs w:val="20"/>
              </w:rPr>
              <w:t>ill</w:t>
            </w:r>
            <w:r w:rsidRPr="00537112">
              <w:rPr>
                <w:rFonts w:cs="Verdana"/>
                <w:spacing w:val="-1"/>
                <w:position w:val="-1"/>
                <w:sz w:val="20"/>
                <w:szCs w:val="20"/>
              </w:rPr>
              <w:t>er</w:t>
            </w:r>
            <w:r w:rsidRPr="00537112">
              <w:rPr>
                <w:rFonts w:cs="Verdana"/>
                <w:spacing w:val="1"/>
                <w:position w:val="-1"/>
                <w:sz w:val="20"/>
                <w:szCs w:val="20"/>
              </w:rPr>
              <w:t>m</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uqu</w:t>
            </w:r>
            <w:r w:rsidRPr="00537112">
              <w:rPr>
                <w:rFonts w:cs="Verdana"/>
                <w:spacing w:val="-1"/>
                <w:position w:val="-1"/>
                <w:sz w:val="20"/>
                <w:szCs w:val="20"/>
              </w:rPr>
              <w:t>e</w:t>
            </w:r>
            <w:r w:rsidRPr="00537112">
              <w:rPr>
                <w:rFonts w:cs="Verdana"/>
                <w:position w:val="-1"/>
                <w:sz w:val="20"/>
                <w:szCs w:val="20"/>
              </w:rPr>
              <w:t>j</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112</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ose</w:t>
            </w:r>
            <w:r w:rsidRPr="00537112">
              <w:rPr>
                <w:rFonts w:cs="Verdana"/>
                <w:spacing w:val="1"/>
                <w:position w:val="-1"/>
                <w:sz w:val="20"/>
                <w:szCs w:val="20"/>
              </w:rPr>
              <w:t>nd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uqu</w:t>
            </w:r>
            <w:r w:rsidRPr="00537112">
              <w:rPr>
                <w:rFonts w:cs="Verdana"/>
                <w:spacing w:val="-1"/>
                <w:position w:val="-1"/>
                <w:sz w:val="20"/>
                <w:szCs w:val="20"/>
              </w:rPr>
              <w:t>e</w:t>
            </w:r>
            <w:r w:rsidRPr="00537112">
              <w:rPr>
                <w:rFonts w:cs="Verdana"/>
                <w:position w:val="-1"/>
                <w:sz w:val="20"/>
                <w:szCs w:val="20"/>
              </w:rPr>
              <w:t>j</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113</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171</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w:t>
            </w:r>
            <w:r w:rsidRPr="00537112">
              <w:rPr>
                <w:rFonts w:cs="Verdana"/>
                <w:spacing w:val="1"/>
                <w:position w:val="-1"/>
                <w:sz w:val="20"/>
                <w:szCs w:val="20"/>
              </w:rPr>
              <w:t>t</w:t>
            </w:r>
            <w:r w:rsidRPr="00537112">
              <w:rPr>
                <w:rFonts w:cs="Verdana"/>
                <w:spacing w:val="3"/>
                <w:position w:val="-1"/>
                <w:sz w:val="20"/>
                <w:szCs w:val="20"/>
              </w:rPr>
              <w:t>ili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uqu</w:t>
            </w:r>
            <w:r w:rsidRPr="00537112">
              <w:rPr>
                <w:rFonts w:cs="Verdana"/>
                <w:spacing w:val="-1"/>
                <w:position w:val="-1"/>
                <w:sz w:val="20"/>
                <w:szCs w:val="20"/>
              </w:rPr>
              <w:t>e</w:t>
            </w:r>
            <w:r w:rsidRPr="00537112">
              <w:rPr>
                <w:rFonts w:cs="Verdana"/>
                <w:position w:val="-1"/>
                <w:sz w:val="20"/>
                <w:szCs w:val="20"/>
              </w:rPr>
              <w:t>j</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114</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r w:rsidRPr="00537112">
              <w:rPr>
                <w:rFonts w:cs="Verdana"/>
                <w:spacing w:val="-3"/>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Leoc</w:t>
            </w:r>
            <w:r w:rsidRPr="00537112">
              <w:rPr>
                <w:rFonts w:cs="Verdana"/>
                <w:position w:val="-1"/>
                <w:sz w:val="20"/>
                <w:szCs w:val="20"/>
              </w:rPr>
              <w:t>a</w:t>
            </w:r>
            <w:r w:rsidRPr="00537112">
              <w:rPr>
                <w:rFonts w:cs="Verdana"/>
                <w:spacing w:val="1"/>
                <w:position w:val="-1"/>
                <w:sz w:val="20"/>
                <w:szCs w:val="20"/>
              </w:rPr>
              <w:t>d</w:t>
            </w:r>
            <w:r w:rsidRPr="00537112">
              <w:rPr>
                <w:rFonts w:cs="Verdana"/>
                <w:spacing w:val="3"/>
                <w:position w:val="-1"/>
                <w:sz w:val="20"/>
                <w:szCs w:val="20"/>
              </w:rPr>
              <w:t>i</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uqu</w:t>
            </w:r>
            <w:r w:rsidRPr="00537112">
              <w:rPr>
                <w:rFonts w:cs="Verdana"/>
                <w:spacing w:val="-1"/>
                <w:position w:val="-1"/>
                <w:sz w:val="20"/>
                <w:szCs w:val="20"/>
              </w:rPr>
              <w:t>e</w:t>
            </w:r>
            <w:r w:rsidRPr="00537112">
              <w:rPr>
                <w:rFonts w:cs="Verdana"/>
                <w:position w:val="-1"/>
                <w:sz w:val="20"/>
                <w:szCs w:val="20"/>
              </w:rPr>
              <w:t>j</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115</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position w:val="-1"/>
                <w:sz w:val="20"/>
                <w:szCs w:val="20"/>
              </w:rPr>
              <w:t>as</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Ang</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áz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116</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spacing w:val="3"/>
                <w:position w:val="-1"/>
                <w:sz w:val="20"/>
                <w:szCs w:val="20"/>
              </w:rPr>
              <w:t>il</w:t>
            </w:r>
            <w:r w:rsidRPr="00537112">
              <w:rPr>
                <w:rFonts w:cs="Verdana"/>
                <w:position w:val="-1"/>
                <w:sz w:val="20"/>
                <w:szCs w:val="20"/>
              </w:rPr>
              <w:t>v</w:t>
            </w:r>
            <w:r w:rsidRPr="00537112">
              <w:rPr>
                <w:rFonts w:cs="Verdana"/>
                <w:spacing w:val="-1"/>
                <w:position w:val="-1"/>
                <w:sz w:val="20"/>
                <w:szCs w:val="20"/>
              </w:rPr>
              <w:t>er</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áz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117</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position w:val="-1"/>
                <w:sz w:val="20"/>
                <w:szCs w:val="20"/>
              </w:rPr>
              <w:t>Páz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3"/>
                <w:position w:val="-1"/>
                <w:sz w:val="20"/>
                <w:szCs w:val="20"/>
              </w:rPr>
              <w:t>i</w:t>
            </w:r>
            <w:r w:rsidRPr="00537112">
              <w:rPr>
                <w:rFonts w:cs="Verdana"/>
                <w:position w:val="-1"/>
                <w:sz w:val="20"/>
                <w:szCs w:val="20"/>
              </w:rPr>
              <w:t>as</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118</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áz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Máx</w:t>
            </w:r>
            <w:r w:rsidRPr="00537112">
              <w:rPr>
                <w:rFonts w:cs="Verdana"/>
                <w:spacing w:val="3"/>
                <w:position w:val="-1"/>
                <w:sz w:val="20"/>
                <w:szCs w:val="20"/>
              </w:rPr>
              <w:t>i</w:t>
            </w:r>
            <w:r w:rsidRPr="00537112">
              <w:rPr>
                <w:rFonts w:cs="Verdana"/>
                <w:spacing w:val="1"/>
                <w:position w:val="-1"/>
                <w:sz w:val="20"/>
                <w:szCs w:val="20"/>
              </w:rPr>
              <w:t>m</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119</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rcó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position w:val="-1"/>
                <w:sz w:val="20"/>
                <w:szCs w:val="20"/>
              </w:rPr>
              <w:t>e</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177</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Na</w:t>
            </w:r>
            <w:r w:rsidRPr="00537112">
              <w:rPr>
                <w:rFonts w:cs="Verdana"/>
                <w:spacing w:val="1"/>
                <w:position w:val="-1"/>
                <w:sz w:val="20"/>
                <w:szCs w:val="20"/>
              </w:rPr>
              <w:t>z</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120</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es</w:t>
            </w:r>
            <w:r w:rsidRPr="00537112">
              <w:rPr>
                <w:rFonts w:cs="Verdana"/>
                <w:spacing w:val="1"/>
                <w:position w:val="-1"/>
                <w:sz w:val="20"/>
                <w:szCs w:val="20"/>
              </w:rPr>
              <w:t>u</w:t>
            </w:r>
            <w:r w:rsidRPr="00537112">
              <w:rPr>
                <w:rFonts w:cs="Verdana"/>
                <w:position w:val="-1"/>
                <w:sz w:val="20"/>
                <w:szCs w:val="20"/>
              </w:rPr>
              <w:t>s</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rcó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position w:val="-1"/>
                <w:sz w:val="20"/>
                <w:szCs w:val="20"/>
              </w:rPr>
              <w:t>e</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178</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g</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121</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rcó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position w:val="-1"/>
                <w:sz w:val="20"/>
                <w:szCs w:val="20"/>
              </w:rPr>
              <w:t>e</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179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122</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rcó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position w:val="-1"/>
                <w:sz w:val="20"/>
                <w:szCs w:val="20"/>
              </w:rPr>
              <w:t>e</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180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ec</w:t>
            </w:r>
            <w:r w:rsidRPr="00537112">
              <w:rPr>
                <w:rFonts w:cs="Verdana"/>
                <w:spacing w:val="3"/>
                <w:position w:val="-1"/>
                <w:sz w:val="20"/>
                <w:szCs w:val="20"/>
              </w:rPr>
              <w:t>i</w:t>
            </w:r>
            <w:r w:rsidRPr="00537112">
              <w:rPr>
                <w:rFonts w:cs="Verdana"/>
                <w:spacing w:val="1"/>
                <w:position w:val="-1"/>
                <w:sz w:val="20"/>
                <w:szCs w:val="20"/>
              </w:rPr>
              <w:t>d</w:t>
            </w:r>
            <w:r w:rsidRPr="00537112">
              <w:rPr>
                <w:rFonts w:cs="Verdana"/>
                <w:spacing w:val="-1"/>
                <w:position w:val="-1"/>
                <w:sz w:val="20"/>
                <w:szCs w:val="20"/>
              </w:rPr>
              <w:t>er</w:t>
            </w:r>
            <w:r w:rsidRPr="00537112">
              <w:rPr>
                <w:rFonts w:cs="Verdana"/>
                <w:spacing w:val="3"/>
                <w:position w:val="-1"/>
                <w:sz w:val="20"/>
                <w:szCs w:val="20"/>
              </w:rPr>
              <w:t>i</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123</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181</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r</w:t>
            </w:r>
            <w:r w:rsidRPr="00537112">
              <w:rPr>
                <w:rFonts w:cs="Verdana"/>
                <w:position w:val="-1"/>
                <w:sz w:val="20"/>
                <w:szCs w:val="20"/>
              </w:rPr>
              <w:t>á</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124</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position w:val="-1"/>
                <w:sz w:val="20"/>
                <w:szCs w:val="20"/>
              </w:rPr>
              <w:t>T</w:t>
            </w:r>
            <w:r w:rsidRPr="00537112">
              <w:rPr>
                <w:rFonts w:cs="Verdana"/>
                <w:spacing w:val="-1"/>
                <w:position w:val="-1"/>
                <w:sz w:val="20"/>
                <w:szCs w:val="20"/>
              </w:rPr>
              <w:t>ecú</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182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erce</w:t>
            </w:r>
            <w:r w:rsidRPr="00537112">
              <w:rPr>
                <w:rFonts w:cs="Verdana"/>
                <w:spacing w:val="1"/>
                <w:position w:val="-1"/>
                <w:sz w:val="20"/>
                <w:szCs w:val="20"/>
              </w:rPr>
              <w:t>d</w:t>
            </w:r>
            <w:r w:rsidRPr="00537112">
              <w:rPr>
                <w:rFonts w:cs="Verdana"/>
                <w:spacing w:val="-1"/>
                <w:position w:val="-1"/>
                <w:sz w:val="20"/>
                <w:szCs w:val="20"/>
              </w:rPr>
              <w:t>e</w:t>
            </w:r>
            <w:r w:rsidRPr="00537112">
              <w:rPr>
                <w:rFonts w:cs="Verdana"/>
                <w:position w:val="-1"/>
                <w:sz w:val="20"/>
                <w:szCs w:val="20"/>
              </w:rPr>
              <w:t>s</w:t>
            </w:r>
            <w:r w:rsidRPr="00537112">
              <w:rPr>
                <w:rFonts w:cs="Verdana"/>
                <w:spacing w:val="-10"/>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125</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Cá</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position w:val="-1"/>
                <w:sz w:val="20"/>
                <w:szCs w:val="20"/>
              </w:rPr>
              <w:t>n</w:t>
            </w:r>
            <w:r w:rsidRPr="00537112">
              <w:rPr>
                <w:rFonts w:cs="Verdana"/>
                <w:spacing w:val="-8"/>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tumú</w:t>
            </w:r>
            <w:r w:rsidRPr="00537112">
              <w:rPr>
                <w:rFonts w:cs="Verdana"/>
                <w:position w:val="-1"/>
                <w:sz w:val="20"/>
                <w:szCs w:val="20"/>
              </w:rPr>
              <w:t>l</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183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126</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184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nd</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De</w:t>
            </w:r>
            <w:r w:rsidRPr="00537112">
              <w:rPr>
                <w:rFonts w:cs="Verdana"/>
                <w:spacing w:val="-5"/>
                <w:position w:val="-1"/>
                <w:sz w:val="20"/>
                <w:szCs w:val="20"/>
              </w:rPr>
              <w:t xml:space="preserve"> </w:t>
            </w:r>
            <w:r w:rsidRPr="00537112">
              <w:rPr>
                <w:rFonts w:cs="Verdana"/>
                <w:position w:val="-1"/>
                <w:sz w:val="20"/>
                <w:szCs w:val="20"/>
              </w:rPr>
              <w:t>Paz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127</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qu</w:t>
            </w:r>
            <w:r w:rsidRPr="00537112">
              <w:rPr>
                <w:rFonts w:cs="Verdana"/>
                <w:position w:val="-1"/>
                <w:sz w:val="20"/>
                <w:szCs w:val="20"/>
              </w:rPr>
              <w:t>e</w:t>
            </w:r>
            <w:r w:rsidRPr="00537112">
              <w:rPr>
                <w:rFonts w:cs="Verdana"/>
                <w:spacing w:val="-10"/>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tumul</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185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c</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128</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tumul</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186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129</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lang w:val="pt-BR"/>
              </w:rPr>
            </w:pPr>
            <w:r w:rsidRPr="00537112">
              <w:rPr>
                <w:rFonts w:cs="Verdana"/>
                <w:position w:val="-1"/>
                <w:sz w:val="20"/>
                <w:szCs w:val="20"/>
                <w:lang w:val="pt-BR"/>
              </w:rPr>
              <w:t>P</w:t>
            </w:r>
            <w:r w:rsidRPr="00537112">
              <w:rPr>
                <w:rFonts w:cs="Verdana"/>
                <w:spacing w:val="-1"/>
                <w:position w:val="-1"/>
                <w:sz w:val="20"/>
                <w:szCs w:val="20"/>
                <w:lang w:val="pt-BR"/>
              </w:rPr>
              <w:t>e</w:t>
            </w:r>
            <w:r w:rsidRPr="00537112">
              <w:rPr>
                <w:rFonts w:cs="Verdana"/>
                <w:spacing w:val="1"/>
                <w:position w:val="-1"/>
                <w:sz w:val="20"/>
                <w:szCs w:val="20"/>
                <w:lang w:val="pt-BR"/>
              </w:rPr>
              <w:t>d</w:t>
            </w:r>
            <w:r w:rsidRPr="00537112">
              <w:rPr>
                <w:rFonts w:cs="Verdana"/>
                <w:spacing w:val="-1"/>
                <w:position w:val="-1"/>
                <w:sz w:val="20"/>
                <w:szCs w:val="20"/>
                <w:lang w:val="pt-BR"/>
              </w:rPr>
              <w:t>r</w:t>
            </w:r>
            <w:r w:rsidRPr="00537112">
              <w:rPr>
                <w:rFonts w:cs="Verdana"/>
                <w:spacing w:val="3"/>
                <w:position w:val="-1"/>
                <w:sz w:val="20"/>
                <w:szCs w:val="20"/>
                <w:lang w:val="pt-BR"/>
              </w:rPr>
              <w:t>i</w:t>
            </w:r>
            <w:r w:rsidRPr="00537112">
              <w:rPr>
                <w:rFonts w:cs="Verdana"/>
                <w:spacing w:val="1"/>
                <w:position w:val="-1"/>
                <w:sz w:val="20"/>
                <w:szCs w:val="20"/>
                <w:lang w:val="pt-BR"/>
              </w:rPr>
              <w:t>n</w:t>
            </w:r>
            <w:r w:rsidRPr="00537112">
              <w:rPr>
                <w:rFonts w:cs="Verdana"/>
                <w:position w:val="-1"/>
                <w:sz w:val="20"/>
                <w:szCs w:val="20"/>
                <w:lang w:val="pt-BR"/>
              </w:rPr>
              <w:t>a</w:t>
            </w:r>
            <w:r w:rsidRPr="00537112">
              <w:rPr>
                <w:rFonts w:cs="Verdana"/>
                <w:spacing w:val="-8"/>
                <w:position w:val="-1"/>
                <w:sz w:val="20"/>
                <w:szCs w:val="20"/>
                <w:lang w:val="pt-BR"/>
              </w:rPr>
              <w:t xml:space="preserve"> </w:t>
            </w:r>
            <w:r w:rsidRPr="00537112">
              <w:rPr>
                <w:rFonts w:cs="Verdana"/>
                <w:spacing w:val="1"/>
                <w:position w:val="-1"/>
                <w:sz w:val="20"/>
                <w:szCs w:val="20"/>
                <w:lang w:val="pt-BR"/>
              </w:rPr>
              <w:t>R</w:t>
            </w:r>
            <w:r w:rsidRPr="00537112">
              <w:rPr>
                <w:rFonts w:cs="Verdana"/>
                <w:spacing w:val="-1"/>
                <w:position w:val="-1"/>
                <w:sz w:val="20"/>
                <w:szCs w:val="20"/>
                <w:lang w:val="pt-BR"/>
              </w:rPr>
              <w:t>o</w:t>
            </w:r>
            <w:r w:rsidRPr="00537112">
              <w:rPr>
                <w:rFonts w:cs="Verdana"/>
                <w:spacing w:val="1"/>
                <w:position w:val="-1"/>
                <w:sz w:val="20"/>
                <w:szCs w:val="20"/>
                <w:lang w:val="pt-BR"/>
              </w:rPr>
              <w:t>m</w:t>
            </w:r>
            <w:r w:rsidRPr="00537112">
              <w:rPr>
                <w:rFonts w:cs="Verdana"/>
                <w:position w:val="-1"/>
                <w:sz w:val="20"/>
                <w:szCs w:val="20"/>
                <w:lang w:val="pt-BR"/>
              </w:rPr>
              <w:t>án</w:t>
            </w:r>
            <w:r w:rsidRPr="00537112">
              <w:rPr>
                <w:rFonts w:cs="Verdana"/>
                <w:spacing w:val="-7"/>
                <w:position w:val="-1"/>
                <w:sz w:val="20"/>
                <w:szCs w:val="20"/>
                <w:lang w:val="pt-BR"/>
              </w:rPr>
              <w:t xml:space="preserve"> </w:t>
            </w:r>
            <w:r w:rsidRPr="00537112">
              <w:rPr>
                <w:rFonts w:cs="Verdana"/>
                <w:position w:val="-1"/>
                <w:sz w:val="20"/>
                <w:szCs w:val="20"/>
                <w:lang w:val="pt-BR"/>
              </w:rPr>
              <w:t>X</w:t>
            </w:r>
            <w:r w:rsidRPr="00537112">
              <w:rPr>
                <w:rFonts w:cs="Verdana"/>
                <w:spacing w:val="3"/>
                <w:position w:val="-1"/>
                <w:sz w:val="20"/>
                <w:szCs w:val="20"/>
                <w:lang w:val="pt-BR"/>
              </w:rPr>
              <w:t>i</w:t>
            </w:r>
            <w:r w:rsidRPr="00537112">
              <w:rPr>
                <w:rFonts w:cs="Verdana"/>
                <w:spacing w:val="1"/>
                <w:position w:val="-1"/>
                <w:sz w:val="20"/>
                <w:szCs w:val="20"/>
                <w:lang w:val="pt-BR"/>
              </w:rPr>
              <w:t>tumu</w:t>
            </w:r>
            <w:r w:rsidRPr="00537112">
              <w:rPr>
                <w:rFonts w:cs="Verdana"/>
                <w:position w:val="-1"/>
                <w:sz w:val="20"/>
                <w:szCs w:val="20"/>
                <w:lang w:val="pt-BR"/>
              </w:rPr>
              <w:t>l</w:t>
            </w:r>
            <w:r w:rsidRPr="00537112">
              <w:rPr>
                <w:rFonts w:cs="Verdana"/>
                <w:spacing w:val="-6"/>
                <w:position w:val="-1"/>
                <w:sz w:val="20"/>
                <w:szCs w:val="20"/>
                <w:lang w:val="pt-BR"/>
              </w:rPr>
              <w:t xml:space="preserve"> </w:t>
            </w:r>
            <w:r w:rsidRPr="00537112">
              <w:rPr>
                <w:rFonts w:cs="Verdana"/>
                <w:spacing w:val="1"/>
                <w:position w:val="-1"/>
                <w:sz w:val="20"/>
                <w:szCs w:val="20"/>
                <w:lang w:val="pt-BR"/>
              </w:rPr>
              <w:t>d</w:t>
            </w:r>
            <w:r w:rsidRPr="00537112">
              <w:rPr>
                <w:rFonts w:cs="Verdana"/>
                <w:position w:val="-1"/>
                <w:sz w:val="20"/>
                <w:szCs w:val="20"/>
                <w:lang w:val="pt-BR"/>
              </w:rPr>
              <w:t>e</w:t>
            </w:r>
            <w:r w:rsidRPr="00537112">
              <w:rPr>
                <w:rFonts w:cs="Verdana"/>
                <w:spacing w:val="-4"/>
                <w:position w:val="-1"/>
                <w:sz w:val="20"/>
                <w:szCs w:val="20"/>
                <w:lang w:val="pt-BR"/>
              </w:rPr>
              <w:t xml:space="preserve"> </w:t>
            </w:r>
            <w:r w:rsidRPr="00537112">
              <w:rPr>
                <w:rFonts w:cs="Verdana"/>
                <w:position w:val="-1"/>
                <w:sz w:val="20"/>
                <w:szCs w:val="20"/>
                <w:lang w:val="pt-BR"/>
              </w:rPr>
              <w:t>P</w:t>
            </w:r>
            <w:r w:rsidRPr="00537112">
              <w:rPr>
                <w:rFonts w:cs="Verdana"/>
                <w:spacing w:val="3"/>
                <w:position w:val="-1"/>
                <w:sz w:val="20"/>
                <w:szCs w:val="20"/>
                <w:lang w:val="pt-BR"/>
              </w:rPr>
              <w:t>i</w:t>
            </w:r>
            <w:r w:rsidRPr="00537112">
              <w:rPr>
                <w:rFonts w:cs="Verdana"/>
                <w:spacing w:val="-1"/>
                <w:position w:val="-1"/>
                <w:sz w:val="20"/>
                <w:szCs w:val="20"/>
                <w:lang w:val="pt-BR"/>
              </w:rPr>
              <w:t>o</w:t>
            </w:r>
            <w:r w:rsidRPr="00537112">
              <w:rPr>
                <w:rFonts w:cs="Verdana"/>
                <w:position w:val="-1"/>
                <w:sz w:val="20"/>
                <w:szCs w:val="20"/>
                <w:lang w:val="pt-BR"/>
              </w:rPr>
              <w:t>x</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187</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3"/>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n</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130</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spacing w:val="1"/>
                <w:position w:val="-1"/>
                <w:sz w:val="20"/>
                <w:szCs w:val="20"/>
              </w:rPr>
              <w:t>u</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up</w:t>
            </w:r>
            <w:r w:rsidRPr="00537112">
              <w:rPr>
                <w:rFonts w:cs="Verdana"/>
                <w:position w:val="-1"/>
                <w:sz w:val="20"/>
                <w:szCs w:val="20"/>
              </w:rPr>
              <w:t>e</w:t>
            </w:r>
            <w:r w:rsidRPr="00537112">
              <w:rPr>
                <w:rFonts w:cs="Verdana"/>
                <w:spacing w:val="-13"/>
                <w:position w:val="-1"/>
                <w:sz w:val="20"/>
                <w:szCs w:val="20"/>
              </w:rPr>
              <w:t xml:space="preserve"> </w:t>
            </w:r>
            <w:r w:rsidRPr="00537112">
              <w:rPr>
                <w:rFonts w:cs="Verdana"/>
                <w:spacing w:val="1"/>
                <w:position w:val="-1"/>
                <w:sz w:val="20"/>
                <w:szCs w:val="20"/>
              </w:rPr>
              <w:t>Amp</w:t>
            </w:r>
            <w:r w:rsidRPr="00537112">
              <w:rPr>
                <w:rFonts w:cs="Verdana"/>
                <w:spacing w:val="-1"/>
                <w:position w:val="-1"/>
                <w:sz w:val="20"/>
                <w:szCs w:val="20"/>
              </w:rPr>
              <w:t>ére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188</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Lo</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131</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189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t</w:t>
            </w:r>
            <w:r w:rsidRPr="00537112">
              <w:rPr>
                <w:rFonts w:cs="Verdana"/>
                <w:spacing w:val="-1"/>
                <w:position w:val="-1"/>
                <w:sz w:val="20"/>
                <w:szCs w:val="20"/>
              </w:rPr>
              <w:t>roc</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132</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Ang</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Augu</w:t>
            </w:r>
            <w:r w:rsidRPr="00537112">
              <w:rPr>
                <w:rFonts w:cs="Verdana"/>
                <w:spacing w:val="-1"/>
                <w:position w:val="-1"/>
                <w:sz w:val="20"/>
                <w:szCs w:val="20"/>
              </w:rPr>
              <w:t>s</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190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Gre</w:t>
            </w:r>
            <w:r w:rsidRPr="00537112">
              <w:rPr>
                <w:rFonts w:cs="Verdana"/>
                <w:spacing w:val="1"/>
                <w:position w:val="-1"/>
                <w:sz w:val="20"/>
                <w:szCs w:val="20"/>
              </w:rPr>
              <w:t>g</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62"/>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133</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gu</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Hec</w:t>
            </w:r>
            <w:r w:rsidRPr="00537112">
              <w:rPr>
                <w:rFonts w:cs="Verdana"/>
                <w:spacing w:val="1"/>
                <w:position w:val="-1"/>
                <w:sz w:val="20"/>
                <w:szCs w:val="20"/>
              </w:rPr>
              <w:t>t</w:t>
            </w:r>
            <w:r w:rsidRPr="00537112">
              <w:rPr>
                <w:rFonts w:cs="Verdana"/>
                <w:spacing w:val="-1"/>
                <w:position w:val="-1"/>
                <w:sz w:val="20"/>
                <w:szCs w:val="20"/>
              </w:rPr>
              <w:t>o</w:t>
            </w:r>
            <w:r w:rsidRPr="00537112">
              <w:rPr>
                <w:rFonts w:cs="Verdana"/>
                <w:position w:val="-1"/>
                <w:sz w:val="20"/>
                <w:szCs w:val="20"/>
              </w:rPr>
              <w:t>r</w:t>
            </w:r>
            <w:r w:rsidRPr="00537112">
              <w:rPr>
                <w:rFonts w:cs="Verdana"/>
                <w:spacing w:val="-9"/>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ecó</w:t>
            </w:r>
            <w:r w:rsidRPr="00537112">
              <w:rPr>
                <w:rFonts w:cs="Verdana"/>
                <w:position w:val="-1"/>
                <w:sz w:val="20"/>
                <w:szCs w:val="20"/>
              </w:rPr>
              <w:t>c</w:t>
            </w:r>
            <w:r w:rsidRPr="00537112">
              <w:rPr>
                <w:rFonts w:cs="Verdana"/>
                <w:spacing w:val="-8"/>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191</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spacing w:val="-1"/>
                <w:position w:val="-1"/>
                <w:sz w:val="20"/>
                <w:szCs w:val="20"/>
              </w:rPr>
              <w:t>s</w:t>
            </w:r>
            <w:r w:rsidRPr="00537112">
              <w:rPr>
                <w:rFonts w:cs="Verdana"/>
                <w:spacing w:val="1"/>
                <w:position w:val="-1"/>
                <w:sz w:val="20"/>
                <w:szCs w:val="20"/>
              </w:rPr>
              <w:t>t</w:t>
            </w:r>
            <w:r w:rsidRPr="00537112">
              <w:rPr>
                <w:rFonts w:cs="Verdana"/>
                <w:position w:val="-1"/>
                <w:sz w:val="20"/>
                <w:szCs w:val="20"/>
              </w:rPr>
              <w:t>o</w:t>
            </w:r>
            <w:r w:rsidRPr="00537112">
              <w:rPr>
                <w:rFonts w:cs="Verdana"/>
                <w:spacing w:val="-7"/>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tá</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134</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position w:val="-1"/>
                <w:sz w:val="20"/>
                <w:szCs w:val="20"/>
              </w:rPr>
              <w:t>a</w:t>
            </w:r>
            <w:r w:rsidRPr="00537112">
              <w:rPr>
                <w:rFonts w:cs="Verdana"/>
                <w:spacing w:val="-1"/>
                <w:position w:val="-1"/>
                <w:sz w:val="20"/>
                <w:szCs w:val="20"/>
              </w:rPr>
              <w:t>s</w:t>
            </w:r>
            <w:r w:rsidRPr="00537112">
              <w:rPr>
                <w:rFonts w:cs="Verdana"/>
                <w:spacing w:val="1"/>
                <w:position w:val="-1"/>
                <w:sz w:val="20"/>
                <w:szCs w:val="20"/>
              </w:rPr>
              <w:t>t</w:t>
            </w:r>
            <w:r w:rsidRPr="00537112">
              <w:rPr>
                <w:rFonts w:cs="Verdana"/>
                <w:position w:val="-1"/>
                <w:sz w:val="20"/>
                <w:szCs w:val="20"/>
              </w:rPr>
              <w:t>a</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co</w:t>
            </w:r>
            <w:r w:rsidRPr="00537112">
              <w:rPr>
                <w:rFonts w:cs="Verdana"/>
                <w:position w:val="-1"/>
                <w:sz w:val="20"/>
                <w:szCs w:val="20"/>
              </w:rPr>
              <w:t>c</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192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lang w:val="pt-BR"/>
              </w:rPr>
            </w:pPr>
            <w:r w:rsidRPr="00537112">
              <w:rPr>
                <w:rFonts w:cs="Verdana"/>
                <w:spacing w:val="1"/>
                <w:position w:val="-1"/>
                <w:sz w:val="20"/>
                <w:szCs w:val="20"/>
                <w:lang w:val="pt-BR"/>
              </w:rPr>
              <w:t>F</w:t>
            </w:r>
            <w:r w:rsidRPr="00537112">
              <w:rPr>
                <w:rFonts w:cs="Verdana"/>
                <w:spacing w:val="-1"/>
                <w:position w:val="-1"/>
                <w:sz w:val="20"/>
                <w:szCs w:val="20"/>
                <w:lang w:val="pt-BR"/>
              </w:rPr>
              <w:t>e</w:t>
            </w:r>
            <w:r w:rsidRPr="00537112">
              <w:rPr>
                <w:rFonts w:cs="Verdana"/>
                <w:spacing w:val="3"/>
                <w:position w:val="-1"/>
                <w:sz w:val="20"/>
                <w:szCs w:val="20"/>
                <w:lang w:val="pt-BR"/>
              </w:rPr>
              <w:t>li</w:t>
            </w:r>
            <w:r w:rsidRPr="00537112">
              <w:rPr>
                <w:rFonts w:cs="Verdana"/>
                <w:spacing w:val="1"/>
                <w:position w:val="-1"/>
                <w:sz w:val="20"/>
                <w:szCs w:val="20"/>
                <w:lang w:val="pt-BR"/>
              </w:rPr>
              <w:t>p</w:t>
            </w:r>
            <w:r w:rsidRPr="00537112">
              <w:rPr>
                <w:rFonts w:cs="Verdana"/>
                <w:position w:val="-1"/>
                <w:sz w:val="20"/>
                <w:szCs w:val="20"/>
                <w:lang w:val="pt-BR"/>
              </w:rPr>
              <w:t>a</w:t>
            </w:r>
            <w:r w:rsidRPr="00537112">
              <w:rPr>
                <w:rFonts w:cs="Verdana"/>
                <w:spacing w:val="-6"/>
                <w:position w:val="-1"/>
                <w:sz w:val="20"/>
                <w:szCs w:val="20"/>
                <w:lang w:val="pt-BR"/>
              </w:rPr>
              <w:t xml:space="preserve"> </w:t>
            </w:r>
            <w:r w:rsidRPr="00537112">
              <w:rPr>
                <w:rFonts w:cs="Verdana"/>
                <w:spacing w:val="1"/>
                <w:position w:val="-1"/>
                <w:sz w:val="20"/>
                <w:szCs w:val="20"/>
                <w:lang w:val="pt-BR"/>
              </w:rPr>
              <w:t>Ju</w:t>
            </w:r>
            <w:r w:rsidRPr="00537112">
              <w:rPr>
                <w:rFonts w:cs="Verdana"/>
                <w:position w:val="-1"/>
                <w:sz w:val="20"/>
                <w:szCs w:val="20"/>
                <w:lang w:val="pt-BR"/>
              </w:rPr>
              <w:t>a</w:t>
            </w:r>
            <w:r w:rsidRPr="00537112">
              <w:rPr>
                <w:rFonts w:cs="Verdana"/>
                <w:spacing w:val="-1"/>
                <w:position w:val="-1"/>
                <w:sz w:val="20"/>
                <w:szCs w:val="20"/>
                <w:lang w:val="pt-BR"/>
              </w:rPr>
              <w:t>re</w:t>
            </w:r>
            <w:r w:rsidRPr="00537112">
              <w:rPr>
                <w:rFonts w:cs="Verdana"/>
                <w:position w:val="-1"/>
                <w:sz w:val="20"/>
                <w:szCs w:val="20"/>
                <w:lang w:val="pt-BR"/>
              </w:rPr>
              <w:t>z</w:t>
            </w:r>
            <w:r w:rsidRPr="00537112">
              <w:rPr>
                <w:rFonts w:cs="Verdana"/>
                <w:spacing w:val="-6"/>
                <w:position w:val="-1"/>
                <w:sz w:val="20"/>
                <w:szCs w:val="20"/>
                <w:lang w:val="pt-BR"/>
              </w:rPr>
              <w:t xml:space="preserve"> </w:t>
            </w:r>
            <w:r w:rsidRPr="00537112">
              <w:rPr>
                <w:rFonts w:cs="Verdana"/>
                <w:spacing w:val="-1"/>
                <w:position w:val="-1"/>
                <w:sz w:val="20"/>
                <w:szCs w:val="20"/>
                <w:lang w:val="pt-BR"/>
              </w:rPr>
              <w:t>Lo</w:t>
            </w:r>
            <w:r w:rsidRPr="00537112">
              <w:rPr>
                <w:rFonts w:cs="Verdana"/>
                <w:spacing w:val="1"/>
                <w:position w:val="-1"/>
                <w:sz w:val="20"/>
                <w:szCs w:val="20"/>
                <w:lang w:val="pt-BR"/>
              </w:rPr>
              <w:t>p</w:t>
            </w:r>
            <w:r w:rsidRPr="00537112">
              <w:rPr>
                <w:rFonts w:cs="Verdana"/>
                <w:spacing w:val="-1"/>
                <w:position w:val="-1"/>
                <w:sz w:val="20"/>
                <w:szCs w:val="20"/>
                <w:lang w:val="pt-BR"/>
              </w:rPr>
              <w:t>e</w:t>
            </w:r>
            <w:r w:rsidRPr="00537112">
              <w:rPr>
                <w:rFonts w:cs="Verdana"/>
                <w:position w:val="-1"/>
                <w:sz w:val="20"/>
                <w:szCs w:val="20"/>
                <w:lang w:val="pt-BR"/>
              </w:rPr>
              <w:t>z</w:t>
            </w:r>
            <w:r w:rsidRPr="00537112">
              <w:rPr>
                <w:rFonts w:cs="Verdana"/>
                <w:spacing w:val="-6"/>
                <w:position w:val="-1"/>
                <w:sz w:val="20"/>
                <w:szCs w:val="20"/>
                <w:lang w:val="pt-BR"/>
              </w:rPr>
              <w:t xml:space="preserve"> </w:t>
            </w:r>
            <w:r w:rsidRPr="00537112">
              <w:rPr>
                <w:rFonts w:cs="Verdana"/>
                <w:spacing w:val="1"/>
                <w:position w:val="-1"/>
                <w:sz w:val="20"/>
                <w:szCs w:val="20"/>
                <w:lang w:val="pt-BR"/>
              </w:rPr>
              <w:t>d</w:t>
            </w:r>
            <w:r w:rsidRPr="00537112">
              <w:rPr>
                <w:rFonts w:cs="Verdana"/>
                <w:position w:val="-1"/>
                <w:sz w:val="20"/>
                <w:szCs w:val="20"/>
                <w:lang w:val="pt-BR"/>
              </w:rPr>
              <w:t>e</w:t>
            </w:r>
            <w:r w:rsidRPr="00537112">
              <w:rPr>
                <w:rFonts w:cs="Verdana"/>
                <w:spacing w:val="-4"/>
                <w:position w:val="-1"/>
                <w:sz w:val="20"/>
                <w:szCs w:val="20"/>
                <w:lang w:val="pt-BR"/>
              </w:rPr>
              <w:t xml:space="preserve"> </w:t>
            </w:r>
            <w:r w:rsidRPr="00537112">
              <w:rPr>
                <w:rFonts w:cs="Verdana"/>
                <w:position w:val="-1"/>
                <w:sz w:val="20"/>
                <w:szCs w:val="20"/>
                <w:lang w:val="pt-BR"/>
              </w:rPr>
              <w:t>Ma</w:t>
            </w:r>
            <w:r w:rsidRPr="00537112">
              <w:rPr>
                <w:rFonts w:cs="Verdana"/>
                <w:spacing w:val="1"/>
                <w:position w:val="-1"/>
                <w:sz w:val="20"/>
                <w:szCs w:val="20"/>
                <w:lang w:val="pt-BR"/>
              </w:rPr>
              <w:t>nu</w:t>
            </w:r>
            <w:r w:rsidRPr="00537112">
              <w:rPr>
                <w:rFonts w:cs="Verdana"/>
                <w:spacing w:val="-1"/>
                <w:position w:val="-1"/>
                <w:sz w:val="20"/>
                <w:szCs w:val="20"/>
                <w:lang w:val="pt-BR"/>
              </w:rPr>
              <w:t>e</w:t>
            </w:r>
            <w:r w:rsidRPr="00537112">
              <w:rPr>
                <w:rFonts w:cs="Verdana"/>
                <w:position w:val="-1"/>
                <w:sz w:val="20"/>
                <w:szCs w:val="20"/>
                <w:lang w:val="pt-BR"/>
              </w:rPr>
              <w:t>l</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135</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193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eres</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136</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t</w:t>
            </w:r>
            <w:r w:rsidRPr="00537112">
              <w:rPr>
                <w:rFonts w:cs="Verdana"/>
                <w:spacing w:val="-1"/>
                <w:position w:val="-1"/>
                <w:sz w:val="20"/>
                <w:szCs w:val="20"/>
              </w:rPr>
              <w:t>roc</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194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137</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195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position w:val="-1"/>
                <w:sz w:val="20"/>
                <w:szCs w:val="20"/>
              </w:rPr>
              <w:t>o</w:t>
            </w:r>
            <w:r w:rsidRPr="00537112">
              <w:rPr>
                <w:rFonts w:cs="Verdana"/>
                <w:spacing w:val="-8"/>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138</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nd</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196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osef</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139</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Le</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up</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197</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as</w:t>
            </w:r>
            <w:r w:rsidRPr="00537112">
              <w:rPr>
                <w:rFonts w:cs="Verdana"/>
                <w:spacing w:val="-8"/>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140</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e</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up</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198</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141</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1"/>
                <w:position w:val="-1"/>
                <w:sz w:val="20"/>
                <w:szCs w:val="20"/>
              </w:rPr>
              <w:t>nt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199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spacing w:val="-1"/>
                <w:position w:val="-1"/>
                <w:sz w:val="20"/>
                <w:szCs w:val="20"/>
              </w:rPr>
              <w:t>se</w:t>
            </w:r>
            <w:r w:rsidRPr="00537112">
              <w:rPr>
                <w:rFonts w:cs="Verdana"/>
                <w:spacing w:val="3"/>
                <w:position w:val="-1"/>
                <w:sz w:val="20"/>
                <w:szCs w:val="20"/>
              </w:rPr>
              <w:t>l</w:t>
            </w:r>
            <w:r w:rsidRPr="00537112">
              <w:rPr>
                <w:rFonts w:cs="Verdana"/>
                <w:spacing w:val="1"/>
                <w:position w:val="-1"/>
                <w:sz w:val="20"/>
                <w:szCs w:val="20"/>
              </w:rPr>
              <w:t>m</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3"/>
                <w:position w:val="-1"/>
                <w:sz w:val="20"/>
                <w:szCs w:val="20"/>
              </w:rPr>
              <w:t>l</w:t>
            </w:r>
            <w:r w:rsidRPr="00537112">
              <w:rPr>
                <w:rFonts w:cs="Verdana"/>
                <w:position w:val="-1"/>
                <w:sz w:val="20"/>
                <w:szCs w:val="20"/>
              </w:rPr>
              <w:t>a</w:t>
            </w:r>
            <w:r w:rsidRPr="00537112">
              <w:rPr>
                <w:rFonts w:cs="Verdana"/>
                <w:spacing w:val="-2"/>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ú</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142</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nqu</w:t>
            </w:r>
            <w:r w:rsidRPr="00537112">
              <w:rPr>
                <w:rFonts w:cs="Verdana"/>
                <w:spacing w:val="3"/>
                <w:position w:val="-1"/>
                <w:sz w:val="20"/>
                <w:szCs w:val="20"/>
              </w:rPr>
              <w:t>ili</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an</w:t>
            </w:r>
            <w:r w:rsidRPr="00537112">
              <w:rPr>
                <w:rFonts w:cs="Verdana"/>
                <w:spacing w:val="-7"/>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200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position w:val="-1"/>
                <w:sz w:val="20"/>
                <w:szCs w:val="20"/>
              </w:rPr>
              <w:t>a</w:t>
            </w:r>
            <w:r w:rsidRPr="00537112">
              <w:rPr>
                <w:rFonts w:cs="Verdana"/>
                <w:spacing w:val="1"/>
                <w:position w:val="-1"/>
                <w:sz w:val="20"/>
                <w:szCs w:val="20"/>
              </w:rPr>
              <w:t>u</w:t>
            </w:r>
            <w:r w:rsidRPr="00537112">
              <w:rPr>
                <w:rFonts w:cs="Verdana"/>
                <w:spacing w:val="-1"/>
                <w:position w:val="-1"/>
                <w:sz w:val="20"/>
                <w:szCs w:val="20"/>
              </w:rPr>
              <w:t>s</w:t>
            </w:r>
            <w:r w:rsidRPr="00537112">
              <w:rPr>
                <w:rFonts w:cs="Verdana"/>
                <w:spacing w:val="1"/>
                <w:position w:val="-1"/>
                <w:sz w:val="20"/>
                <w:szCs w:val="20"/>
              </w:rPr>
              <w:t>t</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E</w:t>
            </w:r>
            <w:r w:rsidRPr="00537112">
              <w:rPr>
                <w:rFonts w:cs="Verdana"/>
                <w:spacing w:val="1"/>
                <w:position w:val="-1"/>
                <w:sz w:val="20"/>
                <w:szCs w:val="20"/>
              </w:rPr>
              <w:t>du</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143</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t</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áz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201</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1"/>
                <w:position w:val="-1"/>
                <w:sz w:val="20"/>
                <w:szCs w:val="20"/>
              </w:rPr>
              <w:t>o</w:t>
            </w:r>
            <w:r w:rsidRPr="00537112">
              <w:rPr>
                <w:rFonts w:cs="Verdana"/>
                <w:position w:val="-1"/>
                <w:sz w:val="20"/>
                <w:szCs w:val="20"/>
              </w:rPr>
              <w:t>d</w:t>
            </w:r>
            <w:r w:rsidRPr="00537112">
              <w:rPr>
                <w:rFonts w:cs="Verdana"/>
                <w:spacing w:val="-12"/>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144</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202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s</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as</w:t>
            </w:r>
            <w:r w:rsidRPr="00537112">
              <w:rPr>
                <w:rFonts w:cs="Verdana"/>
                <w:spacing w:val="-7"/>
                <w:position w:val="-1"/>
                <w:sz w:val="20"/>
                <w:szCs w:val="20"/>
              </w:rPr>
              <w:t xml:space="preserve"> </w:t>
            </w:r>
            <w:r w:rsidRPr="00537112">
              <w:rPr>
                <w:rFonts w:cs="Verdana"/>
                <w:spacing w:val="-1"/>
                <w:position w:val="-1"/>
                <w:sz w:val="20"/>
                <w:szCs w:val="20"/>
              </w:rPr>
              <w:t>O</w:t>
            </w:r>
            <w:r w:rsidRPr="00537112">
              <w:rPr>
                <w:rFonts w:cs="Verdana"/>
                <w:spacing w:val="1"/>
                <w:position w:val="-1"/>
                <w:sz w:val="20"/>
                <w:szCs w:val="20"/>
              </w:rPr>
              <w:t>j</w:t>
            </w:r>
            <w:r w:rsidRPr="00537112">
              <w:rPr>
                <w:rFonts w:cs="Verdana"/>
                <w:spacing w:val="-1"/>
                <w:position w:val="-1"/>
                <w:sz w:val="20"/>
                <w:szCs w:val="20"/>
              </w:rPr>
              <w:t>ó</w:t>
            </w:r>
            <w:r w:rsidRPr="00537112">
              <w:rPr>
                <w:rFonts w:cs="Verdana"/>
                <w:position w:val="-1"/>
                <w:sz w:val="20"/>
                <w:szCs w:val="20"/>
              </w:rPr>
              <w:t>m</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145</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w:t>
            </w:r>
            <w:r w:rsidRPr="00537112">
              <w:rPr>
                <w:rFonts w:cs="Verdana"/>
                <w:spacing w:val="3"/>
                <w:position w:val="-1"/>
                <w:sz w:val="20"/>
                <w:szCs w:val="20"/>
              </w:rPr>
              <w:t>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203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146</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204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147</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s</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205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3"/>
                <w:position w:val="-1"/>
                <w:sz w:val="20"/>
                <w:szCs w:val="20"/>
              </w:rPr>
              <w:t>l</w:t>
            </w:r>
            <w:r w:rsidRPr="00537112">
              <w:rPr>
                <w:rFonts w:cs="Verdana"/>
                <w:position w:val="-1"/>
                <w:sz w:val="20"/>
                <w:szCs w:val="20"/>
              </w:rPr>
              <w:t>a</w:t>
            </w:r>
            <w:r w:rsidRPr="00537112">
              <w:rPr>
                <w:rFonts w:cs="Verdana"/>
                <w:spacing w:val="-2"/>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í</w:t>
            </w:r>
            <w:r w:rsidRPr="00537112">
              <w:rPr>
                <w:rFonts w:cs="Verdana"/>
                <w:position w:val="-1"/>
                <w:sz w:val="20"/>
                <w:szCs w:val="20"/>
              </w:rPr>
              <w:t>as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148</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206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osef</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b</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í</w:t>
            </w:r>
            <w:r w:rsidRPr="00537112">
              <w:rPr>
                <w:rFonts w:cs="Verdana"/>
                <w:position w:val="-1"/>
                <w:sz w:val="20"/>
                <w:szCs w:val="20"/>
              </w:rPr>
              <w:t>as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149</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Da</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u</w:t>
            </w:r>
            <w:r w:rsidRPr="00537112">
              <w:rPr>
                <w:rFonts w:cs="Verdana"/>
                <w:position w:val="-1"/>
                <w:sz w:val="20"/>
                <w:szCs w:val="20"/>
              </w:rPr>
              <w:t>x</w:t>
            </w:r>
            <w:r w:rsidRPr="00537112">
              <w:rPr>
                <w:rFonts w:cs="Verdana"/>
                <w:spacing w:val="1"/>
                <w:position w:val="-1"/>
                <w:sz w:val="20"/>
                <w:szCs w:val="20"/>
              </w:rPr>
              <w:t>úm</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207</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7"/>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í</w:t>
            </w:r>
            <w:r w:rsidRPr="00537112">
              <w:rPr>
                <w:rFonts w:cs="Verdana"/>
                <w:position w:val="-1"/>
                <w:sz w:val="20"/>
                <w:szCs w:val="20"/>
              </w:rPr>
              <w:t>as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150</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208</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osef</w:t>
            </w:r>
            <w:r w:rsidRPr="00537112">
              <w:rPr>
                <w:rFonts w:cs="Verdana"/>
                <w:position w:val="-1"/>
                <w:sz w:val="20"/>
                <w:szCs w:val="20"/>
              </w:rPr>
              <w:t>a</w:t>
            </w:r>
            <w:r w:rsidRPr="00537112">
              <w:rPr>
                <w:rFonts w:cs="Verdana"/>
                <w:spacing w:val="62"/>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151</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T</w:t>
            </w:r>
            <w:r w:rsidRPr="00537112">
              <w:rPr>
                <w:rFonts w:cs="Verdana"/>
                <w:spacing w:val="-1"/>
                <w:position w:val="-1"/>
                <w:sz w:val="20"/>
                <w:szCs w:val="20"/>
              </w:rPr>
              <w:t>o</w:t>
            </w:r>
            <w:r w:rsidRPr="00537112">
              <w:rPr>
                <w:rFonts w:cs="Verdana"/>
                <w:position w:val="-1"/>
                <w:sz w:val="20"/>
                <w:szCs w:val="20"/>
              </w:rPr>
              <w:t>j</w:t>
            </w:r>
            <w:r w:rsidRPr="00537112">
              <w:rPr>
                <w:rFonts w:cs="Verdana"/>
                <w:spacing w:val="-3"/>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209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position w:val="-1"/>
                <w:sz w:val="20"/>
                <w:szCs w:val="20"/>
              </w:rPr>
              <w:t>a</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p>
        </w:tc>
      </w:tr>
      <w:tr w:rsidR="00537112" w:rsidRPr="00537112" w:rsidTr="00630EEC">
        <w:trPr>
          <w:trHeight w:hRule="exact" w:val="262"/>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152</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spacing w:val="-1"/>
                <w:position w:val="-1"/>
                <w:sz w:val="20"/>
                <w:szCs w:val="20"/>
              </w:rPr>
              <w:t>Er</w:t>
            </w:r>
            <w:r w:rsidRPr="00537112">
              <w:rPr>
                <w:rFonts w:cs="Verdana"/>
                <w:spacing w:val="1"/>
                <w:position w:val="-1"/>
                <w:sz w:val="20"/>
                <w:szCs w:val="20"/>
              </w:rPr>
              <w:t>n</w:t>
            </w:r>
            <w:r w:rsidRPr="00537112">
              <w:rPr>
                <w:rFonts w:cs="Verdana"/>
                <w:spacing w:val="-1"/>
                <w:position w:val="-1"/>
                <w:sz w:val="20"/>
                <w:szCs w:val="20"/>
              </w:rPr>
              <w:t>es</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T</w:t>
            </w:r>
            <w:r w:rsidRPr="00537112">
              <w:rPr>
                <w:rFonts w:cs="Verdana"/>
                <w:spacing w:val="-1"/>
                <w:position w:val="-1"/>
                <w:sz w:val="20"/>
                <w:szCs w:val="20"/>
              </w:rPr>
              <w:t>oj</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210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153</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spacing w:val="3"/>
                <w:position w:val="-1"/>
                <w:sz w:val="20"/>
                <w:szCs w:val="20"/>
              </w:rPr>
              <w:t>il</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án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211</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154</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u</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án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212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w:t>
            </w:r>
            <w:r w:rsidRPr="00537112">
              <w:rPr>
                <w:rFonts w:cs="Verdana"/>
                <w:spacing w:val="3"/>
                <w:position w:val="-1"/>
                <w:sz w:val="20"/>
                <w:szCs w:val="20"/>
              </w:rPr>
              <w:t>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155</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position w:val="-1"/>
                <w:sz w:val="20"/>
                <w:szCs w:val="20"/>
              </w:rPr>
              <w:t>va</w:t>
            </w:r>
            <w:r w:rsidRPr="00537112">
              <w:rPr>
                <w:rFonts w:cs="Verdana"/>
                <w:spacing w:val="-4"/>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án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213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é</w:t>
            </w:r>
            <w:r w:rsidRPr="00537112">
              <w:rPr>
                <w:rFonts w:cs="Verdana"/>
                <w:spacing w:val="3"/>
                <w:position w:val="-1"/>
                <w:sz w:val="20"/>
                <w:szCs w:val="20"/>
              </w:rPr>
              <w:t>li</w:t>
            </w:r>
            <w:r w:rsidRPr="00537112">
              <w:rPr>
                <w:rFonts w:cs="Verdana"/>
                <w:position w:val="-1"/>
                <w:sz w:val="20"/>
                <w:szCs w:val="20"/>
              </w:rPr>
              <w:t>x</w:t>
            </w:r>
            <w:r w:rsidRPr="00537112">
              <w:rPr>
                <w:rFonts w:cs="Verdana"/>
                <w:spacing w:val="-6"/>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156</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position w:val="-1"/>
                <w:sz w:val="20"/>
                <w:szCs w:val="20"/>
              </w:rPr>
              <w:t>a</w:t>
            </w:r>
            <w:r w:rsidRPr="00537112">
              <w:rPr>
                <w:rFonts w:cs="Verdana"/>
                <w:spacing w:val="-1"/>
                <w:position w:val="-1"/>
                <w:sz w:val="20"/>
                <w:szCs w:val="20"/>
              </w:rPr>
              <w:t>co</w:t>
            </w:r>
            <w:r w:rsidRPr="00537112">
              <w:rPr>
                <w:rFonts w:cs="Verdana"/>
                <w:spacing w:val="1"/>
                <w:position w:val="-1"/>
                <w:sz w:val="20"/>
                <w:szCs w:val="20"/>
              </w:rPr>
              <w:t>b</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án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214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157</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m</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án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215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fo</w:t>
            </w:r>
            <w:r w:rsidRPr="00537112">
              <w:rPr>
                <w:rFonts w:cs="Verdana"/>
                <w:spacing w:val="1"/>
                <w:position w:val="-1"/>
                <w:sz w:val="20"/>
                <w:szCs w:val="20"/>
              </w:rPr>
              <w:t>n</w:t>
            </w:r>
            <w:r w:rsidRPr="00537112">
              <w:rPr>
                <w:rFonts w:cs="Verdana"/>
                <w:spacing w:val="-1"/>
                <w:position w:val="-1"/>
                <w:sz w:val="20"/>
                <w:szCs w:val="20"/>
              </w:rPr>
              <w:t>s</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158</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Ab</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án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216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g</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159</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g</w:t>
            </w:r>
            <w:r w:rsidRPr="00537112">
              <w:rPr>
                <w:rFonts w:cs="Verdana"/>
                <w:spacing w:val="3"/>
                <w:position w:val="-1"/>
                <w:sz w:val="20"/>
                <w:szCs w:val="20"/>
              </w:rPr>
              <w:t>i</w:t>
            </w:r>
            <w:r w:rsidRPr="00537112">
              <w:rPr>
                <w:rFonts w:cs="Verdana"/>
                <w:spacing w:val="1"/>
                <w:position w:val="-1"/>
                <w:sz w:val="20"/>
                <w:szCs w:val="20"/>
              </w:rPr>
              <w:t>d</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217</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Max</w:t>
            </w:r>
            <w:r w:rsidRPr="00537112">
              <w:rPr>
                <w:rFonts w:cs="Verdana"/>
                <w:spacing w:val="3"/>
                <w:position w:val="-1"/>
                <w:sz w:val="20"/>
                <w:szCs w:val="20"/>
              </w:rPr>
              <w:t>i</w:t>
            </w:r>
            <w:r w:rsidRPr="00537112">
              <w:rPr>
                <w:rFonts w:cs="Verdana"/>
                <w:spacing w:val="1"/>
                <w:position w:val="-1"/>
                <w:sz w:val="20"/>
                <w:szCs w:val="20"/>
              </w:rPr>
              <w:t>m</w:t>
            </w:r>
            <w:r w:rsidRPr="00537112">
              <w:rPr>
                <w:rFonts w:cs="Verdana"/>
                <w:spacing w:val="3"/>
                <w:position w:val="-1"/>
                <w:sz w:val="20"/>
                <w:szCs w:val="20"/>
              </w:rPr>
              <w:t>ili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r w:rsidRPr="00537112">
              <w:rPr>
                <w:rFonts w:cs="Verdana"/>
                <w:spacing w:val="-1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160</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218</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Her</w:t>
            </w:r>
            <w:r w:rsidRPr="00537112">
              <w:rPr>
                <w:rFonts w:cs="Verdana"/>
                <w:spacing w:val="3"/>
                <w:position w:val="-1"/>
                <w:sz w:val="20"/>
                <w:szCs w:val="20"/>
              </w:rPr>
              <w:t>li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161</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ose</w:t>
            </w:r>
            <w:r w:rsidRPr="00537112">
              <w:rPr>
                <w:rFonts w:cs="Verdana"/>
                <w:spacing w:val="1"/>
                <w:position w:val="-1"/>
                <w:sz w:val="20"/>
                <w:szCs w:val="20"/>
              </w:rPr>
              <w:t>nd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te</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219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162</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du</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220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J</w:t>
            </w:r>
            <w:r w:rsidRPr="00537112">
              <w:rPr>
                <w:rFonts w:cs="Verdana"/>
                <w:spacing w:val="-1"/>
                <w:position w:val="-1"/>
                <w:sz w:val="20"/>
                <w:szCs w:val="20"/>
              </w:rPr>
              <w:t>osef</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163</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é</w:t>
            </w:r>
            <w:r w:rsidRPr="00537112">
              <w:rPr>
                <w:rFonts w:cs="Verdana"/>
                <w:spacing w:val="-7"/>
                <w:position w:val="-1"/>
                <w:sz w:val="20"/>
                <w:szCs w:val="20"/>
              </w:rPr>
              <w:t xml:space="preserve"> </w:t>
            </w:r>
            <w:r w:rsidRPr="00537112">
              <w:rPr>
                <w:rFonts w:cs="Verdana"/>
                <w:spacing w:val="1"/>
                <w:position w:val="-1"/>
                <w:sz w:val="20"/>
                <w:szCs w:val="20"/>
              </w:rPr>
              <w:t>Ap</w:t>
            </w:r>
            <w:r w:rsidRPr="00537112">
              <w:rPr>
                <w:rFonts w:cs="Verdana"/>
                <w:spacing w:val="-1"/>
                <w:position w:val="-1"/>
                <w:sz w:val="20"/>
                <w:szCs w:val="20"/>
              </w:rPr>
              <w:t>o</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221</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position w:val="-1"/>
                <w:sz w:val="20"/>
                <w:szCs w:val="20"/>
              </w:rPr>
              <w:t>a</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164</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or</w:t>
            </w:r>
            <w:r w:rsidRPr="00537112">
              <w:rPr>
                <w:rFonts w:cs="Verdana"/>
                <w:spacing w:val="1"/>
                <w:position w:val="-1"/>
                <w:sz w:val="20"/>
                <w:szCs w:val="20"/>
              </w:rPr>
              <w:t>g</w:t>
            </w:r>
            <w:r w:rsidRPr="00537112">
              <w:rPr>
                <w:rFonts w:cs="Verdana"/>
                <w:position w:val="-1"/>
                <w:sz w:val="20"/>
                <w:szCs w:val="20"/>
              </w:rPr>
              <w:t>e</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e</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222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165</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t</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io</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223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er</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Leo</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Herrer</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166</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224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sr</w:t>
            </w:r>
            <w:r w:rsidRPr="00537112">
              <w:rPr>
                <w:rFonts w:cs="Verdana"/>
                <w:position w:val="-1"/>
                <w:sz w:val="20"/>
                <w:szCs w:val="20"/>
              </w:rPr>
              <w:t>a</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position w:val="-1"/>
                <w:sz w:val="20"/>
                <w:szCs w:val="20"/>
              </w:rPr>
              <w:t>D</w:t>
            </w:r>
            <w:r w:rsidRPr="00537112">
              <w:rPr>
                <w:rFonts w:cs="Verdana"/>
                <w:spacing w:val="-1"/>
                <w:position w:val="-1"/>
                <w:sz w:val="20"/>
                <w:szCs w:val="20"/>
              </w:rPr>
              <w:t>o</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h</w:t>
            </w:r>
            <w:r w:rsidRPr="00537112">
              <w:rPr>
                <w:rFonts w:cs="Verdana"/>
                <w:position w:val="-1"/>
                <w:sz w:val="20"/>
                <w:szCs w:val="20"/>
              </w:rPr>
              <w:t>í</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Herrera</w:t>
            </w:r>
          </w:p>
        </w:tc>
      </w:tr>
      <w:tr w:rsidR="00537112" w:rsidRPr="00537112" w:rsidTr="00630EEC">
        <w:trPr>
          <w:trHeight w:hRule="exact" w:val="262"/>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167</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áz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225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168</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w:t>
            </w:r>
            <w:r w:rsidRPr="00537112">
              <w:rPr>
                <w:rFonts w:cs="Verdana"/>
                <w:spacing w:val="3"/>
                <w:position w:val="-1"/>
                <w:sz w:val="20"/>
                <w:szCs w:val="20"/>
              </w:rPr>
              <w:t>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De</w:t>
            </w:r>
            <w:r w:rsidRPr="00537112">
              <w:rPr>
                <w:rFonts w:cs="Verdana"/>
                <w:spacing w:val="-5"/>
                <w:position w:val="-1"/>
                <w:sz w:val="20"/>
                <w:szCs w:val="20"/>
              </w:rPr>
              <w:t xml:space="preserve"> </w:t>
            </w:r>
            <w:r w:rsidRPr="00537112">
              <w:rPr>
                <w:rFonts w:cs="Verdana"/>
                <w:position w:val="-1"/>
                <w:sz w:val="20"/>
                <w:szCs w:val="20"/>
              </w:rPr>
              <w:t>Paz</w:t>
            </w:r>
            <w:r w:rsidRPr="00537112">
              <w:rPr>
                <w:rFonts w:cs="Verdana"/>
                <w:spacing w:val="-3"/>
                <w:position w:val="-1"/>
                <w:sz w:val="20"/>
                <w:szCs w:val="20"/>
              </w:rPr>
              <w:t xml:space="preserve"> </w:t>
            </w:r>
            <w:r w:rsidRPr="00537112">
              <w:rPr>
                <w:rFonts w:cs="Verdana"/>
                <w:spacing w:val="-1"/>
                <w:position w:val="-1"/>
                <w:sz w:val="20"/>
                <w:szCs w:val="20"/>
              </w:rPr>
              <w:t>Herrera</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226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z</w:t>
            </w:r>
            <w:r w:rsidRPr="00537112">
              <w:rPr>
                <w:rFonts w:cs="Verdana"/>
                <w:position w:val="-1"/>
                <w:sz w:val="20"/>
                <w:szCs w:val="20"/>
              </w:rPr>
              <w:t>a</w:t>
            </w:r>
            <w:r w:rsidRPr="00537112">
              <w:rPr>
                <w:rFonts w:cs="Verdana"/>
                <w:spacing w:val="1"/>
                <w:position w:val="-1"/>
                <w:sz w:val="20"/>
                <w:szCs w:val="20"/>
              </w:rPr>
              <w:t>b</w:t>
            </w:r>
            <w:r w:rsidRPr="00537112">
              <w:rPr>
                <w:rFonts w:cs="Verdana"/>
                <w:spacing w:val="-1"/>
                <w:position w:val="-1"/>
                <w:sz w:val="20"/>
                <w:szCs w:val="20"/>
              </w:rPr>
              <w:t>e</w:t>
            </w:r>
            <w:r w:rsidRPr="00537112">
              <w:rPr>
                <w:rFonts w:cs="Verdana"/>
                <w:spacing w:val="1"/>
                <w:position w:val="-1"/>
                <w:sz w:val="20"/>
                <w:szCs w:val="20"/>
              </w:rPr>
              <w:t>t</w:t>
            </w:r>
            <w:r w:rsidRPr="00537112">
              <w:rPr>
                <w:rFonts w:cs="Verdana"/>
                <w:position w:val="-1"/>
                <w:sz w:val="20"/>
                <w:szCs w:val="20"/>
              </w:rPr>
              <w:t>h</w:t>
            </w:r>
            <w:r w:rsidRPr="00537112">
              <w:rPr>
                <w:rFonts w:cs="Verdana"/>
                <w:spacing w:val="-9"/>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ía</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headerReference w:type="default" r:id="rId19"/>
          <w:pgSz w:w="12260" w:h="15840"/>
          <w:pgMar w:top="620" w:right="1720" w:bottom="280" w:left="1340" w:header="0" w:footer="0" w:gutter="0"/>
          <w:cols w:space="720"/>
          <w:noEndnote/>
        </w:sectPr>
      </w:pPr>
    </w:p>
    <w:p w:rsidR="00537112" w:rsidRPr="00537112" w:rsidRDefault="00537112" w:rsidP="00537112">
      <w:pPr>
        <w:autoSpaceDE w:val="0"/>
        <w:autoSpaceDN w:val="0"/>
        <w:spacing w:before="9" w:line="80" w:lineRule="exact"/>
        <w:jc w:val="left"/>
        <w:textAlignment w:val="auto"/>
        <w:rPr>
          <w:rFonts w:ascii="Times New Roman" w:hAnsi="Times New Roman"/>
          <w:sz w:val="8"/>
          <w:szCs w:val="8"/>
        </w:rPr>
      </w:pPr>
    </w:p>
    <w:tbl>
      <w:tblPr>
        <w:tblW w:w="0" w:type="auto"/>
        <w:tblInd w:w="113" w:type="dxa"/>
        <w:tblLayout w:type="fixed"/>
        <w:tblCellMar>
          <w:left w:w="0" w:type="dxa"/>
          <w:right w:w="0" w:type="dxa"/>
        </w:tblCellMar>
        <w:tblLook w:val="0000" w:firstRow="0" w:lastRow="0" w:firstColumn="0" w:lastColumn="0" w:noHBand="0" w:noVBand="0"/>
      </w:tblPr>
      <w:tblGrid>
        <w:gridCol w:w="569"/>
        <w:gridCol w:w="3705"/>
        <w:gridCol w:w="584"/>
        <w:gridCol w:w="3991"/>
      </w:tblGrid>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227</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3"/>
                <w:position w:val="-1"/>
                <w:sz w:val="20"/>
                <w:szCs w:val="20"/>
              </w:rPr>
              <w:t>i</w:t>
            </w:r>
            <w:r w:rsidRPr="00537112">
              <w:rPr>
                <w:rFonts w:cs="Verdana"/>
                <w:position w:val="-1"/>
                <w:sz w:val="20"/>
                <w:szCs w:val="20"/>
              </w:rPr>
              <w:t>as</w:t>
            </w:r>
            <w:r w:rsidRPr="00537112">
              <w:rPr>
                <w:rFonts w:cs="Verdana"/>
                <w:spacing w:val="-7"/>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r w:rsidRPr="00537112">
              <w:rPr>
                <w:rFonts w:cs="Verdana"/>
                <w:spacing w:val="-3"/>
                <w:position w:val="-1"/>
                <w:sz w:val="20"/>
                <w:szCs w:val="20"/>
              </w:rPr>
              <w:t xml:space="preserve"> </w:t>
            </w:r>
            <w:r w:rsidRPr="00537112">
              <w:rPr>
                <w:rFonts w:cs="Verdana"/>
                <w:spacing w:val="-1"/>
                <w:position w:val="-1"/>
                <w:sz w:val="20"/>
                <w:szCs w:val="20"/>
              </w:rPr>
              <w:t>Herrera</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282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D</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ore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De</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228</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1"/>
                <w:position w:val="-1"/>
                <w:sz w:val="20"/>
                <w:szCs w:val="20"/>
              </w:rPr>
              <w:t>o</w:t>
            </w:r>
            <w:r w:rsidRPr="00537112">
              <w:rPr>
                <w:rFonts w:cs="Verdana"/>
                <w:spacing w:val="3"/>
                <w:position w:val="-1"/>
                <w:sz w:val="20"/>
                <w:szCs w:val="20"/>
              </w:rPr>
              <w:t>i</w:t>
            </w:r>
            <w:r w:rsidRPr="00537112">
              <w:rPr>
                <w:rFonts w:cs="Verdana"/>
                <w:spacing w:val="-1"/>
                <w:position w:val="-1"/>
                <w:sz w:val="20"/>
                <w:szCs w:val="20"/>
              </w:rPr>
              <w:t>se</w:t>
            </w:r>
            <w:r w:rsidRPr="00537112">
              <w:rPr>
                <w:rFonts w:cs="Verdana"/>
                <w:position w:val="-1"/>
                <w:sz w:val="20"/>
                <w:szCs w:val="20"/>
              </w:rPr>
              <w:t>s</w:t>
            </w:r>
            <w:r w:rsidRPr="00537112">
              <w:rPr>
                <w:rFonts w:cs="Verdana"/>
                <w:spacing w:val="-8"/>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r w:rsidRPr="00537112">
              <w:rPr>
                <w:rFonts w:cs="Verdana"/>
                <w:spacing w:val="-3"/>
                <w:position w:val="-1"/>
                <w:sz w:val="20"/>
                <w:szCs w:val="20"/>
              </w:rPr>
              <w:t xml:space="preserve"> </w:t>
            </w:r>
            <w:r w:rsidRPr="00537112">
              <w:rPr>
                <w:rFonts w:cs="Verdana"/>
                <w:spacing w:val="-1"/>
                <w:position w:val="-1"/>
                <w:sz w:val="20"/>
                <w:szCs w:val="20"/>
              </w:rPr>
              <w:t>Herrera</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283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Efr</w:t>
            </w:r>
            <w:r w:rsidRPr="00537112">
              <w:rPr>
                <w:rFonts w:cs="Verdana"/>
                <w:position w:val="-1"/>
                <w:sz w:val="20"/>
                <w:szCs w:val="20"/>
              </w:rPr>
              <w:t>a</w:t>
            </w:r>
            <w:r w:rsidRPr="00537112">
              <w:rPr>
                <w:rFonts w:cs="Verdana"/>
                <w:spacing w:val="3"/>
                <w:position w:val="-1"/>
                <w:sz w:val="20"/>
                <w:szCs w:val="20"/>
              </w:rPr>
              <w:t>í</w:t>
            </w:r>
            <w:r w:rsidRPr="00537112">
              <w:rPr>
                <w:rFonts w:cs="Verdana"/>
                <w:position w:val="-1"/>
                <w:sz w:val="20"/>
                <w:szCs w:val="20"/>
              </w:rPr>
              <w:t>n</w:t>
            </w:r>
            <w:r w:rsidRPr="00537112">
              <w:rPr>
                <w:rFonts w:cs="Verdana"/>
                <w:spacing w:val="-6"/>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d</w:t>
            </w:r>
            <w:r w:rsidRPr="00537112">
              <w:rPr>
                <w:rFonts w:cs="Verdana"/>
                <w:spacing w:val="-1"/>
                <w:position w:val="-1"/>
                <w:sz w:val="20"/>
                <w:szCs w:val="20"/>
              </w:rPr>
              <w:t>r</w:t>
            </w:r>
            <w:r w:rsidRPr="00537112">
              <w:rPr>
                <w:rFonts w:cs="Verdana"/>
                <w:spacing w:val="3"/>
                <w:position w:val="-1"/>
                <w:sz w:val="20"/>
                <w:szCs w:val="20"/>
              </w:rPr>
              <w:t>í</w:t>
            </w:r>
            <w:r w:rsidRPr="00537112">
              <w:rPr>
                <w:rFonts w:cs="Verdana"/>
                <w:spacing w:val="1"/>
                <w:position w:val="-1"/>
                <w:sz w:val="20"/>
                <w:szCs w:val="20"/>
              </w:rPr>
              <w:t>gu</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229</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an</w:t>
            </w:r>
            <w:r w:rsidRPr="00537112">
              <w:rPr>
                <w:rFonts w:cs="Verdana"/>
                <w:spacing w:val="-6"/>
                <w:position w:val="-1"/>
                <w:sz w:val="20"/>
                <w:szCs w:val="20"/>
              </w:rPr>
              <w:t xml:space="preserve"> </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g</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position w:val="-1"/>
                <w:sz w:val="20"/>
                <w:szCs w:val="20"/>
              </w:rPr>
              <w:t>Paz</w:t>
            </w:r>
            <w:r w:rsidRPr="00537112">
              <w:rPr>
                <w:rFonts w:cs="Verdana"/>
                <w:spacing w:val="-3"/>
                <w:position w:val="-1"/>
                <w:sz w:val="20"/>
                <w:szCs w:val="20"/>
              </w:rPr>
              <w:t xml:space="preserve"> </w:t>
            </w:r>
            <w:r w:rsidRPr="00537112">
              <w:rPr>
                <w:rFonts w:cs="Verdana"/>
                <w:spacing w:val="-1"/>
                <w:position w:val="-1"/>
                <w:sz w:val="20"/>
                <w:szCs w:val="20"/>
              </w:rPr>
              <w:t>Herrera</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284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position w:val="-1"/>
                <w:sz w:val="20"/>
                <w:szCs w:val="20"/>
              </w:rPr>
              <w:t>C</w:t>
            </w:r>
            <w:r w:rsidRPr="00537112">
              <w:rPr>
                <w:rFonts w:cs="Verdana"/>
                <w:spacing w:val="1"/>
                <w:position w:val="-1"/>
                <w:sz w:val="20"/>
                <w:szCs w:val="20"/>
              </w:rPr>
              <w:t>u</w:t>
            </w:r>
            <w:r w:rsidRPr="00537112">
              <w:rPr>
                <w:rFonts w:cs="Verdana"/>
                <w:position w:val="-1"/>
                <w:sz w:val="20"/>
                <w:szCs w:val="20"/>
              </w:rPr>
              <w:t>x</w:t>
            </w:r>
            <w:r w:rsidRPr="00537112">
              <w:rPr>
                <w:rFonts w:cs="Verdana"/>
                <w:spacing w:val="1"/>
                <w:position w:val="-1"/>
                <w:sz w:val="20"/>
                <w:szCs w:val="20"/>
              </w:rPr>
              <w:t>úm</w:t>
            </w:r>
          </w:p>
        </w:tc>
      </w:tr>
      <w:tr w:rsidR="00537112" w:rsidRPr="00537112" w:rsidTr="00630EEC">
        <w:trPr>
          <w:trHeight w:hRule="exact" w:val="262"/>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230</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u</w:t>
            </w:r>
            <w:r w:rsidRPr="00537112">
              <w:rPr>
                <w:rFonts w:cs="Verdana"/>
                <w:position w:val="-1"/>
                <w:sz w:val="20"/>
                <w:szCs w:val="20"/>
              </w:rPr>
              <w:t>x</w:t>
            </w:r>
            <w:r w:rsidRPr="00537112">
              <w:rPr>
                <w:rFonts w:cs="Verdana"/>
                <w:spacing w:val="1"/>
                <w:position w:val="-1"/>
                <w:sz w:val="20"/>
                <w:szCs w:val="20"/>
              </w:rPr>
              <w:t>u</w:t>
            </w:r>
            <w:r w:rsidRPr="00537112">
              <w:rPr>
                <w:rFonts w:cs="Verdana"/>
                <w:position w:val="-1"/>
                <w:sz w:val="20"/>
                <w:szCs w:val="20"/>
              </w:rPr>
              <w:t>m</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285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ore</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231</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286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232</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lang w:val="pt-BR"/>
              </w:rPr>
            </w:pPr>
            <w:r w:rsidRPr="00537112">
              <w:rPr>
                <w:rFonts w:cs="Verdana"/>
                <w:position w:val="-1"/>
                <w:sz w:val="20"/>
                <w:szCs w:val="20"/>
                <w:lang w:val="pt-BR"/>
              </w:rPr>
              <w:t>Ma</w:t>
            </w:r>
            <w:r w:rsidRPr="00537112">
              <w:rPr>
                <w:rFonts w:cs="Verdana"/>
                <w:spacing w:val="1"/>
                <w:position w:val="-1"/>
                <w:sz w:val="20"/>
                <w:szCs w:val="20"/>
                <w:lang w:val="pt-BR"/>
              </w:rPr>
              <w:t>nu</w:t>
            </w:r>
            <w:r w:rsidRPr="00537112">
              <w:rPr>
                <w:rFonts w:cs="Verdana"/>
                <w:spacing w:val="-1"/>
                <w:position w:val="-1"/>
                <w:sz w:val="20"/>
                <w:szCs w:val="20"/>
                <w:lang w:val="pt-BR"/>
              </w:rPr>
              <w:t>e</w:t>
            </w:r>
            <w:r w:rsidRPr="00537112">
              <w:rPr>
                <w:rFonts w:cs="Verdana"/>
                <w:position w:val="-1"/>
                <w:sz w:val="20"/>
                <w:szCs w:val="20"/>
                <w:lang w:val="pt-BR"/>
              </w:rPr>
              <w:t>l</w:t>
            </w:r>
            <w:r w:rsidRPr="00537112">
              <w:rPr>
                <w:rFonts w:cs="Verdana"/>
                <w:spacing w:val="-5"/>
                <w:position w:val="-1"/>
                <w:sz w:val="20"/>
                <w:szCs w:val="20"/>
                <w:lang w:val="pt-BR"/>
              </w:rPr>
              <w:t xml:space="preserve"> </w:t>
            </w:r>
            <w:r w:rsidRPr="00537112">
              <w:rPr>
                <w:rFonts w:cs="Verdana"/>
                <w:spacing w:val="1"/>
                <w:position w:val="-1"/>
                <w:sz w:val="20"/>
                <w:szCs w:val="20"/>
                <w:lang w:val="pt-BR"/>
              </w:rPr>
              <w:t>d</w:t>
            </w:r>
            <w:r w:rsidRPr="00537112">
              <w:rPr>
                <w:rFonts w:cs="Verdana"/>
                <w:position w:val="-1"/>
                <w:sz w:val="20"/>
                <w:szCs w:val="20"/>
                <w:lang w:val="pt-BR"/>
              </w:rPr>
              <w:t>e</w:t>
            </w:r>
            <w:r w:rsidRPr="00537112">
              <w:rPr>
                <w:rFonts w:cs="Verdana"/>
                <w:spacing w:val="-4"/>
                <w:position w:val="-1"/>
                <w:sz w:val="20"/>
                <w:szCs w:val="20"/>
                <w:lang w:val="pt-BR"/>
              </w:rPr>
              <w:t xml:space="preserve"> </w:t>
            </w:r>
            <w:r w:rsidRPr="00537112">
              <w:rPr>
                <w:rFonts w:cs="Verdana"/>
                <w:spacing w:val="1"/>
                <w:position w:val="-1"/>
                <w:sz w:val="20"/>
                <w:szCs w:val="20"/>
                <w:lang w:val="pt-BR"/>
              </w:rPr>
              <w:t>J</w:t>
            </w:r>
            <w:r w:rsidRPr="00537112">
              <w:rPr>
                <w:rFonts w:cs="Verdana"/>
                <w:spacing w:val="-1"/>
                <w:position w:val="-1"/>
                <w:sz w:val="20"/>
                <w:szCs w:val="20"/>
                <w:lang w:val="pt-BR"/>
              </w:rPr>
              <w:t>es</w:t>
            </w:r>
            <w:r w:rsidRPr="00537112">
              <w:rPr>
                <w:rFonts w:cs="Verdana"/>
                <w:spacing w:val="1"/>
                <w:position w:val="-1"/>
                <w:sz w:val="20"/>
                <w:szCs w:val="20"/>
                <w:lang w:val="pt-BR"/>
              </w:rPr>
              <w:t>u</w:t>
            </w:r>
            <w:r w:rsidRPr="00537112">
              <w:rPr>
                <w:rFonts w:cs="Verdana"/>
                <w:position w:val="-1"/>
                <w:sz w:val="20"/>
                <w:szCs w:val="20"/>
                <w:lang w:val="pt-BR"/>
              </w:rPr>
              <w:t>s</w:t>
            </w:r>
            <w:r w:rsidRPr="00537112">
              <w:rPr>
                <w:rFonts w:cs="Verdana"/>
                <w:spacing w:val="-6"/>
                <w:position w:val="-1"/>
                <w:sz w:val="20"/>
                <w:szCs w:val="20"/>
                <w:lang w:val="pt-BR"/>
              </w:rPr>
              <w:t xml:space="preserve"> </w:t>
            </w:r>
            <w:r w:rsidRPr="00537112">
              <w:rPr>
                <w:rFonts w:cs="Verdana"/>
                <w:spacing w:val="-1"/>
                <w:position w:val="-1"/>
                <w:sz w:val="20"/>
                <w:szCs w:val="20"/>
                <w:lang w:val="pt-BR"/>
              </w:rPr>
              <w:t>G</w:t>
            </w:r>
            <w:r w:rsidRPr="00537112">
              <w:rPr>
                <w:rFonts w:cs="Verdana"/>
                <w:position w:val="-1"/>
                <w:sz w:val="20"/>
                <w:szCs w:val="20"/>
                <w:lang w:val="pt-BR"/>
              </w:rPr>
              <w:t>a</w:t>
            </w:r>
            <w:r w:rsidRPr="00537112">
              <w:rPr>
                <w:rFonts w:cs="Verdana"/>
                <w:spacing w:val="3"/>
                <w:position w:val="-1"/>
                <w:sz w:val="20"/>
                <w:szCs w:val="20"/>
                <w:lang w:val="pt-BR"/>
              </w:rPr>
              <w:t>li</w:t>
            </w:r>
            <w:r w:rsidRPr="00537112">
              <w:rPr>
                <w:rFonts w:cs="Verdana"/>
                <w:spacing w:val="-1"/>
                <w:position w:val="-1"/>
                <w:sz w:val="20"/>
                <w:szCs w:val="20"/>
                <w:lang w:val="pt-BR"/>
              </w:rPr>
              <w:t>e</w:t>
            </w:r>
            <w:r w:rsidRPr="00537112">
              <w:rPr>
                <w:rFonts w:cs="Verdana"/>
                <w:spacing w:val="1"/>
                <w:position w:val="-1"/>
                <w:sz w:val="20"/>
                <w:szCs w:val="20"/>
                <w:lang w:val="pt-BR"/>
              </w:rPr>
              <w:t>g</w:t>
            </w:r>
            <w:r w:rsidRPr="00537112">
              <w:rPr>
                <w:rFonts w:cs="Verdana"/>
                <w:position w:val="-1"/>
                <w:sz w:val="20"/>
                <w:szCs w:val="20"/>
                <w:lang w:val="pt-BR"/>
              </w:rPr>
              <w:t>o</w:t>
            </w:r>
            <w:r w:rsidRPr="00537112">
              <w:rPr>
                <w:rFonts w:cs="Verdana"/>
                <w:spacing w:val="-9"/>
                <w:position w:val="-1"/>
                <w:sz w:val="20"/>
                <w:szCs w:val="20"/>
                <w:lang w:val="pt-BR"/>
              </w:rPr>
              <w:t xml:space="preserve"> </w:t>
            </w:r>
            <w:r w:rsidRPr="00537112">
              <w:rPr>
                <w:rFonts w:cs="Verdana"/>
                <w:position w:val="-1"/>
                <w:sz w:val="20"/>
                <w:szCs w:val="20"/>
                <w:lang w:val="pt-BR"/>
              </w:rPr>
              <w:t>M</w:t>
            </w:r>
            <w:r w:rsidRPr="00537112">
              <w:rPr>
                <w:rFonts w:cs="Verdana"/>
                <w:spacing w:val="-1"/>
                <w:position w:val="-1"/>
                <w:sz w:val="20"/>
                <w:szCs w:val="20"/>
                <w:lang w:val="pt-BR"/>
              </w:rPr>
              <w:t>e</w:t>
            </w:r>
            <w:r w:rsidRPr="00537112">
              <w:rPr>
                <w:rFonts w:cs="Verdana"/>
                <w:spacing w:val="1"/>
                <w:position w:val="-1"/>
                <w:sz w:val="20"/>
                <w:szCs w:val="20"/>
                <w:lang w:val="pt-BR"/>
              </w:rPr>
              <w:t>nd</w:t>
            </w:r>
            <w:r w:rsidRPr="00537112">
              <w:rPr>
                <w:rFonts w:cs="Verdana"/>
                <w:spacing w:val="-1"/>
                <w:position w:val="-1"/>
                <w:sz w:val="20"/>
                <w:szCs w:val="20"/>
                <w:lang w:val="pt-BR"/>
              </w:rPr>
              <w:t>o</w:t>
            </w:r>
            <w:r w:rsidRPr="00537112">
              <w:rPr>
                <w:rFonts w:cs="Verdana"/>
                <w:spacing w:val="1"/>
                <w:position w:val="-1"/>
                <w:sz w:val="20"/>
                <w:szCs w:val="20"/>
                <w:lang w:val="pt-BR"/>
              </w:rPr>
              <w:t>z</w:t>
            </w:r>
            <w:r w:rsidRPr="00537112">
              <w:rPr>
                <w:rFonts w:cs="Verdana"/>
                <w:position w:val="-1"/>
                <w:sz w:val="20"/>
                <w:szCs w:val="20"/>
                <w:lang w:val="pt-BR"/>
              </w:rPr>
              <w:t>a</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287</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494"/>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233</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rce</w:t>
            </w:r>
            <w:r w:rsidRPr="00537112">
              <w:rPr>
                <w:rFonts w:cs="Verdana"/>
                <w:spacing w:val="3"/>
                <w:sz w:val="20"/>
                <w:szCs w:val="20"/>
              </w:rPr>
              <w:t>li</w:t>
            </w:r>
            <w:r w:rsidRPr="00537112">
              <w:rPr>
                <w:rFonts w:cs="Verdana"/>
                <w:spacing w:val="1"/>
                <w:sz w:val="20"/>
                <w:szCs w:val="20"/>
              </w:rPr>
              <w:t>n</w:t>
            </w:r>
            <w:r w:rsidRPr="00537112">
              <w:rPr>
                <w:rFonts w:cs="Verdana"/>
                <w:sz w:val="20"/>
                <w:szCs w:val="20"/>
              </w:rPr>
              <w:t>a</w:t>
            </w:r>
            <w:r w:rsidRPr="00537112">
              <w:rPr>
                <w:rFonts w:cs="Verdana"/>
                <w:spacing w:val="-10"/>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g</w:t>
            </w:r>
            <w:r w:rsidRPr="00537112">
              <w:rPr>
                <w:rFonts w:cs="Verdana"/>
                <w:sz w:val="20"/>
                <w:szCs w:val="20"/>
              </w:rPr>
              <w:t>a</w:t>
            </w:r>
            <w:r w:rsidRPr="00537112">
              <w:rPr>
                <w:rFonts w:cs="Verdana"/>
                <w:spacing w:val="-8"/>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r w:rsidRPr="00537112">
              <w:rPr>
                <w:rFonts w:cs="Verdana"/>
                <w:spacing w:val="-5"/>
                <w:sz w:val="20"/>
                <w:szCs w:val="20"/>
              </w:rPr>
              <w:t xml:space="preserve"> </w:t>
            </w:r>
            <w:r w:rsidRPr="00537112">
              <w:rPr>
                <w:rFonts w:cs="Verdana"/>
                <w:spacing w:val="1"/>
                <w:sz w:val="20"/>
                <w:szCs w:val="20"/>
              </w:rPr>
              <w:t>d</w:t>
            </w:r>
            <w:r w:rsidRPr="00537112">
              <w:rPr>
                <w:rFonts w:cs="Verdana"/>
                <w:sz w:val="20"/>
                <w:szCs w:val="20"/>
              </w:rPr>
              <w:t>e</w:t>
            </w:r>
            <w:r w:rsidRPr="00537112">
              <w:rPr>
                <w:rFonts w:cs="Verdana"/>
                <w:spacing w:val="-4"/>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288</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pacing w:val="1"/>
                <w:sz w:val="20"/>
                <w:szCs w:val="20"/>
              </w:rPr>
              <w:t>R</w:t>
            </w:r>
            <w:r w:rsidRPr="00537112">
              <w:rPr>
                <w:rFonts w:cs="Verdana"/>
                <w:spacing w:val="-1"/>
                <w:sz w:val="20"/>
                <w:szCs w:val="20"/>
              </w:rPr>
              <w:t>ose</w:t>
            </w:r>
            <w:r w:rsidRPr="00537112">
              <w:rPr>
                <w:rFonts w:cs="Verdana"/>
                <w:spacing w:val="1"/>
                <w:sz w:val="20"/>
                <w:szCs w:val="20"/>
              </w:rPr>
              <w:t>nd</w:t>
            </w:r>
            <w:r w:rsidRPr="00537112">
              <w:rPr>
                <w:rFonts w:cs="Verdana"/>
                <w:sz w:val="20"/>
                <w:szCs w:val="20"/>
              </w:rPr>
              <w:t>a</w:t>
            </w:r>
            <w:r w:rsidRPr="00537112">
              <w:rPr>
                <w:rFonts w:cs="Verdana"/>
                <w:spacing w:val="-9"/>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R</w:t>
            </w:r>
            <w:r w:rsidRPr="00537112">
              <w:rPr>
                <w:rFonts w:cs="Verdana"/>
                <w:spacing w:val="-1"/>
                <w:sz w:val="20"/>
                <w:szCs w:val="20"/>
              </w:rPr>
              <w:t>e</w:t>
            </w:r>
            <w:r w:rsidRPr="00537112">
              <w:rPr>
                <w:rFonts w:cs="Verdana"/>
                <w:sz w:val="20"/>
                <w:szCs w:val="20"/>
              </w:rPr>
              <w:t>y</w:t>
            </w:r>
            <w:r w:rsidRPr="00537112">
              <w:rPr>
                <w:rFonts w:cs="Verdana"/>
                <w:spacing w:val="-1"/>
                <w:sz w:val="20"/>
                <w:szCs w:val="20"/>
              </w:rPr>
              <w:t>e</w:t>
            </w:r>
            <w:r w:rsidRPr="00537112">
              <w:rPr>
                <w:rFonts w:cs="Verdana"/>
                <w:sz w:val="20"/>
                <w:szCs w:val="20"/>
              </w:rPr>
              <w:t>s</w:t>
            </w:r>
          </w:p>
        </w:tc>
      </w:tr>
      <w:tr w:rsidR="00537112" w:rsidRPr="00537112" w:rsidTr="00630EEC">
        <w:trPr>
          <w:trHeight w:hRule="exact" w:val="262"/>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234</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Es</w:t>
            </w:r>
            <w:r w:rsidRPr="00537112">
              <w:rPr>
                <w:rFonts w:cs="Verdana"/>
                <w:spacing w:val="1"/>
                <w:position w:val="-1"/>
                <w:sz w:val="20"/>
                <w:szCs w:val="20"/>
              </w:rPr>
              <w:t>t</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g</w:t>
            </w:r>
            <w:r w:rsidRPr="00537112">
              <w:rPr>
                <w:rFonts w:cs="Verdana"/>
                <w:position w:val="-1"/>
                <w:sz w:val="20"/>
                <w:szCs w:val="20"/>
              </w:rPr>
              <w:t>a</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289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s</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235</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é</w:t>
            </w:r>
            <w:r w:rsidRPr="00537112">
              <w:rPr>
                <w:rFonts w:cs="Verdana"/>
                <w:spacing w:val="-7"/>
                <w:position w:val="-1"/>
                <w:sz w:val="20"/>
                <w:szCs w:val="20"/>
              </w:rPr>
              <w:t xml:space="preserve"> </w:t>
            </w: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g</w:t>
            </w:r>
            <w:r w:rsidRPr="00537112">
              <w:rPr>
                <w:rFonts w:cs="Verdana"/>
                <w:position w:val="-1"/>
                <w:sz w:val="20"/>
                <w:szCs w:val="20"/>
              </w:rPr>
              <w:t>a</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290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Oc</w:t>
            </w:r>
            <w:r w:rsidRPr="00537112">
              <w:rPr>
                <w:rFonts w:cs="Verdana"/>
                <w:spacing w:val="1"/>
                <w:position w:val="-1"/>
                <w:sz w:val="20"/>
                <w:szCs w:val="20"/>
              </w:rPr>
              <w:t>t</w:t>
            </w:r>
            <w:r w:rsidRPr="00537112">
              <w:rPr>
                <w:rFonts w:cs="Verdana"/>
                <w:position w:val="-1"/>
                <w:sz w:val="20"/>
                <w:szCs w:val="20"/>
              </w:rPr>
              <w:t>av</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g</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236</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Hec</w:t>
            </w:r>
            <w:r w:rsidRPr="00537112">
              <w:rPr>
                <w:rFonts w:cs="Verdana"/>
                <w:spacing w:val="1"/>
                <w:position w:val="-1"/>
                <w:sz w:val="20"/>
                <w:szCs w:val="20"/>
              </w:rPr>
              <w:t>t</w:t>
            </w:r>
            <w:r w:rsidRPr="00537112">
              <w:rPr>
                <w:rFonts w:cs="Verdana"/>
                <w:spacing w:val="-1"/>
                <w:position w:val="-1"/>
                <w:sz w:val="20"/>
                <w:szCs w:val="20"/>
              </w:rPr>
              <w:t>o</w:t>
            </w:r>
            <w:r w:rsidRPr="00537112">
              <w:rPr>
                <w:rFonts w:cs="Verdana"/>
                <w:position w:val="-1"/>
                <w:sz w:val="20"/>
                <w:szCs w:val="20"/>
              </w:rPr>
              <w:t>r</w:t>
            </w:r>
            <w:r w:rsidRPr="00537112">
              <w:rPr>
                <w:rFonts w:cs="Verdana"/>
                <w:spacing w:val="-9"/>
                <w:position w:val="-1"/>
                <w:sz w:val="20"/>
                <w:szCs w:val="20"/>
              </w:rPr>
              <w:t xml:space="preserve"> </w:t>
            </w: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g</w:t>
            </w:r>
            <w:r w:rsidRPr="00537112">
              <w:rPr>
                <w:rFonts w:cs="Verdana"/>
                <w:position w:val="-1"/>
                <w:sz w:val="20"/>
                <w:szCs w:val="20"/>
              </w:rPr>
              <w:t>a</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291</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spacing w:val="1"/>
                <w:position w:val="-1"/>
                <w:sz w:val="20"/>
                <w:szCs w:val="20"/>
              </w:rPr>
              <w:t>u</w:t>
            </w:r>
            <w:r w:rsidRPr="00537112">
              <w:rPr>
                <w:rFonts w:cs="Verdana"/>
                <w:spacing w:val="3"/>
                <w:position w:val="-1"/>
                <w:sz w:val="20"/>
                <w:szCs w:val="20"/>
              </w:rPr>
              <w:t>ill</w:t>
            </w:r>
            <w:r w:rsidRPr="00537112">
              <w:rPr>
                <w:rFonts w:cs="Verdana"/>
                <w:spacing w:val="-1"/>
                <w:position w:val="-1"/>
                <w:sz w:val="20"/>
                <w:szCs w:val="20"/>
              </w:rPr>
              <w:t>er</w:t>
            </w:r>
            <w:r w:rsidRPr="00537112">
              <w:rPr>
                <w:rFonts w:cs="Verdana"/>
                <w:spacing w:val="1"/>
                <w:position w:val="-1"/>
                <w:sz w:val="20"/>
                <w:szCs w:val="20"/>
              </w:rPr>
              <w:t>m</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237</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D</w:t>
            </w:r>
            <w:r w:rsidRPr="00537112">
              <w:rPr>
                <w:rFonts w:cs="Verdana"/>
                <w:spacing w:val="3"/>
                <w:position w:val="-1"/>
                <w:sz w:val="20"/>
                <w:szCs w:val="20"/>
              </w:rPr>
              <w:t>í</w:t>
            </w:r>
            <w:r w:rsidRPr="00537112">
              <w:rPr>
                <w:rFonts w:cs="Verdana"/>
                <w:position w:val="-1"/>
                <w:sz w:val="20"/>
                <w:szCs w:val="20"/>
              </w:rPr>
              <w:t>az</w:t>
            </w:r>
            <w:r w:rsidRPr="00537112">
              <w:rPr>
                <w:rFonts w:cs="Verdana"/>
                <w:spacing w:val="-4"/>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292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ec</w:t>
            </w:r>
            <w:r w:rsidRPr="00537112">
              <w:rPr>
                <w:rFonts w:cs="Verdana"/>
                <w:spacing w:val="3"/>
                <w:position w:val="-1"/>
                <w:sz w:val="20"/>
                <w:szCs w:val="20"/>
              </w:rPr>
              <w:t>ili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238</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orf</w:t>
            </w:r>
            <w:r w:rsidRPr="00537112">
              <w:rPr>
                <w:rFonts w:cs="Verdana"/>
                <w:spacing w:val="3"/>
                <w:position w:val="-1"/>
                <w:sz w:val="20"/>
                <w:szCs w:val="20"/>
              </w:rPr>
              <w:t>i</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D</w:t>
            </w:r>
            <w:r w:rsidRPr="00537112">
              <w:rPr>
                <w:rFonts w:cs="Verdana"/>
                <w:spacing w:val="3"/>
                <w:position w:val="-1"/>
                <w:sz w:val="20"/>
                <w:szCs w:val="20"/>
              </w:rPr>
              <w:t>í</w:t>
            </w:r>
            <w:r w:rsidRPr="00537112">
              <w:rPr>
                <w:rFonts w:cs="Verdana"/>
                <w:position w:val="-1"/>
                <w:sz w:val="20"/>
                <w:szCs w:val="20"/>
              </w:rPr>
              <w:t>az</w:t>
            </w:r>
            <w:r w:rsidRPr="00537112">
              <w:rPr>
                <w:rFonts w:cs="Verdana"/>
                <w:spacing w:val="-4"/>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293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r</w:t>
            </w:r>
            <w:r w:rsidRPr="00537112">
              <w:rPr>
                <w:rFonts w:cs="Verdana"/>
                <w:spacing w:val="1"/>
                <w:position w:val="-1"/>
                <w:sz w:val="20"/>
                <w:szCs w:val="20"/>
              </w:rPr>
              <w:t>m</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Y</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239</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Herc</w:t>
            </w:r>
            <w:r w:rsidRPr="00537112">
              <w:rPr>
                <w:rFonts w:cs="Verdana"/>
                <w:spacing w:val="3"/>
                <w:position w:val="-1"/>
                <w:sz w:val="20"/>
                <w:szCs w:val="20"/>
              </w:rPr>
              <w:t>ili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n</w:t>
            </w:r>
            <w:r w:rsidRPr="00537112">
              <w:rPr>
                <w:rFonts w:cs="Verdana"/>
                <w:position w:val="-1"/>
                <w:sz w:val="20"/>
                <w:szCs w:val="20"/>
              </w:rPr>
              <w:t>á</w:t>
            </w:r>
            <w:r w:rsidRPr="00537112">
              <w:rPr>
                <w:rFonts w:cs="Verdana"/>
                <w:spacing w:val="1"/>
                <w:position w:val="-1"/>
                <w:sz w:val="20"/>
                <w:szCs w:val="20"/>
              </w:rPr>
              <w:t>nd</w:t>
            </w:r>
            <w:r w:rsidRPr="00537112">
              <w:rPr>
                <w:rFonts w:cs="Verdana"/>
                <w:spacing w:val="-1"/>
                <w:position w:val="-1"/>
                <w:sz w:val="20"/>
                <w:szCs w:val="20"/>
              </w:rPr>
              <w:t>e</w:t>
            </w:r>
            <w:r w:rsidRPr="00537112">
              <w:rPr>
                <w:rFonts w:cs="Verdana"/>
                <w:position w:val="-1"/>
                <w:sz w:val="20"/>
                <w:szCs w:val="20"/>
              </w:rPr>
              <w:t>z</w:t>
            </w:r>
            <w:r w:rsidRPr="00537112">
              <w:rPr>
                <w:rFonts w:cs="Verdana"/>
                <w:spacing w:val="-11"/>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294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240</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w:t>
            </w:r>
            <w:r w:rsidRPr="00537112">
              <w:rPr>
                <w:rFonts w:cs="Verdana"/>
                <w:spacing w:val="1"/>
                <w:position w:val="-1"/>
                <w:sz w:val="20"/>
                <w:szCs w:val="20"/>
              </w:rPr>
              <w:t>nj</w:t>
            </w:r>
            <w:r w:rsidRPr="00537112">
              <w:rPr>
                <w:rFonts w:cs="Verdana"/>
                <w:position w:val="-1"/>
                <w:sz w:val="20"/>
                <w:szCs w:val="20"/>
              </w:rPr>
              <w:t>a</w:t>
            </w:r>
            <w:r w:rsidRPr="00537112">
              <w:rPr>
                <w:rFonts w:cs="Verdana"/>
                <w:spacing w:val="1"/>
                <w:position w:val="-1"/>
                <w:sz w:val="20"/>
                <w:szCs w:val="20"/>
              </w:rPr>
              <w:t>m</w:t>
            </w:r>
            <w:r w:rsidRPr="00537112">
              <w:rPr>
                <w:rFonts w:cs="Verdana"/>
                <w:spacing w:val="3"/>
                <w:position w:val="-1"/>
                <w:sz w:val="20"/>
                <w:szCs w:val="20"/>
              </w:rPr>
              <w:t>i</w:t>
            </w:r>
            <w:r w:rsidRPr="00537112">
              <w:rPr>
                <w:rFonts w:cs="Verdana"/>
                <w:position w:val="-1"/>
                <w:sz w:val="20"/>
                <w:szCs w:val="20"/>
              </w:rPr>
              <w:t>n</w:t>
            </w:r>
            <w:r w:rsidRPr="00537112">
              <w:rPr>
                <w:rFonts w:cs="Verdana"/>
                <w:spacing w:val="-9"/>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n</w:t>
            </w:r>
            <w:r w:rsidRPr="00537112">
              <w:rPr>
                <w:rFonts w:cs="Verdana"/>
                <w:position w:val="-1"/>
                <w:sz w:val="20"/>
                <w:szCs w:val="20"/>
              </w:rPr>
              <w:t>á</w:t>
            </w:r>
            <w:r w:rsidRPr="00537112">
              <w:rPr>
                <w:rFonts w:cs="Verdana"/>
                <w:spacing w:val="1"/>
                <w:position w:val="-1"/>
                <w:sz w:val="20"/>
                <w:szCs w:val="20"/>
              </w:rPr>
              <w:t>nd</w:t>
            </w:r>
            <w:r w:rsidRPr="00537112">
              <w:rPr>
                <w:rFonts w:cs="Verdana"/>
                <w:spacing w:val="-1"/>
                <w:position w:val="-1"/>
                <w:sz w:val="20"/>
                <w:szCs w:val="20"/>
              </w:rPr>
              <w:t>e</w:t>
            </w:r>
            <w:r w:rsidRPr="00537112">
              <w:rPr>
                <w:rFonts w:cs="Verdana"/>
                <w:position w:val="-1"/>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295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ug</w:t>
            </w: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241</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n</w:t>
            </w:r>
            <w:r w:rsidRPr="00537112">
              <w:rPr>
                <w:rFonts w:cs="Verdana"/>
                <w:position w:val="-1"/>
                <w:sz w:val="20"/>
                <w:szCs w:val="20"/>
              </w:rPr>
              <w:t>á</w:t>
            </w:r>
            <w:r w:rsidRPr="00537112">
              <w:rPr>
                <w:rFonts w:cs="Verdana"/>
                <w:spacing w:val="1"/>
                <w:position w:val="-1"/>
                <w:sz w:val="20"/>
                <w:szCs w:val="20"/>
              </w:rPr>
              <w:t>nd</w:t>
            </w:r>
            <w:r w:rsidRPr="00537112">
              <w:rPr>
                <w:rFonts w:cs="Verdana"/>
                <w:spacing w:val="-1"/>
                <w:position w:val="-1"/>
                <w:sz w:val="20"/>
                <w:szCs w:val="20"/>
              </w:rPr>
              <w:t>e</w:t>
            </w:r>
            <w:r w:rsidRPr="00537112">
              <w:rPr>
                <w:rFonts w:cs="Verdana"/>
                <w:position w:val="-1"/>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296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242</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63"/>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n</w:t>
            </w:r>
            <w:r w:rsidRPr="00537112">
              <w:rPr>
                <w:rFonts w:cs="Verdana"/>
                <w:position w:val="-1"/>
                <w:sz w:val="20"/>
                <w:szCs w:val="20"/>
              </w:rPr>
              <w:t>á</w:t>
            </w:r>
            <w:r w:rsidRPr="00537112">
              <w:rPr>
                <w:rFonts w:cs="Verdana"/>
                <w:spacing w:val="1"/>
                <w:position w:val="-1"/>
                <w:sz w:val="20"/>
                <w:szCs w:val="20"/>
              </w:rPr>
              <w:t>nd</w:t>
            </w:r>
            <w:r w:rsidRPr="00537112">
              <w:rPr>
                <w:rFonts w:cs="Verdana"/>
                <w:spacing w:val="-1"/>
                <w:position w:val="-1"/>
                <w:sz w:val="20"/>
                <w:szCs w:val="20"/>
              </w:rPr>
              <w:t>e</w:t>
            </w:r>
            <w:r w:rsidRPr="00537112">
              <w:rPr>
                <w:rFonts w:cs="Verdana"/>
                <w:position w:val="-1"/>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297</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3"/>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243</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fre</w:t>
            </w:r>
            <w:r w:rsidRPr="00537112">
              <w:rPr>
                <w:rFonts w:cs="Verdana"/>
                <w:spacing w:val="1"/>
                <w:position w:val="-1"/>
                <w:sz w:val="20"/>
                <w:szCs w:val="20"/>
              </w:rPr>
              <w:t>d</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n</w:t>
            </w:r>
            <w:r w:rsidRPr="00537112">
              <w:rPr>
                <w:rFonts w:cs="Verdana"/>
                <w:position w:val="-1"/>
                <w:sz w:val="20"/>
                <w:szCs w:val="20"/>
              </w:rPr>
              <w:t>á</w:t>
            </w:r>
            <w:r w:rsidRPr="00537112">
              <w:rPr>
                <w:rFonts w:cs="Verdana"/>
                <w:spacing w:val="1"/>
                <w:position w:val="-1"/>
                <w:sz w:val="20"/>
                <w:szCs w:val="20"/>
              </w:rPr>
              <w:t>nd</w:t>
            </w:r>
            <w:r w:rsidRPr="00537112">
              <w:rPr>
                <w:rFonts w:cs="Verdana"/>
                <w:spacing w:val="-1"/>
                <w:position w:val="-1"/>
                <w:sz w:val="20"/>
                <w:szCs w:val="20"/>
              </w:rPr>
              <w:t>e</w:t>
            </w:r>
            <w:r w:rsidRPr="00537112">
              <w:rPr>
                <w:rFonts w:cs="Verdana"/>
                <w:position w:val="-1"/>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298</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Ger</w:t>
            </w:r>
            <w:r w:rsidRPr="00537112">
              <w:rPr>
                <w:rFonts w:cs="Verdana"/>
                <w:spacing w:val="1"/>
                <w:position w:val="-1"/>
                <w:sz w:val="20"/>
                <w:szCs w:val="20"/>
              </w:rPr>
              <w:t>m</w:t>
            </w:r>
            <w:r w:rsidRPr="00537112">
              <w:rPr>
                <w:rFonts w:cs="Verdana"/>
                <w:position w:val="-1"/>
                <w:sz w:val="20"/>
                <w:szCs w:val="20"/>
              </w:rPr>
              <w:t>an</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244</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U</w:t>
            </w:r>
            <w:r w:rsidRPr="00537112">
              <w:rPr>
                <w:rFonts w:cs="Verdana"/>
                <w:position w:val="-1"/>
                <w:sz w:val="20"/>
                <w:szCs w:val="20"/>
              </w:rPr>
              <w:t>s</w:t>
            </w:r>
            <w:r w:rsidRPr="00537112">
              <w:rPr>
                <w:rFonts w:cs="Verdana"/>
                <w:spacing w:val="-3"/>
                <w:position w:val="-1"/>
                <w:sz w:val="20"/>
                <w:szCs w:val="20"/>
              </w:rPr>
              <w:t xml:space="preserve"> </w:t>
            </w:r>
            <w:r w:rsidRPr="00537112">
              <w:rPr>
                <w:rFonts w:cs="Verdana"/>
                <w:position w:val="-1"/>
                <w:sz w:val="20"/>
                <w:szCs w:val="20"/>
              </w:rPr>
              <w:t>C</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oc</w:t>
            </w:r>
            <w:r w:rsidRPr="00537112">
              <w:rPr>
                <w:rFonts w:cs="Verdana"/>
                <w:position w:val="-1"/>
                <w:sz w:val="20"/>
                <w:szCs w:val="20"/>
              </w:rPr>
              <w:t>h</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299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1"/>
                <w:position w:val="-1"/>
                <w:sz w:val="20"/>
                <w:szCs w:val="20"/>
              </w:rPr>
              <w:t>e</w:t>
            </w:r>
            <w:r w:rsidRPr="00537112">
              <w:rPr>
                <w:rFonts w:cs="Verdana"/>
                <w:position w:val="-1"/>
                <w:sz w:val="20"/>
                <w:szCs w:val="20"/>
              </w:rPr>
              <w:t>o</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245</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3"/>
                <w:position w:val="-1"/>
                <w:sz w:val="20"/>
                <w:szCs w:val="20"/>
              </w:rPr>
              <w:t>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U</w:t>
            </w:r>
            <w:r w:rsidRPr="00537112">
              <w:rPr>
                <w:rFonts w:cs="Verdana"/>
                <w:position w:val="-1"/>
                <w:sz w:val="20"/>
                <w:szCs w:val="20"/>
              </w:rPr>
              <w:t>s</w:t>
            </w:r>
            <w:r w:rsidRPr="00537112">
              <w:rPr>
                <w:rFonts w:cs="Verdana"/>
                <w:spacing w:val="-3"/>
                <w:position w:val="-1"/>
                <w:sz w:val="20"/>
                <w:szCs w:val="20"/>
              </w:rPr>
              <w:t xml:space="preserve"> </w:t>
            </w:r>
            <w:r w:rsidRPr="00537112">
              <w:rPr>
                <w:rFonts w:cs="Verdana"/>
                <w:position w:val="-1"/>
                <w:sz w:val="20"/>
                <w:szCs w:val="20"/>
              </w:rPr>
              <w:t>C</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oc</w:t>
            </w:r>
            <w:r w:rsidRPr="00537112">
              <w:rPr>
                <w:rFonts w:cs="Verdana"/>
                <w:position w:val="-1"/>
                <w:sz w:val="20"/>
                <w:szCs w:val="20"/>
              </w:rPr>
              <w:t>h</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300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246</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U</w:t>
            </w:r>
            <w:r w:rsidRPr="00537112">
              <w:rPr>
                <w:rFonts w:cs="Verdana"/>
                <w:position w:val="-1"/>
                <w:sz w:val="20"/>
                <w:szCs w:val="20"/>
              </w:rPr>
              <w:t>s</w:t>
            </w:r>
            <w:r w:rsidRPr="00537112">
              <w:rPr>
                <w:rFonts w:cs="Verdana"/>
                <w:spacing w:val="-3"/>
                <w:position w:val="-1"/>
                <w:sz w:val="20"/>
                <w:szCs w:val="20"/>
              </w:rPr>
              <w:t xml:space="preserve"> </w:t>
            </w:r>
            <w:r w:rsidRPr="00537112">
              <w:rPr>
                <w:rFonts w:cs="Verdana"/>
                <w:position w:val="-1"/>
                <w:sz w:val="20"/>
                <w:szCs w:val="20"/>
              </w:rPr>
              <w:t>C</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och</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301</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spacing w:val="-1"/>
                <w:position w:val="-1"/>
                <w:sz w:val="20"/>
                <w:szCs w:val="20"/>
              </w:rPr>
              <w:t>e</w:t>
            </w:r>
            <w:r w:rsidRPr="00537112">
              <w:rPr>
                <w:rFonts w:cs="Verdana"/>
                <w:spacing w:val="1"/>
                <w:position w:val="-1"/>
                <w:sz w:val="20"/>
                <w:szCs w:val="20"/>
              </w:rPr>
              <w:t>b</w:t>
            </w:r>
            <w:r w:rsidRPr="00537112">
              <w:rPr>
                <w:rFonts w:cs="Verdana"/>
                <w:position w:val="-1"/>
                <w:sz w:val="20"/>
                <w:szCs w:val="20"/>
              </w:rPr>
              <w:t>a</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247</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Na</w:t>
            </w:r>
            <w:r w:rsidRPr="00537112">
              <w:rPr>
                <w:rFonts w:cs="Verdana"/>
                <w:spacing w:val="-1"/>
                <w:position w:val="-1"/>
                <w:sz w:val="20"/>
                <w:szCs w:val="20"/>
              </w:rPr>
              <w:t>rc</w:t>
            </w:r>
            <w:r w:rsidRPr="00537112">
              <w:rPr>
                <w:rFonts w:cs="Verdana"/>
                <w:spacing w:val="3"/>
                <w:position w:val="-1"/>
                <w:sz w:val="20"/>
                <w:szCs w:val="20"/>
              </w:rPr>
              <w:t>i</w:t>
            </w:r>
            <w:r w:rsidRPr="00537112">
              <w:rPr>
                <w:rFonts w:cs="Verdana"/>
                <w:spacing w:val="1"/>
                <w:position w:val="-1"/>
                <w:sz w:val="20"/>
                <w:szCs w:val="20"/>
              </w:rPr>
              <w:t>z</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U</w:t>
            </w:r>
            <w:r w:rsidRPr="00537112">
              <w:rPr>
                <w:rFonts w:cs="Verdana"/>
                <w:position w:val="-1"/>
                <w:sz w:val="20"/>
                <w:szCs w:val="20"/>
              </w:rPr>
              <w:t>s</w:t>
            </w:r>
            <w:r w:rsidRPr="00537112">
              <w:rPr>
                <w:rFonts w:cs="Verdana"/>
                <w:spacing w:val="-3"/>
                <w:position w:val="-1"/>
                <w:sz w:val="20"/>
                <w:szCs w:val="20"/>
              </w:rPr>
              <w:t xml:space="preserve"> </w:t>
            </w:r>
            <w:r w:rsidRPr="00537112">
              <w:rPr>
                <w:rFonts w:cs="Verdana"/>
                <w:position w:val="-1"/>
                <w:sz w:val="20"/>
                <w:szCs w:val="20"/>
              </w:rPr>
              <w:t>C</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och</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302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248</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spacing w:val="-1"/>
                <w:position w:val="-1"/>
                <w:sz w:val="20"/>
                <w:szCs w:val="20"/>
              </w:rPr>
              <w:t>e</w:t>
            </w:r>
            <w:r w:rsidRPr="00537112">
              <w:rPr>
                <w:rFonts w:cs="Verdana"/>
                <w:spacing w:val="1"/>
                <w:position w:val="-1"/>
                <w:sz w:val="20"/>
                <w:szCs w:val="20"/>
              </w:rPr>
              <w:t>b</w:t>
            </w:r>
            <w:r w:rsidRPr="00537112">
              <w:rPr>
                <w:rFonts w:cs="Verdana"/>
                <w:position w:val="-1"/>
                <w:sz w:val="20"/>
                <w:szCs w:val="20"/>
              </w:rPr>
              <w:t>a</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an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303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er</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249</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gn</w:t>
            </w:r>
            <w:r w:rsidRPr="00537112">
              <w:rPr>
                <w:rFonts w:cs="Verdana"/>
                <w:position w:val="-1"/>
                <w:sz w:val="20"/>
                <w:szCs w:val="20"/>
              </w:rPr>
              <w:t>a</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an</w:t>
            </w:r>
            <w:r w:rsidRPr="00537112">
              <w:rPr>
                <w:rFonts w:cs="Verdana"/>
                <w:spacing w:val="-7"/>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an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304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p</w:t>
            </w:r>
            <w:r w:rsidRPr="00537112">
              <w:rPr>
                <w:rFonts w:cs="Verdana"/>
                <w:position w:val="-1"/>
                <w:sz w:val="20"/>
                <w:szCs w:val="20"/>
              </w:rPr>
              <w:t>e</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u</w:t>
            </w:r>
            <w:r w:rsidRPr="00537112">
              <w:rPr>
                <w:rFonts w:cs="Verdana"/>
                <w:position w:val="-1"/>
                <w:sz w:val="20"/>
                <w:szCs w:val="20"/>
              </w:rPr>
              <w:t>x</w:t>
            </w:r>
            <w:r w:rsidRPr="00537112">
              <w:rPr>
                <w:rFonts w:cs="Verdana"/>
                <w:spacing w:val="1"/>
                <w:position w:val="-1"/>
                <w:sz w:val="20"/>
                <w:szCs w:val="20"/>
              </w:rPr>
              <w:t>ú</w:t>
            </w:r>
            <w:r w:rsidRPr="00537112">
              <w:rPr>
                <w:rFonts w:cs="Verdana"/>
                <w:position w:val="-1"/>
                <w:sz w:val="20"/>
                <w:szCs w:val="20"/>
              </w:rPr>
              <w:t>m</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250</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an</w:t>
            </w:r>
            <w:r w:rsidRPr="00537112">
              <w:rPr>
                <w:rFonts w:cs="Verdana"/>
                <w:spacing w:val="-7"/>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an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305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s</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251</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3"/>
                <w:position w:val="-1"/>
                <w:sz w:val="20"/>
                <w:szCs w:val="20"/>
              </w:rPr>
              <w:t>i</w:t>
            </w:r>
            <w:r w:rsidRPr="00537112">
              <w:rPr>
                <w:rFonts w:cs="Verdana"/>
                <w:position w:val="-1"/>
                <w:sz w:val="20"/>
                <w:szCs w:val="20"/>
              </w:rPr>
              <w:t>s</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an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306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j</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252</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g</w:t>
            </w:r>
            <w:r w:rsidRPr="00537112">
              <w:rPr>
                <w:rFonts w:cs="Verdana"/>
                <w:spacing w:val="-1"/>
                <w:position w:val="-1"/>
                <w:sz w:val="20"/>
                <w:szCs w:val="20"/>
              </w:rPr>
              <w:t>o</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Ba</w:t>
            </w:r>
            <w:r w:rsidRPr="00537112">
              <w:rPr>
                <w:rFonts w:cs="Verdana"/>
                <w:spacing w:val="-1"/>
                <w:position w:val="-1"/>
                <w:sz w:val="20"/>
                <w:szCs w:val="20"/>
              </w:rPr>
              <w:t>c</w:t>
            </w:r>
            <w:r w:rsidRPr="00537112">
              <w:rPr>
                <w:rFonts w:cs="Verdana"/>
                <w:spacing w:val="1"/>
                <w:position w:val="-1"/>
                <w:sz w:val="20"/>
                <w:szCs w:val="20"/>
              </w:rPr>
              <w:t>h</w:t>
            </w:r>
            <w:r w:rsidRPr="00537112">
              <w:rPr>
                <w:rFonts w:cs="Verdana"/>
                <w:position w:val="-1"/>
                <w:sz w:val="20"/>
                <w:szCs w:val="20"/>
              </w:rPr>
              <w:t>an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307</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494"/>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253</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rc</w:t>
            </w:r>
            <w:r w:rsidRPr="00537112">
              <w:rPr>
                <w:rFonts w:cs="Verdana"/>
                <w:spacing w:val="3"/>
                <w:sz w:val="20"/>
                <w:szCs w:val="20"/>
              </w:rPr>
              <w:t>i</w:t>
            </w:r>
            <w:r w:rsidRPr="00537112">
              <w:rPr>
                <w:rFonts w:cs="Verdana"/>
                <w:sz w:val="20"/>
                <w:szCs w:val="20"/>
              </w:rPr>
              <w:t>a</w:t>
            </w:r>
            <w:r w:rsidRPr="00537112">
              <w:rPr>
                <w:rFonts w:cs="Verdana"/>
                <w:spacing w:val="3"/>
                <w:sz w:val="20"/>
                <w:szCs w:val="20"/>
              </w:rPr>
              <w:t>l</w:t>
            </w:r>
            <w:r w:rsidRPr="00537112">
              <w:rPr>
                <w:rFonts w:cs="Verdana"/>
                <w:sz w:val="20"/>
                <w:szCs w:val="20"/>
              </w:rPr>
              <w:t>a</w:t>
            </w:r>
            <w:r w:rsidRPr="00537112">
              <w:rPr>
                <w:rFonts w:cs="Verdana"/>
                <w:spacing w:val="-8"/>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r w:rsidRPr="00537112">
              <w:rPr>
                <w:rFonts w:cs="Verdana"/>
                <w:spacing w:val="-6"/>
                <w:sz w:val="20"/>
                <w:szCs w:val="20"/>
              </w:rPr>
              <w:t xml:space="preserve"> </w:t>
            </w:r>
            <w:r w:rsidRPr="00537112">
              <w:rPr>
                <w:rFonts w:cs="Verdana"/>
                <w:sz w:val="20"/>
                <w:szCs w:val="20"/>
              </w:rPr>
              <w:t>C</w:t>
            </w:r>
            <w:r w:rsidRPr="00537112">
              <w:rPr>
                <w:rFonts w:cs="Verdana"/>
                <w:spacing w:val="3"/>
                <w:sz w:val="20"/>
                <w:szCs w:val="20"/>
              </w:rPr>
              <w:t>i</w:t>
            </w:r>
            <w:r w:rsidRPr="00537112">
              <w:rPr>
                <w:rFonts w:cs="Verdana"/>
                <w:spacing w:val="1"/>
                <w:sz w:val="20"/>
                <w:szCs w:val="20"/>
              </w:rPr>
              <w:t>p</w:t>
            </w:r>
            <w:r w:rsidRPr="00537112">
              <w:rPr>
                <w:rFonts w:cs="Verdana"/>
                <w:spacing w:val="-1"/>
                <w:sz w:val="20"/>
                <w:szCs w:val="20"/>
              </w:rPr>
              <w:t>r</w:t>
            </w:r>
            <w:r w:rsidRPr="00537112">
              <w:rPr>
                <w:rFonts w:cs="Verdana"/>
                <w:spacing w:val="3"/>
                <w:sz w:val="20"/>
                <w:szCs w:val="20"/>
              </w:rPr>
              <w:t>i</w:t>
            </w:r>
            <w:r w:rsidRPr="00537112">
              <w:rPr>
                <w:rFonts w:cs="Verdana"/>
                <w:sz w:val="20"/>
                <w:szCs w:val="20"/>
              </w:rPr>
              <w:t>an</w:t>
            </w:r>
            <w:r w:rsidRPr="00537112">
              <w:rPr>
                <w:rFonts w:cs="Verdana"/>
                <w:spacing w:val="-7"/>
                <w:sz w:val="20"/>
                <w:szCs w:val="20"/>
              </w:rPr>
              <w:t xml:space="preserve"> </w:t>
            </w:r>
            <w:r w:rsidRPr="00537112">
              <w:rPr>
                <w:rFonts w:cs="Verdana"/>
                <w:sz w:val="20"/>
                <w:szCs w:val="20"/>
              </w:rPr>
              <w:t>De</w:t>
            </w:r>
            <w:r w:rsidRPr="00537112">
              <w:rPr>
                <w:rFonts w:cs="Verdana"/>
                <w:spacing w:val="-5"/>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b/>
                <w:bCs/>
                <w:sz w:val="20"/>
                <w:szCs w:val="20"/>
              </w:rPr>
              <w:t>308</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before="5" w:line="110" w:lineRule="exact"/>
              <w:jc w:val="left"/>
              <w:textAlignment w:val="auto"/>
              <w:rPr>
                <w:rFonts w:ascii="Times New Roman" w:hAnsi="Times New Roman"/>
                <w:sz w:val="11"/>
                <w:szCs w:val="11"/>
              </w:rPr>
            </w:pPr>
          </w:p>
          <w:p w:rsidR="00537112" w:rsidRPr="00537112" w:rsidRDefault="00537112" w:rsidP="00537112">
            <w:pPr>
              <w:autoSpaceDE w:val="0"/>
              <w:autoSpaceDN w:val="0"/>
              <w:spacing w:line="240" w:lineRule="auto"/>
              <w:ind w:right="-20"/>
              <w:jc w:val="left"/>
              <w:textAlignment w:val="auto"/>
              <w:rPr>
                <w:rFonts w:ascii="Times New Roman" w:hAnsi="Times New Roman"/>
              </w:rPr>
            </w:pPr>
            <w:r w:rsidRPr="00537112">
              <w:rPr>
                <w:rFonts w:cs="Verdana"/>
                <w:sz w:val="20"/>
                <w:szCs w:val="20"/>
              </w:rPr>
              <w:t>M</w:t>
            </w:r>
            <w:r w:rsidRPr="00537112">
              <w:rPr>
                <w:rFonts w:cs="Verdana"/>
                <w:spacing w:val="-1"/>
                <w:sz w:val="20"/>
                <w:szCs w:val="20"/>
              </w:rPr>
              <w:t>e</w:t>
            </w:r>
            <w:r w:rsidRPr="00537112">
              <w:rPr>
                <w:rFonts w:cs="Verdana"/>
                <w:spacing w:val="3"/>
                <w:sz w:val="20"/>
                <w:szCs w:val="20"/>
              </w:rPr>
              <w:t>l</w:t>
            </w:r>
            <w:r w:rsidRPr="00537112">
              <w:rPr>
                <w:rFonts w:cs="Verdana"/>
                <w:spacing w:val="-1"/>
                <w:sz w:val="20"/>
                <w:szCs w:val="20"/>
              </w:rPr>
              <w:t>es</w:t>
            </w:r>
            <w:r w:rsidRPr="00537112">
              <w:rPr>
                <w:rFonts w:cs="Verdana"/>
                <w:spacing w:val="3"/>
                <w:sz w:val="20"/>
                <w:szCs w:val="20"/>
              </w:rPr>
              <w:t>i</w:t>
            </w:r>
            <w:r w:rsidRPr="00537112">
              <w:rPr>
                <w:rFonts w:cs="Verdana"/>
                <w:sz w:val="20"/>
                <w:szCs w:val="20"/>
              </w:rPr>
              <w:t>a</w:t>
            </w:r>
            <w:r w:rsidRPr="00537112">
              <w:rPr>
                <w:rFonts w:cs="Verdana"/>
                <w:spacing w:val="-7"/>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254</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g</w:t>
            </w:r>
            <w:r w:rsidRPr="00537112">
              <w:rPr>
                <w:rFonts w:cs="Verdana"/>
                <w:spacing w:val="3"/>
                <w:position w:val="-1"/>
                <w:sz w:val="20"/>
                <w:szCs w:val="20"/>
              </w:rPr>
              <w:t>i</w:t>
            </w:r>
            <w:r w:rsidRPr="00537112">
              <w:rPr>
                <w:rFonts w:cs="Verdana"/>
                <w:spacing w:val="1"/>
                <w:position w:val="-1"/>
                <w:sz w:val="20"/>
                <w:szCs w:val="20"/>
              </w:rPr>
              <w:t>d</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p</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309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t</w:t>
            </w:r>
            <w:r w:rsidRPr="00537112">
              <w:rPr>
                <w:rFonts w:cs="Verdana"/>
                <w:spacing w:val="-1"/>
                <w:position w:val="-1"/>
                <w:sz w:val="20"/>
                <w:szCs w:val="20"/>
              </w:rPr>
              <w:t>roc</w:t>
            </w:r>
            <w:r w:rsidRPr="00537112">
              <w:rPr>
                <w:rFonts w:cs="Verdana"/>
                <w:spacing w:val="3"/>
                <w:position w:val="-1"/>
                <w:sz w:val="20"/>
                <w:szCs w:val="20"/>
              </w:rPr>
              <w:t>i</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262"/>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255</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p</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310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256</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es</w:t>
            </w:r>
            <w:r w:rsidRPr="00537112">
              <w:rPr>
                <w:rFonts w:cs="Verdana"/>
                <w:spacing w:val="1"/>
                <w:position w:val="-1"/>
                <w:sz w:val="20"/>
                <w:szCs w:val="20"/>
              </w:rPr>
              <w:t>u</w:t>
            </w:r>
            <w:r w:rsidRPr="00537112">
              <w:rPr>
                <w:rFonts w:cs="Verdana"/>
                <w:spacing w:val="-1"/>
                <w:position w:val="-1"/>
                <w:sz w:val="20"/>
                <w:szCs w:val="20"/>
              </w:rPr>
              <w:t>s</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p</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311</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w:t>
            </w:r>
            <w:r w:rsidRPr="00537112">
              <w:rPr>
                <w:rFonts w:cs="Verdana"/>
                <w:spacing w:val="3"/>
                <w:position w:val="-1"/>
                <w:sz w:val="20"/>
                <w:szCs w:val="20"/>
              </w:rPr>
              <w:t>l</w:t>
            </w:r>
            <w:r w:rsidRPr="00537112">
              <w:rPr>
                <w:rFonts w:cs="Verdana"/>
                <w:spacing w:val="-1"/>
                <w:position w:val="-1"/>
                <w:sz w:val="20"/>
                <w:szCs w:val="20"/>
              </w:rPr>
              <w:t>ore</w:t>
            </w:r>
            <w:r w:rsidRPr="00537112">
              <w:rPr>
                <w:rFonts w:cs="Verdana"/>
                <w:position w:val="-1"/>
                <w:sz w:val="20"/>
                <w:szCs w:val="20"/>
              </w:rPr>
              <w:t>s</w:t>
            </w:r>
            <w:r w:rsidRPr="00537112">
              <w:rPr>
                <w:rFonts w:cs="Verdana"/>
                <w:spacing w:val="-9"/>
                <w:position w:val="-1"/>
                <w:sz w:val="20"/>
                <w:szCs w:val="20"/>
              </w:rPr>
              <w:t xml:space="preserve"> </w:t>
            </w:r>
            <w:r w:rsidRPr="00537112">
              <w:rPr>
                <w:rFonts w:cs="Verdana"/>
                <w:position w:val="-1"/>
                <w:sz w:val="20"/>
                <w:szCs w:val="20"/>
              </w:rPr>
              <w:t>T</w:t>
            </w:r>
            <w:r w:rsidRPr="00537112">
              <w:rPr>
                <w:rFonts w:cs="Verdana"/>
                <w:spacing w:val="-1"/>
                <w:position w:val="-1"/>
                <w:sz w:val="20"/>
                <w:szCs w:val="20"/>
              </w:rPr>
              <w:t>o</w:t>
            </w:r>
            <w:r w:rsidRPr="00537112">
              <w:rPr>
                <w:rFonts w:cs="Verdana"/>
                <w:position w:val="-1"/>
                <w:sz w:val="20"/>
                <w:szCs w:val="20"/>
              </w:rPr>
              <w:t>j</w:t>
            </w:r>
            <w:r w:rsidRPr="00537112">
              <w:rPr>
                <w:rFonts w:cs="Verdana"/>
                <w:spacing w:val="-3"/>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257</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And</w:t>
            </w:r>
            <w:r w:rsidRPr="00537112">
              <w:rPr>
                <w:rFonts w:cs="Verdana"/>
                <w:spacing w:val="-1"/>
                <w:position w:val="-1"/>
                <w:sz w:val="20"/>
                <w:szCs w:val="20"/>
              </w:rPr>
              <w:t>re</w:t>
            </w:r>
            <w:r w:rsidRPr="00537112">
              <w:rPr>
                <w:rFonts w:cs="Verdana"/>
                <w:position w:val="-1"/>
                <w:sz w:val="20"/>
                <w:szCs w:val="20"/>
              </w:rPr>
              <w:t>s</w:t>
            </w:r>
            <w:r w:rsidRPr="00537112">
              <w:rPr>
                <w:rFonts w:cs="Verdana"/>
                <w:spacing w:val="-8"/>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p</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312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spacing w:val="3"/>
                <w:position w:val="-1"/>
                <w:sz w:val="20"/>
                <w:szCs w:val="20"/>
              </w:rPr>
              <w:t>li</w:t>
            </w:r>
            <w:r w:rsidRPr="00537112">
              <w:rPr>
                <w:rFonts w:cs="Verdana"/>
                <w:position w:val="-1"/>
                <w:sz w:val="20"/>
                <w:szCs w:val="20"/>
              </w:rPr>
              <w:t>án</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g</w:t>
            </w:r>
            <w:r w:rsidRPr="00537112">
              <w:rPr>
                <w:rFonts w:cs="Verdana"/>
                <w:position w:val="-1"/>
                <w:sz w:val="20"/>
                <w:szCs w:val="20"/>
              </w:rPr>
              <w:t>as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258</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spacing w:val="3"/>
                <w:position w:val="-1"/>
                <w:sz w:val="20"/>
                <w:szCs w:val="20"/>
              </w:rPr>
              <w:t>il</w:t>
            </w:r>
            <w:r w:rsidRPr="00537112">
              <w:rPr>
                <w:rFonts w:cs="Verdana"/>
                <w:position w:val="-1"/>
                <w:sz w:val="20"/>
                <w:szCs w:val="20"/>
              </w:rPr>
              <w:t>v</w:t>
            </w:r>
            <w:r w:rsidRPr="00537112">
              <w:rPr>
                <w:rFonts w:cs="Verdana"/>
                <w:spacing w:val="-1"/>
                <w:position w:val="-1"/>
                <w:sz w:val="20"/>
                <w:szCs w:val="20"/>
              </w:rPr>
              <w:t>er</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313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an</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De</w:t>
            </w:r>
            <w:r w:rsidRPr="00537112">
              <w:rPr>
                <w:rFonts w:cs="Verdana"/>
                <w:spacing w:val="-5"/>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259</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Ló</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314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3"/>
                <w:position w:val="-1"/>
                <w:sz w:val="20"/>
                <w:szCs w:val="20"/>
              </w:rPr>
              <w:t>i</w:t>
            </w:r>
            <w:r w:rsidRPr="00537112">
              <w:rPr>
                <w:rFonts w:cs="Verdana"/>
                <w:position w:val="-1"/>
                <w:sz w:val="20"/>
                <w:szCs w:val="20"/>
              </w:rPr>
              <w:t>as</w:t>
            </w:r>
            <w:r w:rsidRPr="00537112">
              <w:rPr>
                <w:rFonts w:cs="Verdana"/>
                <w:spacing w:val="-7"/>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260</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Ba</w:t>
            </w:r>
            <w:r w:rsidRPr="00537112">
              <w:rPr>
                <w:rFonts w:cs="Verdana"/>
                <w:spacing w:val="1"/>
                <w:position w:val="-1"/>
                <w:sz w:val="20"/>
                <w:szCs w:val="20"/>
              </w:rPr>
              <w:t>ud</w:t>
            </w:r>
            <w:r w:rsidRPr="00537112">
              <w:rPr>
                <w:rFonts w:cs="Verdana"/>
                <w:spacing w:val="3"/>
                <w:position w:val="-1"/>
                <w:sz w:val="20"/>
                <w:szCs w:val="20"/>
              </w:rPr>
              <w:t>ili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315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Za</w:t>
            </w:r>
            <w:r w:rsidRPr="00537112">
              <w:rPr>
                <w:rFonts w:cs="Verdana"/>
                <w:spacing w:val="-1"/>
                <w:position w:val="-1"/>
                <w:sz w:val="20"/>
                <w:szCs w:val="20"/>
              </w:rPr>
              <w:t>c</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as</w:t>
            </w:r>
            <w:r w:rsidRPr="00537112">
              <w:rPr>
                <w:rFonts w:cs="Verdana"/>
                <w:spacing w:val="-9"/>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an</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261</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Le</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316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mu</w:t>
            </w:r>
            <w:r w:rsidRPr="00537112">
              <w:rPr>
                <w:rFonts w:cs="Verdana"/>
                <w:spacing w:val="-1"/>
                <w:position w:val="-1"/>
                <w:sz w:val="20"/>
                <w:szCs w:val="20"/>
              </w:rPr>
              <w:t>e</w:t>
            </w:r>
            <w:r w:rsidRPr="00537112">
              <w:rPr>
                <w:rFonts w:cs="Verdana"/>
                <w:position w:val="-1"/>
                <w:sz w:val="20"/>
                <w:szCs w:val="20"/>
              </w:rPr>
              <w:t>l</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262</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m</w:t>
            </w:r>
            <w:r w:rsidRPr="00537112">
              <w:rPr>
                <w:rFonts w:cs="Verdana"/>
                <w:spacing w:val="3"/>
                <w:position w:val="-1"/>
                <w:sz w:val="20"/>
                <w:szCs w:val="20"/>
              </w:rPr>
              <w:t>ili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317</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i</w:t>
            </w:r>
            <w:r w:rsidRPr="00537112">
              <w:rPr>
                <w:rFonts w:cs="Verdana"/>
                <w:spacing w:val="1"/>
                <w:position w:val="-1"/>
                <w:sz w:val="20"/>
                <w:szCs w:val="20"/>
              </w:rPr>
              <w:t>d</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an</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263</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o</w:t>
            </w:r>
            <w:r w:rsidRPr="00537112">
              <w:rPr>
                <w:rFonts w:cs="Verdana"/>
                <w:spacing w:val="-12"/>
                <w:position w:val="-1"/>
                <w:sz w:val="20"/>
                <w:szCs w:val="20"/>
              </w:rPr>
              <w:t xml:space="preserve"> </w:t>
            </w:r>
            <w:r w:rsidRPr="00537112">
              <w:rPr>
                <w:rFonts w:cs="Verdana"/>
                <w:position w:val="-1"/>
                <w:sz w:val="20"/>
                <w:szCs w:val="20"/>
              </w:rPr>
              <w:t>Ca</w:t>
            </w:r>
            <w:r w:rsidRPr="00537112">
              <w:rPr>
                <w:rFonts w:cs="Verdana"/>
                <w:spacing w:val="3"/>
                <w:position w:val="-1"/>
                <w:sz w:val="20"/>
                <w:szCs w:val="20"/>
              </w:rPr>
              <w:t>l</w:t>
            </w:r>
            <w:r w:rsidRPr="00537112">
              <w:rPr>
                <w:rFonts w:cs="Verdana"/>
                <w:position w:val="-1"/>
                <w:sz w:val="20"/>
                <w:szCs w:val="20"/>
              </w:rPr>
              <w:t>at</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318</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264</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b</w:t>
            </w:r>
            <w:r w:rsidRPr="00537112">
              <w:rPr>
                <w:rFonts w:cs="Verdana"/>
                <w:spacing w:val="-1"/>
                <w:position w:val="-1"/>
                <w:sz w:val="20"/>
                <w:szCs w:val="20"/>
              </w:rPr>
              <w:t>er</w:t>
            </w:r>
            <w:r w:rsidRPr="00537112">
              <w:rPr>
                <w:rFonts w:cs="Verdana"/>
                <w:spacing w:val="1"/>
                <w:position w:val="-1"/>
                <w:sz w:val="20"/>
                <w:szCs w:val="20"/>
              </w:rPr>
              <w:t>t</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Ló</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319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b</w:t>
            </w:r>
            <w:r w:rsidRPr="00537112">
              <w:rPr>
                <w:rFonts w:cs="Verdana"/>
                <w:spacing w:val="3"/>
                <w:position w:val="-1"/>
                <w:sz w:val="20"/>
                <w:szCs w:val="20"/>
              </w:rPr>
              <w:t>l</w:t>
            </w:r>
            <w:r w:rsidRPr="00537112">
              <w:rPr>
                <w:rFonts w:cs="Verdana"/>
                <w:position w:val="-1"/>
                <w:sz w:val="20"/>
                <w:szCs w:val="20"/>
              </w:rPr>
              <w:t>o</w:t>
            </w:r>
            <w:r w:rsidRPr="00537112">
              <w:rPr>
                <w:rFonts w:cs="Verdana"/>
                <w:spacing w:val="-7"/>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265</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u</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av</w:t>
            </w:r>
            <w:r w:rsidRPr="00537112">
              <w:rPr>
                <w:rFonts w:cs="Verdana"/>
                <w:spacing w:val="-1"/>
                <w:position w:val="-1"/>
                <w:sz w:val="20"/>
                <w:szCs w:val="20"/>
              </w:rPr>
              <w:t>e</w:t>
            </w:r>
            <w:r w:rsidRPr="00537112">
              <w:rPr>
                <w:rFonts w:cs="Verdana"/>
                <w:spacing w:val="1"/>
                <w:position w:val="-1"/>
                <w:sz w:val="20"/>
                <w:szCs w:val="20"/>
              </w:rPr>
              <w:t>ntu</w:t>
            </w:r>
            <w:r w:rsidRPr="00537112">
              <w:rPr>
                <w:rFonts w:cs="Verdana"/>
                <w:spacing w:val="-1"/>
                <w:position w:val="-1"/>
                <w:sz w:val="20"/>
                <w:szCs w:val="20"/>
              </w:rPr>
              <w:t>r</w:t>
            </w:r>
            <w:r w:rsidRPr="00537112">
              <w:rPr>
                <w:rFonts w:cs="Verdana"/>
                <w:position w:val="-1"/>
                <w:sz w:val="20"/>
                <w:szCs w:val="20"/>
              </w:rPr>
              <w:t>a</w:t>
            </w:r>
            <w:r w:rsidRPr="00537112">
              <w:rPr>
                <w:rFonts w:cs="Verdana"/>
                <w:spacing w:val="-1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320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ce</w:t>
            </w:r>
            <w:r w:rsidRPr="00537112">
              <w:rPr>
                <w:rFonts w:cs="Verdana"/>
                <w:spacing w:val="1"/>
                <w:position w:val="-1"/>
                <w:sz w:val="20"/>
                <w:szCs w:val="20"/>
              </w:rPr>
              <w:t>nt</w:t>
            </w:r>
            <w:r w:rsidRPr="00537112">
              <w:rPr>
                <w:rFonts w:cs="Verdana"/>
                <w:position w:val="-1"/>
                <w:sz w:val="20"/>
                <w:szCs w:val="20"/>
              </w:rPr>
              <w:t>e</w:t>
            </w:r>
            <w:r w:rsidRPr="00537112">
              <w:rPr>
                <w:rFonts w:cs="Verdana"/>
                <w:spacing w:val="-9"/>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266</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321</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spacing w:val="3"/>
                <w:position w:val="-1"/>
                <w:sz w:val="20"/>
                <w:szCs w:val="20"/>
              </w:rPr>
              <w:t>li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267</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position w:val="-1"/>
                <w:sz w:val="20"/>
                <w:szCs w:val="20"/>
              </w:rPr>
              <w:t>Ba</w:t>
            </w:r>
            <w:r w:rsidRPr="00537112">
              <w:rPr>
                <w:rFonts w:cs="Verdana"/>
                <w:spacing w:val="1"/>
                <w:position w:val="-1"/>
                <w:sz w:val="20"/>
                <w:szCs w:val="20"/>
              </w:rPr>
              <w:t>ut</w:t>
            </w:r>
            <w:r w:rsidRPr="00537112">
              <w:rPr>
                <w:rFonts w:cs="Verdana"/>
                <w:spacing w:val="3"/>
                <w:position w:val="-1"/>
                <w:sz w:val="20"/>
                <w:szCs w:val="20"/>
              </w:rPr>
              <w:t>i</w:t>
            </w:r>
            <w:r w:rsidRPr="00537112">
              <w:rPr>
                <w:rFonts w:cs="Verdana"/>
                <w:spacing w:val="-1"/>
                <w:position w:val="-1"/>
                <w:sz w:val="20"/>
                <w:szCs w:val="20"/>
              </w:rPr>
              <w:t>s</w:t>
            </w:r>
            <w:r w:rsidRPr="00537112">
              <w:rPr>
                <w:rFonts w:cs="Verdana"/>
                <w:spacing w:val="1"/>
                <w:position w:val="-1"/>
                <w:sz w:val="20"/>
                <w:szCs w:val="20"/>
              </w:rPr>
              <w:t>t</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322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268</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w:t>
            </w:r>
            <w:r w:rsidRPr="00537112">
              <w:rPr>
                <w:rFonts w:cs="Verdana"/>
                <w:spacing w:val="3"/>
                <w:position w:val="-1"/>
                <w:sz w:val="20"/>
                <w:szCs w:val="20"/>
              </w:rPr>
              <w:t>l</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323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269</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m</w:t>
            </w:r>
            <w:r w:rsidRPr="00537112">
              <w:rPr>
                <w:rFonts w:cs="Verdana"/>
                <w:spacing w:val="3"/>
                <w:position w:val="-1"/>
                <w:sz w:val="20"/>
                <w:szCs w:val="20"/>
              </w:rPr>
              <w:t>il</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re</w:t>
            </w:r>
            <w:r w:rsidRPr="00537112">
              <w:rPr>
                <w:rFonts w:cs="Verdana"/>
                <w:position w:val="-1"/>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324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270</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rco</w:t>
            </w:r>
            <w:r w:rsidRPr="00537112">
              <w:rPr>
                <w:rFonts w:cs="Verdana"/>
                <w:position w:val="-1"/>
                <w:sz w:val="20"/>
                <w:szCs w:val="20"/>
              </w:rPr>
              <w:t>s</w:t>
            </w:r>
            <w:r w:rsidRPr="00537112">
              <w:rPr>
                <w:rFonts w:cs="Verdana"/>
                <w:spacing w:val="-8"/>
                <w:position w:val="-1"/>
                <w:sz w:val="20"/>
                <w:szCs w:val="20"/>
              </w:rPr>
              <w:t xml:space="preserve"> </w:t>
            </w:r>
            <w:r w:rsidRPr="00537112">
              <w:rPr>
                <w:rFonts w:cs="Verdana"/>
                <w:spacing w:val="1"/>
                <w:position w:val="-1"/>
                <w:sz w:val="20"/>
                <w:szCs w:val="20"/>
              </w:rPr>
              <w:t>U</w:t>
            </w:r>
            <w:r w:rsidRPr="00537112">
              <w:rPr>
                <w:rFonts w:cs="Verdana"/>
                <w:spacing w:val="-1"/>
                <w:position w:val="-1"/>
                <w:sz w:val="20"/>
                <w:szCs w:val="20"/>
              </w:rPr>
              <w:t>sc</w:t>
            </w:r>
            <w:r w:rsidRPr="00537112">
              <w:rPr>
                <w:rFonts w:cs="Verdana"/>
                <w:position w:val="-1"/>
                <w:sz w:val="20"/>
                <w:szCs w:val="20"/>
              </w:rPr>
              <w:t>ap</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325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g</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271</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b</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De</w:t>
            </w:r>
            <w:r w:rsidRPr="00537112">
              <w:rPr>
                <w:rFonts w:cs="Verdana"/>
                <w:spacing w:val="-5"/>
                <w:position w:val="-1"/>
                <w:sz w:val="20"/>
                <w:szCs w:val="20"/>
              </w:rPr>
              <w:t xml:space="preserve"> </w:t>
            </w:r>
            <w:r w:rsidRPr="00537112">
              <w:rPr>
                <w:rFonts w:cs="Verdana"/>
                <w:spacing w:val="1"/>
                <w:position w:val="-1"/>
                <w:sz w:val="20"/>
                <w:szCs w:val="20"/>
              </w:rPr>
              <w:t>U</w:t>
            </w:r>
            <w:r w:rsidRPr="00537112">
              <w:rPr>
                <w:rFonts w:cs="Verdana"/>
                <w:spacing w:val="-1"/>
                <w:position w:val="-1"/>
                <w:sz w:val="20"/>
                <w:szCs w:val="20"/>
              </w:rPr>
              <w:t>sc</w:t>
            </w:r>
            <w:r w:rsidRPr="00537112">
              <w:rPr>
                <w:rFonts w:cs="Verdana"/>
                <w:position w:val="-1"/>
                <w:sz w:val="20"/>
                <w:szCs w:val="20"/>
              </w:rPr>
              <w:t>ap</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326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gd</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272</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osef</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U</w:t>
            </w:r>
            <w:r w:rsidRPr="00537112">
              <w:rPr>
                <w:rFonts w:cs="Verdana"/>
                <w:spacing w:val="-1"/>
                <w:position w:val="-1"/>
                <w:sz w:val="20"/>
                <w:szCs w:val="20"/>
              </w:rPr>
              <w:t>sc</w:t>
            </w:r>
            <w:r w:rsidRPr="00537112">
              <w:rPr>
                <w:rFonts w:cs="Verdana"/>
                <w:position w:val="-1"/>
                <w:sz w:val="20"/>
                <w:szCs w:val="20"/>
              </w:rPr>
              <w:t>ap</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327</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d</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273</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Augu</w:t>
            </w:r>
            <w:r w:rsidRPr="00537112">
              <w:rPr>
                <w:rFonts w:cs="Verdana"/>
                <w:spacing w:val="-1"/>
                <w:position w:val="-1"/>
                <w:sz w:val="20"/>
                <w:szCs w:val="20"/>
              </w:rPr>
              <w:t>s</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U</w:t>
            </w:r>
            <w:r w:rsidRPr="00537112">
              <w:rPr>
                <w:rFonts w:cs="Verdana"/>
                <w:spacing w:val="-1"/>
                <w:position w:val="-1"/>
                <w:sz w:val="20"/>
                <w:szCs w:val="20"/>
              </w:rPr>
              <w:t>sc</w:t>
            </w:r>
            <w:r w:rsidRPr="00537112">
              <w:rPr>
                <w:rFonts w:cs="Verdana"/>
                <w:position w:val="-1"/>
                <w:sz w:val="20"/>
                <w:szCs w:val="20"/>
              </w:rPr>
              <w:t>ap</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328</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3"/>
                <w:position w:val="-1"/>
                <w:sz w:val="20"/>
                <w:szCs w:val="20"/>
              </w:rPr>
              <w:t>il</w:t>
            </w:r>
            <w:r w:rsidRPr="00537112">
              <w:rPr>
                <w:rFonts w:cs="Verdana"/>
                <w:spacing w:val="1"/>
                <w:position w:val="-1"/>
                <w:sz w:val="20"/>
                <w:szCs w:val="20"/>
              </w:rPr>
              <w:t>d</w:t>
            </w:r>
            <w:r w:rsidRPr="00537112">
              <w:rPr>
                <w:rFonts w:cs="Verdana"/>
                <w:position w:val="-1"/>
                <w:sz w:val="20"/>
                <w:szCs w:val="20"/>
              </w:rPr>
              <w:t>e</w:t>
            </w:r>
            <w:r w:rsidRPr="00537112">
              <w:rPr>
                <w:rFonts w:cs="Verdana"/>
                <w:spacing w:val="-9"/>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position w:val="-1"/>
                <w:sz w:val="20"/>
                <w:szCs w:val="20"/>
              </w:rPr>
              <w:t>P</w:t>
            </w:r>
            <w:r w:rsidRPr="00537112">
              <w:rPr>
                <w:rFonts w:cs="Verdana"/>
                <w:spacing w:val="-1"/>
                <w:position w:val="-1"/>
                <w:sz w:val="20"/>
                <w:szCs w:val="20"/>
              </w:rPr>
              <w:t>ere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274</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3"/>
                <w:position w:val="-1"/>
                <w:sz w:val="20"/>
                <w:szCs w:val="20"/>
              </w:rPr>
              <w:t>i</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c</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Ló</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329</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eo</w:t>
            </w:r>
            <w:r w:rsidRPr="00537112">
              <w:rPr>
                <w:rFonts w:cs="Verdana"/>
                <w:spacing w:val="1"/>
                <w:position w:val="-1"/>
                <w:sz w:val="20"/>
                <w:szCs w:val="20"/>
              </w:rPr>
              <w:t>d</w:t>
            </w:r>
            <w:r w:rsidRPr="00537112">
              <w:rPr>
                <w:rFonts w:cs="Verdana"/>
                <w:spacing w:val="-1"/>
                <w:position w:val="-1"/>
                <w:sz w:val="20"/>
                <w:szCs w:val="20"/>
              </w:rPr>
              <w:t>or</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J</w:t>
            </w:r>
            <w:r w:rsidRPr="00537112">
              <w:rPr>
                <w:rFonts w:cs="Verdana"/>
                <w:spacing w:val="-1"/>
                <w:position w:val="-1"/>
                <w:sz w:val="20"/>
                <w:szCs w:val="20"/>
              </w:rPr>
              <w:t>eró</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m</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C</w:t>
            </w:r>
            <w:r w:rsidRPr="00537112">
              <w:rPr>
                <w:rFonts w:cs="Verdana"/>
                <w:spacing w:val="-1"/>
                <w:position w:val="-1"/>
                <w:sz w:val="20"/>
                <w:szCs w:val="20"/>
              </w:rPr>
              <w:t>o</w:t>
            </w:r>
            <w:r w:rsidRPr="00537112">
              <w:rPr>
                <w:rFonts w:cs="Verdana"/>
                <w:spacing w:val="1"/>
                <w:position w:val="-1"/>
                <w:sz w:val="20"/>
                <w:szCs w:val="20"/>
              </w:rPr>
              <w:t>j</w:t>
            </w:r>
            <w:r w:rsidRPr="00537112">
              <w:rPr>
                <w:rFonts w:cs="Verdana"/>
                <w:spacing w:val="-1"/>
                <w:position w:val="-1"/>
                <w:sz w:val="20"/>
                <w:szCs w:val="20"/>
              </w:rPr>
              <w:t>ó</w:t>
            </w:r>
            <w:r w:rsidRPr="00537112">
              <w:rPr>
                <w:rFonts w:cs="Verdana"/>
                <w:position w:val="-1"/>
                <w:sz w:val="20"/>
                <w:szCs w:val="20"/>
              </w:rPr>
              <w:t>m</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275</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Ló</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330</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r w:rsidRPr="00537112">
              <w:rPr>
                <w:rFonts w:cs="Verdana"/>
                <w:spacing w:val="-6"/>
                <w:position w:val="-1"/>
                <w:sz w:val="20"/>
                <w:szCs w:val="20"/>
              </w:rPr>
              <w:t xml:space="preserve"> </w:t>
            </w:r>
            <w:r w:rsidRPr="00537112">
              <w:rPr>
                <w:rFonts w:cs="Verdana"/>
                <w:spacing w:val="1"/>
                <w:position w:val="-1"/>
                <w:sz w:val="20"/>
                <w:szCs w:val="20"/>
              </w:rPr>
              <w:t>J</w:t>
            </w:r>
            <w:r w:rsidRPr="00537112">
              <w:rPr>
                <w:rFonts w:cs="Verdana"/>
                <w:spacing w:val="-1"/>
                <w:position w:val="-1"/>
                <w:sz w:val="20"/>
                <w:szCs w:val="20"/>
              </w:rPr>
              <w:t>ero</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m</w:t>
            </w:r>
            <w:r w:rsidRPr="00537112">
              <w:rPr>
                <w:rFonts w:cs="Verdana"/>
                <w:position w:val="-1"/>
                <w:sz w:val="20"/>
                <w:szCs w:val="20"/>
              </w:rPr>
              <w:t>o</w:t>
            </w:r>
          </w:p>
        </w:tc>
      </w:tr>
      <w:tr w:rsidR="00537112" w:rsidRPr="00537112" w:rsidTr="00630EEC">
        <w:trPr>
          <w:trHeight w:hRule="exact" w:val="262"/>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276</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t</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331</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t</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1"/>
                <w:position w:val="-1"/>
                <w:sz w:val="20"/>
                <w:szCs w:val="20"/>
              </w:rPr>
              <w:t>p</w:t>
            </w:r>
            <w:r w:rsidRPr="00537112">
              <w:rPr>
                <w:rFonts w:cs="Verdana"/>
                <w:position w:val="-1"/>
                <w:sz w:val="20"/>
                <w:szCs w:val="20"/>
              </w:rPr>
              <w:t>az</w:t>
            </w:r>
            <w:r w:rsidRPr="00537112">
              <w:rPr>
                <w:rFonts w:cs="Verdana"/>
                <w:spacing w:val="-3"/>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277</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Er</w:t>
            </w:r>
            <w:r w:rsidRPr="00537112">
              <w:rPr>
                <w:rFonts w:cs="Verdana"/>
                <w:spacing w:val="1"/>
                <w:position w:val="-1"/>
                <w:sz w:val="20"/>
                <w:szCs w:val="20"/>
              </w:rPr>
              <w:t>n</w:t>
            </w:r>
            <w:r w:rsidRPr="00537112">
              <w:rPr>
                <w:rFonts w:cs="Verdana"/>
                <w:spacing w:val="-1"/>
                <w:position w:val="-1"/>
                <w:sz w:val="20"/>
                <w:szCs w:val="20"/>
              </w:rPr>
              <w:t>es</w:t>
            </w:r>
            <w:r w:rsidRPr="00537112">
              <w:rPr>
                <w:rFonts w:cs="Verdana"/>
                <w:spacing w:val="1"/>
                <w:position w:val="-1"/>
                <w:sz w:val="20"/>
                <w:szCs w:val="20"/>
              </w:rPr>
              <w:t>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332</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Ang</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278</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spacing w:val="-1"/>
                <w:position w:val="-1"/>
                <w:sz w:val="20"/>
                <w:szCs w:val="20"/>
              </w:rPr>
              <w:t>o</w:t>
            </w:r>
            <w:r w:rsidRPr="00537112">
              <w:rPr>
                <w:rFonts w:cs="Verdana"/>
                <w:position w:val="-1"/>
                <w:sz w:val="20"/>
                <w:szCs w:val="20"/>
              </w:rPr>
              <w:t>s</w:t>
            </w:r>
            <w:r w:rsidRPr="00537112">
              <w:rPr>
                <w:rFonts w:cs="Verdana"/>
                <w:spacing w:val="-8"/>
                <w:position w:val="-1"/>
                <w:sz w:val="20"/>
                <w:szCs w:val="20"/>
              </w:rPr>
              <w:t xml:space="preserve"> </w:t>
            </w:r>
            <w:r w:rsidRPr="00537112">
              <w:rPr>
                <w:rFonts w:cs="Verdana"/>
                <w:spacing w:val="-1"/>
                <w:position w:val="-1"/>
                <w:sz w:val="20"/>
                <w:szCs w:val="20"/>
              </w:rPr>
              <w:t>Ge</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333</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Ba</w:t>
            </w:r>
            <w:r w:rsidRPr="00537112">
              <w:rPr>
                <w:rFonts w:cs="Verdana"/>
                <w:spacing w:val="3"/>
                <w:position w:val="-1"/>
                <w:sz w:val="20"/>
                <w:szCs w:val="20"/>
              </w:rPr>
              <w:t>l</w:t>
            </w:r>
            <w:r w:rsidRPr="00537112">
              <w:rPr>
                <w:rFonts w:cs="Verdana"/>
                <w:position w:val="-1"/>
                <w:sz w:val="20"/>
                <w:szCs w:val="20"/>
              </w:rPr>
              <w:t>v</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62"/>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279</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m</w:t>
            </w:r>
            <w:r w:rsidRPr="00537112">
              <w:rPr>
                <w:rFonts w:cs="Verdana"/>
                <w:position w:val="-1"/>
                <w:sz w:val="20"/>
                <w:szCs w:val="20"/>
              </w:rPr>
              <w:t>o</w:t>
            </w:r>
            <w:r w:rsidRPr="00537112">
              <w:rPr>
                <w:rFonts w:cs="Verdana"/>
                <w:spacing w:val="-8"/>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ia</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334</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280</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Osc</w:t>
            </w:r>
            <w:r w:rsidRPr="00537112">
              <w:rPr>
                <w:rFonts w:cs="Verdana"/>
                <w:position w:val="-1"/>
                <w:sz w:val="20"/>
                <w:szCs w:val="20"/>
              </w:rPr>
              <w:t>ar</w:t>
            </w:r>
            <w:r w:rsidRPr="00537112">
              <w:rPr>
                <w:rFonts w:cs="Verdana"/>
                <w:spacing w:val="-8"/>
                <w:position w:val="-1"/>
                <w:sz w:val="20"/>
                <w:szCs w:val="20"/>
              </w:rPr>
              <w:t xml:space="preserve"> </w:t>
            </w:r>
            <w:r w:rsidRPr="00537112">
              <w:rPr>
                <w:rFonts w:cs="Verdana"/>
                <w:spacing w:val="-1"/>
                <w:position w:val="-1"/>
                <w:sz w:val="20"/>
                <w:szCs w:val="20"/>
              </w:rPr>
              <w:t>E</w:t>
            </w:r>
            <w:r w:rsidRPr="00537112">
              <w:rPr>
                <w:rFonts w:cs="Verdana"/>
                <w:spacing w:val="1"/>
                <w:position w:val="-1"/>
                <w:sz w:val="20"/>
                <w:szCs w:val="20"/>
              </w:rPr>
              <w:t>z</w:t>
            </w:r>
            <w:r w:rsidRPr="00537112">
              <w:rPr>
                <w:rFonts w:cs="Verdana"/>
                <w:spacing w:val="-1"/>
                <w:position w:val="-1"/>
                <w:sz w:val="20"/>
                <w:szCs w:val="20"/>
              </w:rPr>
              <w:t>e</w:t>
            </w:r>
            <w:r w:rsidRPr="00537112">
              <w:rPr>
                <w:rFonts w:cs="Verdana"/>
                <w:spacing w:val="1"/>
                <w:position w:val="-1"/>
                <w:sz w:val="20"/>
                <w:szCs w:val="20"/>
              </w:rPr>
              <w:t>qu</w:t>
            </w:r>
            <w:r w:rsidRPr="00537112">
              <w:rPr>
                <w:rFonts w:cs="Verdana"/>
                <w:spacing w:val="3"/>
                <w:position w:val="-1"/>
                <w:sz w:val="20"/>
                <w:szCs w:val="20"/>
              </w:rPr>
              <w:t>i</w:t>
            </w:r>
            <w:r w:rsidRPr="00537112">
              <w:rPr>
                <w:rFonts w:cs="Verdana"/>
                <w:spacing w:val="-1"/>
                <w:position w:val="-1"/>
                <w:sz w:val="20"/>
                <w:szCs w:val="20"/>
              </w:rPr>
              <w:t>e</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335</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3"/>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position w:val="-1"/>
                <w:sz w:val="20"/>
                <w:szCs w:val="20"/>
              </w:rPr>
              <w:t>a</w:t>
            </w:r>
            <w:r w:rsidRPr="00537112">
              <w:rPr>
                <w:rFonts w:cs="Verdana"/>
                <w:spacing w:val="1"/>
                <w:position w:val="-1"/>
                <w:sz w:val="20"/>
                <w:szCs w:val="20"/>
              </w:rPr>
              <w:t>p</w:t>
            </w:r>
            <w:r w:rsidRPr="00537112">
              <w:rPr>
                <w:rFonts w:cs="Verdana"/>
                <w:spacing w:val="-1"/>
                <w:position w:val="-1"/>
                <w:sz w:val="20"/>
                <w:szCs w:val="20"/>
              </w:rPr>
              <w:t>o</w:t>
            </w:r>
            <w:r w:rsidRPr="00537112">
              <w:rPr>
                <w:rFonts w:cs="Verdana"/>
                <w:position w:val="-1"/>
                <w:sz w:val="20"/>
                <w:szCs w:val="20"/>
              </w:rPr>
              <w:t>t</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spacing w:val="1"/>
                <w:position w:val="-1"/>
                <w:sz w:val="20"/>
                <w:szCs w:val="20"/>
              </w:rPr>
              <w:t>uzm</w:t>
            </w:r>
            <w:r w:rsidRPr="00537112">
              <w:rPr>
                <w:rFonts w:cs="Verdana"/>
                <w:position w:val="-1"/>
                <w:sz w:val="20"/>
                <w:szCs w:val="20"/>
              </w:rPr>
              <w:t>án</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281</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er</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spacing w:val="1"/>
                <w:position w:val="-1"/>
                <w:sz w:val="20"/>
                <w:szCs w:val="20"/>
              </w:rPr>
              <w:t>b</w:t>
            </w:r>
            <w:r w:rsidRPr="00537112">
              <w:rPr>
                <w:rFonts w:cs="Verdana"/>
                <w:spacing w:val="-1"/>
                <w:position w:val="-1"/>
                <w:sz w:val="20"/>
                <w:szCs w:val="20"/>
              </w:rPr>
              <w:t>oy</w:t>
            </w:r>
          </w:p>
        </w:tc>
        <w:tc>
          <w:tcPr>
            <w:tcW w:w="584"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336</w:t>
            </w:r>
          </w:p>
        </w:tc>
        <w:tc>
          <w:tcPr>
            <w:tcW w:w="399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lang w:val="pt-BR"/>
              </w:rPr>
            </w:pPr>
            <w:r w:rsidRPr="00537112">
              <w:rPr>
                <w:rFonts w:cs="Verdana"/>
                <w:position w:val="-1"/>
                <w:sz w:val="20"/>
                <w:szCs w:val="20"/>
                <w:lang w:val="pt-BR"/>
              </w:rPr>
              <w:t>T</w:t>
            </w:r>
            <w:r w:rsidRPr="00537112">
              <w:rPr>
                <w:rFonts w:cs="Verdana"/>
                <w:spacing w:val="-1"/>
                <w:position w:val="-1"/>
                <w:sz w:val="20"/>
                <w:szCs w:val="20"/>
                <w:lang w:val="pt-BR"/>
              </w:rPr>
              <w:t>r</w:t>
            </w:r>
            <w:r w:rsidRPr="00537112">
              <w:rPr>
                <w:rFonts w:cs="Verdana"/>
                <w:position w:val="-1"/>
                <w:sz w:val="20"/>
                <w:szCs w:val="20"/>
                <w:lang w:val="pt-BR"/>
              </w:rPr>
              <w:t>á</w:t>
            </w:r>
            <w:r w:rsidRPr="00537112">
              <w:rPr>
                <w:rFonts w:cs="Verdana"/>
                <w:spacing w:val="1"/>
                <w:position w:val="-1"/>
                <w:sz w:val="20"/>
                <w:szCs w:val="20"/>
                <w:lang w:val="pt-BR"/>
              </w:rPr>
              <w:t>n</w:t>
            </w:r>
            <w:r w:rsidRPr="00537112">
              <w:rPr>
                <w:rFonts w:cs="Verdana"/>
                <w:spacing w:val="-1"/>
                <w:position w:val="-1"/>
                <w:sz w:val="20"/>
                <w:szCs w:val="20"/>
                <w:lang w:val="pt-BR"/>
              </w:rPr>
              <w:t>s</w:t>
            </w:r>
            <w:r w:rsidRPr="00537112">
              <w:rPr>
                <w:rFonts w:cs="Verdana"/>
                <w:spacing w:val="3"/>
                <w:position w:val="-1"/>
                <w:sz w:val="20"/>
                <w:szCs w:val="20"/>
                <w:lang w:val="pt-BR"/>
              </w:rPr>
              <w:t>i</w:t>
            </w:r>
            <w:r w:rsidRPr="00537112">
              <w:rPr>
                <w:rFonts w:cs="Verdana"/>
                <w:spacing w:val="1"/>
                <w:position w:val="-1"/>
                <w:sz w:val="20"/>
                <w:szCs w:val="20"/>
                <w:lang w:val="pt-BR"/>
              </w:rPr>
              <w:t>t</w:t>
            </w:r>
            <w:r w:rsidRPr="00537112">
              <w:rPr>
                <w:rFonts w:cs="Verdana"/>
                <w:position w:val="-1"/>
                <w:sz w:val="20"/>
                <w:szCs w:val="20"/>
                <w:lang w:val="pt-BR"/>
              </w:rPr>
              <w:t>o</w:t>
            </w:r>
            <w:r w:rsidRPr="00537112">
              <w:rPr>
                <w:rFonts w:cs="Verdana"/>
                <w:spacing w:val="-10"/>
                <w:position w:val="-1"/>
                <w:sz w:val="20"/>
                <w:szCs w:val="20"/>
                <w:lang w:val="pt-BR"/>
              </w:rPr>
              <w:t xml:space="preserve"> </w:t>
            </w:r>
            <w:r w:rsidRPr="00537112">
              <w:rPr>
                <w:rFonts w:cs="Verdana"/>
                <w:spacing w:val="1"/>
                <w:position w:val="-1"/>
                <w:sz w:val="20"/>
                <w:szCs w:val="20"/>
                <w:lang w:val="pt-BR"/>
              </w:rPr>
              <w:t>Ju</w:t>
            </w:r>
            <w:r w:rsidRPr="00537112">
              <w:rPr>
                <w:rFonts w:cs="Verdana"/>
                <w:position w:val="-1"/>
                <w:sz w:val="20"/>
                <w:szCs w:val="20"/>
                <w:lang w:val="pt-BR"/>
              </w:rPr>
              <w:t>a</w:t>
            </w:r>
            <w:r w:rsidRPr="00537112">
              <w:rPr>
                <w:rFonts w:cs="Verdana"/>
                <w:spacing w:val="-1"/>
                <w:position w:val="-1"/>
                <w:sz w:val="20"/>
                <w:szCs w:val="20"/>
                <w:lang w:val="pt-BR"/>
              </w:rPr>
              <w:t>re</w:t>
            </w:r>
            <w:r w:rsidRPr="00537112">
              <w:rPr>
                <w:rFonts w:cs="Verdana"/>
                <w:position w:val="-1"/>
                <w:sz w:val="20"/>
                <w:szCs w:val="20"/>
                <w:lang w:val="pt-BR"/>
              </w:rPr>
              <w:t>z</w:t>
            </w:r>
            <w:r w:rsidRPr="00537112">
              <w:rPr>
                <w:rFonts w:cs="Verdana"/>
                <w:spacing w:val="-6"/>
                <w:position w:val="-1"/>
                <w:sz w:val="20"/>
                <w:szCs w:val="20"/>
                <w:lang w:val="pt-BR"/>
              </w:rPr>
              <w:t xml:space="preserve"> </w:t>
            </w:r>
            <w:r w:rsidRPr="00537112">
              <w:rPr>
                <w:rFonts w:cs="Verdana"/>
                <w:spacing w:val="1"/>
                <w:position w:val="-1"/>
                <w:sz w:val="20"/>
                <w:szCs w:val="20"/>
                <w:lang w:val="pt-BR"/>
              </w:rPr>
              <w:t>U</w:t>
            </w:r>
            <w:r w:rsidRPr="00537112">
              <w:rPr>
                <w:rFonts w:cs="Verdana"/>
                <w:position w:val="-1"/>
                <w:sz w:val="20"/>
                <w:szCs w:val="20"/>
                <w:lang w:val="pt-BR"/>
              </w:rPr>
              <w:t>z (o Us)</w:t>
            </w:r>
          </w:p>
        </w:tc>
      </w:tr>
    </w:tbl>
    <w:p w:rsidR="00537112" w:rsidRPr="00537112" w:rsidRDefault="00537112" w:rsidP="00537112">
      <w:pPr>
        <w:autoSpaceDE w:val="0"/>
        <w:autoSpaceDN w:val="0"/>
        <w:spacing w:line="240" w:lineRule="auto"/>
        <w:jc w:val="left"/>
        <w:textAlignment w:val="auto"/>
        <w:rPr>
          <w:rFonts w:ascii="Times New Roman" w:hAnsi="Times New Roman"/>
          <w:lang w:val="pt-BR"/>
        </w:rPr>
        <w:sectPr w:rsidR="00537112" w:rsidRPr="00537112">
          <w:headerReference w:type="default" r:id="rId20"/>
          <w:pgSz w:w="12260" w:h="15840"/>
          <w:pgMar w:top="620" w:right="1720" w:bottom="280" w:left="1340" w:header="0" w:footer="0" w:gutter="0"/>
          <w:cols w:space="720"/>
          <w:noEndnote/>
        </w:sectPr>
      </w:pPr>
    </w:p>
    <w:p w:rsidR="00537112" w:rsidRPr="00537112" w:rsidRDefault="00537112" w:rsidP="00537112">
      <w:pPr>
        <w:autoSpaceDE w:val="0"/>
        <w:autoSpaceDN w:val="0"/>
        <w:spacing w:before="9" w:line="80" w:lineRule="exact"/>
        <w:jc w:val="left"/>
        <w:textAlignment w:val="auto"/>
        <w:rPr>
          <w:rFonts w:ascii="Times New Roman" w:hAnsi="Times New Roman"/>
          <w:sz w:val="8"/>
          <w:szCs w:val="8"/>
          <w:lang w:val="pt-BR"/>
        </w:rPr>
      </w:pPr>
    </w:p>
    <w:tbl>
      <w:tblPr>
        <w:tblW w:w="0" w:type="auto"/>
        <w:tblInd w:w="113" w:type="dxa"/>
        <w:tblLayout w:type="fixed"/>
        <w:tblCellMar>
          <w:left w:w="0" w:type="dxa"/>
          <w:right w:w="0" w:type="dxa"/>
        </w:tblCellMar>
        <w:tblLook w:val="0000" w:firstRow="0" w:lastRow="0" w:firstColumn="0" w:lastColumn="0" w:noHBand="0" w:noVBand="0"/>
      </w:tblPr>
      <w:tblGrid>
        <w:gridCol w:w="569"/>
        <w:gridCol w:w="3705"/>
      </w:tblGrid>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337</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Or</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338</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w:t>
            </w:r>
            <w:r w:rsidRPr="00537112">
              <w:rPr>
                <w:rFonts w:cs="Verdana"/>
                <w:spacing w:val="-1"/>
                <w:position w:val="-1"/>
                <w:sz w:val="20"/>
                <w:szCs w:val="20"/>
              </w:rPr>
              <w:t>r</w:t>
            </w:r>
            <w:r w:rsidRPr="00537112">
              <w:rPr>
                <w:rFonts w:cs="Verdana"/>
                <w:spacing w:val="1"/>
                <w:position w:val="-1"/>
                <w:sz w:val="20"/>
                <w:szCs w:val="20"/>
              </w:rPr>
              <w:t>m</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d</w:t>
            </w:r>
            <w:r w:rsidRPr="00537112">
              <w:rPr>
                <w:rFonts w:cs="Verdana"/>
                <w:position w:val="-1"/>
                <w:sz w:val="20"/>
                <w:szCs w:val="20"/>
              </w:rPr>
              <w:t>e</w:t>
            </w:r>
            <w:r w:rsidRPr="00537112">
              <w:rPr>
                <w:rFonts w:cs="Verdana"/>
                <w:spacing w:val="-4"/>
                <w:position w:val="-1"/>
                <w:sz w:val="20"/>
                <w:szCs w:val="20"/>
              </w:rPr>
              <w:t xml:space="preserve"> </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62"/>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b/>
                <w:bCs/>
                <w:position w:val="-1"/>
                <w:sz w:val="20"/>
                <w:szCs w:val="20"/>
              </w:rPr>
              <w:t>339</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40"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1"/>
                <w:position w:val="-1"/>
                <w:sz w:val="20"/>
                <w:szCs w:val="20"/>
              </w:rPr>
              <w:t>erce</w:t>
            </w:r>
            <w:r w:rsidRPr="00537112">
              <w:rPr>
                <w:rFonts w:cs="Verdana"/>
                <w:spacing w:val="1"/>
                <w:position w:val="-1"/>
                <w:sz w:val="20"/>
                <w:szCs w:val="20"/>
              </w:rPr>
              <w:t>d</w:t>
            </w:r>
            <w:r w:rsidRPr="00537112">
              <w:rPr>
                <w:rFonts w:cs="Verdana"/>
                <w:spacing w:val="-1"/>
                <w:position w:val="-1"/>
                <w:sz w:val="20"/>
                <w:szCs w:val="20"/>
              </w:rPr>
              <w:t>e</w:t>
            </w:r>
            <w:r w:rsidRPr="00537112">
              <w:rPr>
                <w:rFonts w:cs="Verdana"/>
                <w:position w:val="-1"/>
                <w:sz w:val="20"/>
                <w:szCs w:val="20"/>
              </w:rPr>
              <w:t>s</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spacing w:val="1"/>
                <w:position w:val="-1"/>
                <w:sz w:val="20"/>
                <w:szCs w:val="20"/>
              </w:rPr>
              <w:t>uzm</w:t>
            </w:r>
            <w:r w:rsidRPr="00537112">
              <w:rPr>
                <w:rFonts w:cs="Verdana"/>
                <w:position w:val="-1"/>
                <w:sz w:val="20"/>
                <w:szCs w:val="20"/>
              </w:rPr>
              <w:t>án</w:t>
            </w:r>
            <w:r w:rsidRPr="00537112">
              <w:rPr>
                <w:rFonts w:cs="Verdana"/>
                <w:spacing w:val="-8"/>
                <w:position w:val="-1"/>
                <w:sz w:val="20"/>
                <w:szCs w:val="20"/>
              </w:rPr>
              <w:t xml:space="preserve"> </w:t>
            </w:r>
            <w:r w:rsidRPr="00537112">
              <w:rPr>
                <w:rFonts w:cs="Verdana"/>
                <w:position w:val="-1"/>
                <w:sz w:val="20"/>
                <w:szCs w:val="20"/>
              </w:rPr>
              <w:t>T</w:t>
            </w:r>
            <w:r w:rsidRPr="00537112">
              <w:rPr>
                <w:rFonts w:cs="Verdana"/>
                <w:spacing w:val="-1"/>
                <w:position w:val="-1"/>
                <w:sz w:val="20"/>
                <w:szCs w:val="20"/>
              </w:rPr>
              <w:t>orre</w:t>
            </w:r>
            <w:r w:rsidRPr="00537112">
              <w:rPr>
                <w:rFonts w:cs="Verdana"/>
                <w:position w:val="-1"/>
                <w:sz w:val="20"/>
                <w:szCs w:val="20"/>
              </w:rPr>
              <w:t>s</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340</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position w:val="-1"/>
                <w:sz w:val="20"/>
                <w:szCs w:val="20"/>
              </w:rPr>
              <w:t>z</w:t>
            </w:r>
            <w:r w:rsidRPr="00537112">
              <w:rPr>
                <w:rFonts w:cs="Verdana"/>
                <w:spacing w:val="-3"/>
                <w:position w:val="-1"/>
                <w:sz w:val="20"/>
                <w:szCs w:val="20"/>
              </w:rPr>
              <w:t xml:space="preserve"> </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position w:val="-1"/>
                <w:sz w:val="20"/>
                <w:szCs w:val="20"/>
              </w:rPr>
              <w:t>a</w:t>
            </w:r>
            <w:r w:rsidRPr="00537112">
              <w:rPr>
                <w:rFonts w:cs="Verdana"/>
                <w:spacing w:val="1"/>
                <w:position w:val="-1"/>
                <w:sz w:val="20"/>
                <w:szCs w:val="20"/>
              </w:rPr>
              <w:t>p</w:t>
            </w:r>
            <w:r w:rsidRPr="00537112">
              <w:rPr>
                <w:rFonts w:cs="Verdana"/>
                <w:spacing w:val="-1"/>
                <w:position w:val="-1"/>
                <w:sz w:val="20"/>
                <w:szCs w:val="20"/>
              </w:rPr>
              <w:t>o</w:t>
            </w:r>
            <w:r w:rsidRPr="00537112">
              <w:rPr>
                <w:rFonts w:cs="Verdana"/>
                <w:position w:val="-1"/>
                <w:sz w:val="20"/>
                <w:szCs w:val="20"/>
              </w:rPr>
              <w:t>t</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spacing w:val="1"/>
                <w:position w:val="-1"/>
                <w:sz w:val="20"/>
                <w:szCs w:val="20"/>
              </w:rPr>
              <w:t>uzm</w:t>
            </w:r>
            <w:r w:rsidRPr="00537112">
              <w:rPr>
                <w:rFonts w:cs="Verdana"/>
                <w:position w:val="-1"/>
                <w:sz w:val="20"/>
                <w:szCs w:val="20"/>
              </w:rPr>
              <w:t>án</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341</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w:t>
            </w:r>
            <w:r w:rsidRPr="00537112">
              <w:rPr>
                <w:rFonts w:cs="Verdana"/>
                <w:spacing w:val="3"/>
                <w:position w:val="-1"/>
                <w:sz w:val="20"/>
                <w:szCs w:val="20"/>
              </w:rPr>
              <w:t>il</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1"/>
                <w:position w:val="-1"/>
                <w:sz w:val="20"/>
                <w:szCs w:val="20"/>
              </w:rPr>
              <w:t>h</w:t>
            </w:r>
            <w:r w:rsidRPr="00537112">
              <w:rPr>
                <w:rFonts w:cs="Verdana"/>
                <w:spacing w:val="-1"/>
                <w:position w:val="-1"/>
                <w:sz w:val="20"/>
                <w:szCs w:val="20"/>
              </w:rPr>
              <w:t>c</w:t>
            </w:r>
            <w:r w:rsidRPr="00537112">
              <w:rPr>
                <w:rFonts w:cs="Verdana"/>
                <w:spacing w:val="1"/>
                <w:position w:val="-1"/>
                <w:sz w:val="20"/>
                <w:szCs w:val="20"/>
              </w:rPr>
              <w:t>u</w:t>
            </w:r>
            <w:r w:rsidRPr="00537112">
              <w:rPr>
                <w:rFonts w:cs="Verdana"/>
                <w:spacing w:val="-1"/>
                <w:position w:val="-1"/>
                <w:sz w:val="20"/>
                <w:szCs w:val="20"/>
              </w:rPr>
              <w:t>e</w:t>
            </w:r>
            <w:r w:rsidRPr="00537112">
              <w:rPr>
                <w:rFonts w:cs="Verdana"/>
                <w:position w:val="-1"/>
                <w:sz w:val="20"/>
                <w:szCs w:val="20"/>
              </w:rPr>
              <w:t>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342</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Le</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r</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343</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spacing w:val="3"/>
                <w:position w:val="-1"/>
                <w:sz w:val="20"/>
                <w:szCs w:val="20"/>
              </w:rPr>
              <w:t>li</w:t>
            </w:r>
            <w:r w:rsidRPr="00537112">
              <w:rPr>
                <w:rFonts w:cs="Verdana"/>
                <w:position w:val="-1"/>
                <w:sz w:val="20"/>
                <w:szCs w:val="20"/>
              </w:rPr>
              <w:t>an</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344</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spacing w:val="-1"/>
                <w:position w:val="-1"/>
                <w:sz w:val="20"/>
                <w:szCs w:val="20"/>
              </w:rPr>
              <w:t>e</w:t>
            </w:r>
            <w:r w:rsidRPr="00537112">
              <w:rPr>
                <w:rFonts w:cs="Verdana"/>
                <w:spacing w:val="1"/>
                <w:position w:val="-1"/>
                <w:sz w:val="20"/>
                <w:szCs w:val="20"/>
              </w:rPr>
              <w:t>b</w:t>
            </w:r>
            <w:r w:rsidRPr="00537112">
              <w:rPr>
                <w:rFonts w:cs="Verdana"/>
                <w:position w:val="-1"/>
                <w:sz w:val="20"/>
                <w:szCs w:val="20"/>
              </w:rPr>
              <w:t>a</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11"/>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345</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ng</w:t>
            </w:r>
            <w:r w:rsidRPr="00537112">
              <w:rPr>
                <w:rFonts w:cs="Verdana"/>
                <w:position w:val="-1"/>
                <w:sz w:val="20"/>
                <w:szCs w:val="20"/>
              </w:rPr>
              <w:t>a</w:t>
            </w:r>
            <w:r w:rsidRPr="00537112">
              <w:rPr>
                <w:rFonts w:cs="Verdana"/>
                <w:spacing w:val="-9"/>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346</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p</w:t>
            </w:r>
            <w:r w:rsidRPr="00537112">
              <w:rPr>
                <w:rFonts w:cs="Verdana"/>
                <w:position w:val="-1"/>
                <w:sz w:val="20"/>
                <w:szCs w:val="20"/>
              </w:rPr>
              <w:t>e</w:t>
            </w:r>
            <w:r w:rsidRPr="00537112">
              <w:rPr>
                <w:rFonts w:cs="Verdana"/>
                <w:spacing w:val="-8"/>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347</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eró</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m</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r w:rsidRPr="00537112">
              <w:rPr>
                <w:rFonts w:cs="Verdana"/>
                <w:spacing w:val="-5"/>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348</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Wa</w:t>
            </w:r>
            <w:r w:rsidRPr="00537112">
              <w:rPr>
                <w:rFonts w:cs="Verdana"/>
                <w:spacing w:val="3"/>
                <w:position w:val="-1"/>
                <w:sz w:val="20"/>
                <w:szCs w:val="20"/>
              </w:rPr>
              <w:t>l</w:t>
            </w:r>
            <w:r w:rsidRPr="00537112">
              <w:rPr>
                <w:rFonts w:cs="Verdana"/>
                <w:spacing w:val="1"/>
                <w:position w:val="-1"/>
                <w:sz w:val="20"/>
                <w:szCs w:val="20"/>
              </w:rPr>
              <w:t>d</w:t>
            </w:r>
            <w:r w:rsidRPr="00537112">
              <w:rPr>
                <w:rFonts w:cs="Verdana"/>
                <w:spacing w:val="-1"/>
                <w:position w:val="-1"/>
                <w:sz w:val="20"/>
                <w:szCs w:val="20"/>
              </w:rPr>
              <w:t>e</w:t>
            </w:r>
            <w:r w:rsidRPr="00537112">
              <w:rPr>
                <w:rFonts w:cs="Verdana"/>
                <w:spacing w:val="1"/>
                <w:position w:val="-1"/>
                <w:sz w:val="20"/>
                <w:szCs w:val="20"/>
              </w:rPr>
              <w:t>m</w:t>
            </w:r>
            <w:r w:rsidRPr="00537112">
              <w:rPr>
                <w:rFonts w:cs="Verdana"/>
                <w:position w:val="-1"/>
                <w:sz w:val="20"/>
                <w:szCs w:val="20"/>
              </w:rPr>
              <w:t>ar</w:t>
            </w:r>
            <w:r w:rsidRPr="00537112">
              <w:rPr>
                <w:rFonts w:cs="Verdana"/>
                <w:spacing w:val="-12"/>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349</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w:t>
            </w:r>
            <w:r w:rsidRPr="00537112">
              <w:rPr>
                <w:rFonts w:cs="Verdana"/>
                <w:spacing w:val="3"/>
                <w:position w:val="-1"/>
                <w:sz w:val="20"/>
                <w:szCs w:val="20"/>
              </w:rPr>
              <w:t>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tumul</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350</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r w:rsidRPr="00537112">
              <w:rPr>
                <w:rFonts w:cs="Verdana"/>
                <w:spacing w:val="-5"/>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351</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spacing w:val="-1"/>
                <w:position w:val="-1"/>
                <w:sz w:val="20"/>
                <w:szCs w:val="20"/>
              </w:rPr>
              <w:t>Ló</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352</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í</w:t>
            </w:r>
            <w:r w:rsidRPr="00537112">
              <w:rPr>
                <w:rFonts w:cs="Verdana"/>
                <w:position w:val="-1"/>
                <w:sz w:val="20"/>
                <w:szCs w:val="20"/>
              </w:rPr>
              <w:t>n</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353</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m</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354</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7"/>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r w:rsidRPr="00537112">
              <w:rPr>
                <w:rFonts w:cs="Verdana"/>
                <w:spacing w:val="63"/>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355</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as</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position w:val="-1"/>
                <w:sz w:val="20"/>
                <w:szCs w:val="20"/>
              </w:rPr>
              <w:t>e</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356</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position w:val="-1"/>
                <w:sz w:val="20"/>
                <w:szCs w:val="20"/>
              </w:rPr>
              <w:t>e</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357</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358</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eres</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Lo</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359</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tumul</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b/>
                <w:bCs/>
                <w:position w:val="-1"/>
                <w:sz w:val="20"/>
                <w:szCs w:val="20"/>
              </w:rPr>
              <w:t>360</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az</w:t>
            </w:r>
          </w:p>
        </w:tc>
      </w:tr>
      <w:tr w:rsidR="00537112" w:rsidRPr="00537112" w:rsidTr="00630EEC">
        <w:trPr>
          <w:trHeight w:hRule="exact" w:val="247"/>
        </w:trPr>
        <w:tc>
          <w:tcPr>
            <w:tcW w:w="56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6" w:lineRule="exact"/>
              <w:ind w:right="-20"/>
              <w:jc w:val="left"/>
              <w:textAlignment w:val="auto"/>
              <w:rPr>
                <w:rFonts w:cs="Verdana"/>
                <w:b/>
                <w:bCs/>
                <w:position w:val="-1"/>
                <w:sz w:val="20"/>
                <w:szCs w:val="20"/>
              </w:rPr>
            </w:pPr>
            <w:r w:rsidRPr="00537112">
              <w:rPr>
                <w:rFonts w:cs="Verdana"/>
                <w:b/>
                <w:bCs/>
                <w:position w:val="-1"/>
                <w:sz w:val="20"/>
                <w:szCs w:val="20"/>
              </w:rPr>
              <w:t>361</w:t>
            </w:r>
          </w:p>
        </w:tc>
        <w:tc>
          <w:tcPr>
            <w:tcW w:w="370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cs="Verdana"/>
                <w:spacing w:val="1"/>
                <w:position w:val="-1"/>
                <w:sz w:val="20"/>
                <w:szCs w:val="20"/>
              </w:rPr>
            </w:pPr>
            <w:r w:rsidRPr="00537112">
              <w:rPr>
                <w:rFonts w:cs="Verdana"/>
                <w:spacing w:val="1"/>
                <w:position w:val="-1"/>
                <w:sz w:val="20"/>
                <w:szCs w:val="20"/>
              </w:rPr>
              <w:t>Napoleón García De Paz</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headerReference w:type="default" r:id="rId21"/>
          <w:pgSz w:w="12260" w:h="15840"/>
          <w:pgMar w:top="620" w:right="1720" w:bottom="280" w:left="1340" w:header="0" w:footer="0" w:gutter="0"/>
          <w:cols w:space="720"/>
          <w:noEndnote/>
        </w:sectPr>
      </w:pPr>
    </w:p>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autoSpaceDE w:val="0"/>
        <w:autoSpaceDN w:val="0"/>
        <w:spacing w:before="9" w:line="90" w:lineRule="exact"/>
        <w:jc w:val="left"/>
        <w:textAlignment w:val="auto"/>
        <w:rPr>
          <w:rFonts w:ascii="Times New Roman" w:hAnsi="Times New Roman"/>
          <w:sz w:val="9"/>
          <w:szCs w:val="9"/>
        </w:rPr>
      </w:pPr>
    </w:p>
    <w:tbl>
      <w:tblPr>
        <w:tblW w:w="0" w:type="auto"/>
        <w:tblInd w:w="108" w:type="dxa"/>
        <w:tblLayout w:type="fixed"/>
        <w:tblCellMar>
          <w:left w:w="0" w:type="dxa"/>
          <w:right w:w="0" w:type="dxa"/>
        </w:tblCellMar>
        <w:tblLook w:val="0000" w:firstRow="0" w:lastRow="0" w:firstColumn="0" w:lastColumn="0" w:noHBand="0" w:noVBand="0"/>
      </w:tblPr>
      <w:tblGrid>
        <w:gridCol w:w="1011"/>
        <w:gridCol w:w="5961"/>
      </w:tblGrid>
      <w:tr w:rsidR="00537112" w:rsidRPr="00537112" w:rsidTr="00630EEC">
        <w:trPr>
          <w:trHeight w:hRule="exact" w:val="785"/>
        </w:trPr>
        <w:tc>
          <w:tcPr>
            <w:tcW w:w="6972" w:type="dxa"/>
            <w:gridSpan w:val="2"/>
            <w:tcBorders>
              <w:top w:val="single" w:sz="4" w:space="0" w:color="auto"/>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7" w:line="260" w:lineRule="exact"/>
              <w:jc w:val="left"/>
              <w:textAlignment w:val="auto"/>
              <w:rPr>
                <w:rFonts w:ascii="Times New Roman" w:hAnsi="Times New Roman"/>
                <w:sz w:val="26"/>
                <w:szCs w:val="26"/>
              </w:rPr>
            </w:pPr>
          </w:p>
          <w:p w:rsidR="00537112" w:rsidRPr="00537112" w:rsidRDefault="00537112" w:rsidP="00537112">
            <w:pPr>
              <w:autoSpaceDE w:val="0"/>
              <w:autoSpaceDN w:val="0"/>
              <w:spacing w:line="255" w:lineRule="auto"/>
              <w:ind w:right="79"/>
              <w:jc w:val="left"/>
              <w:textAlignment w:val="auto"/>
              <w:rPr>
                <w:rFonts w:ascii="Times New Roman" w:hAnsi="Times New Roman"/>
              </w:rPr>
            </w:pPr>
            <w:r w:rsidRPr="00537112">
              <w:rPr>
                <w:rFonts w:cs="Verdana"/>
                <w:b/>
                <w:bCs/>
                <w:spacing w:val="-1"/>
                <w:sz w:val="20"/>
                <w:szCs w:val="20"/>
              </w:rPr>
              <w:t>AN</w:t>
            </w:r>
            <w:r w:rsidRPr="00537112">
              <w:rPr>
                <w:rFonts w:cs="Verdana"/>
                <w:b/>
                <w:bCs/>
                <w:spacing w:val="1"/>
                <w:sz w:val="20"/>
                <w:szCs w:val="20"/>
              </w:rPr>
              <w:t>E</w:t>
            </w:r>
            <w:r w:rsidRPr="00537112">
              <w:rPr>
                <w:rFonts w:cs="Verdana"/>
                <w:b/>
                <w:bCs/>
                <w:spacing w:val="-1"/>
                <w:sz w:val="20"/>
                <w:szCs w:val="20"/>
              </w:rPr>
              <w:t>X</w:t>
            </w:r>
            <w:r w:rsidRPr="00537112">
              <w:rPr>
                <w:rFonts w:cs="Verdana"/>
                <w:b/>
                <w:bCs/>
                <w:sz w:val="20"/>
                <w:szCs w:val="20"/>
              </w:rPr>
              <w:t>O</w:t>
            </w:r>
            <w:r w:rsidRPr="00537112">
              <w:rPr>
                <w:rFonts w:cs="Verdana"/>
                <w:b/>
                <w:bCs/>
                <w:spacing w:val="-8"/>
                <w:sz w:val="20"/>
                <w:szCs w:val="20"/>
              </w:rPr>
              <w:t xml:space="preserve"> </w:t>
            </w:r>
            <w:r w:rsidRPr="00537112">
              <w:rPr>
                <w:rFonts w:cs="Verdana"/>
                <w:b/>
                <w:bCs/>
                <w:spacing w:val="-1"/>
                <w:sz w:val="20"/>
                <w:szCs w:val="20"/>
              </w:rPr>
              <w:t>III</w:t>
            </w:r>
            <w:r w:rsidRPr="00537112">
              <w:rPr>
                <w:rFonts w:cs="Verdana"/>
                <w:b/>
                <w:bCs/>
                <w:sz w:val="20"/>
                <w:szCs w:val="20"/>
              </w:rPr>
              <w:t>.</w:t>
            </w:r>
            <w:r w:rsidRPr="00537112">
              <w:rPr>
                <w:rFonts w:cs="Verdana"/>
                <w:b/>
                <w:bCs/>
                <w:spacing w:val="-5"/>
                <w:sz w:val="20"/>
                <w:szCs w:val="20"/>
              </w:rPr>
              <w:t xml:space="preserve"> </w:t>
            </w:r>
            <w:r w:rsidRPr="00537112">
              <w:rPr>
                <w:rFonts w:cs="Verdana"/>
                <w:b/>
                <w:bCs/>
                <w:sz w:val="20"/>
                <w:szCs w:val="20"/>
              </w:rPr>
              <w:t>P</w:t>
            </w:r>
            <w:r w:rsidRPr="00537112">
              <w:rPr>
                <w:rFonts w:cs="Verdana"/>
                <w:b/>
                <w:bCs/>
                <w:spacing w:val="1"/>
                <w:sz w:val="20"/>
                <w:szCs w:val="20"/>
              </w:rPr>
              <w:t>E</w:t>
            </w:r>
            <w:r w:rsidRPr="00537112">
              <w:rPr>
                <w:rFonts w:cs="Verdana"/>
                <w:b/>
                <w:bCs/>
                <w:sz w:val="20"/>
                <w:szCs w:val="20"/>
              </w:rPr>
              <w:t>RS</w:t>
            </w:r>
            <w:r w:rsidRPr="00537112">
              <w:rPr>
                <w:rFonts w:cs="Verdana"/>
                <w:b/>
                <w:bCs/>
                <w:spacing w:val="1"/>
                <w:sz w:val="20"/>
                <w:szCs w:val="20"/>
              </w:rPr>
              <w:t>O</w:t>
            </w:r>
            <w:r w:rsidRPr="00537112">
              <w:rPr>
                <w:rFonts w:cs="Verdana"/>
                <w:b/>
                <w:bCs/>
                <w:spacing w:val="-1"/>
                <w:sz w:val="20"/>
                <w:szCs w:val="20"/>
              </w:rPr>
              <w:t>NA</w:t>
            </w:r>
            <w:r w:rsidRPr="00537112">
              <w:rPr>
                <w:rFonts w:cs="Verdana"/>
                <w:b/>
                <w:bCs/>
                <w:sz w:val="20"/>
                <w:szCs w:val="20"/>
              </w:rPr>
              <w:t>S</w:t>
            </w:r>
            <w:r w:rsidRPr="00537112">
              <w:rPr>
                <w:rFonts w:cs="Verdana"/>
                <w:b/>
                <w:bCs/>
                <w:spacing w:val="-13"/>
                <w:sz w:val="20"/>
                <w:szCs w:val="20"/>
              </w:rPr>
              <w:t xml:space="preserve"> </w:t>
            </w:r>
            <w:r w:rsidRPr="00537112">
              <w:rPr>
                <w:rFonts w:cs="Verdana"/>
                <w:b/>
                <w:bCs/>
                <w:spacing w:val="-1"/>
                <w:sz w:val="20"/>
                <w:szCs w:val="20"/>
              </w:rPr>
              <w:t>N</w:t>
            </w:r>
            <w:r w:rsidRPr="00537112">
              <w:rPr>
                <w:rFonts w:cs="Verdana"/>
                <w:b/>
                <w:bCs/>
                <w:sz w:val="20"/>
                <w:szCs w:val="20"/>
              </w:rPr>
              <w:t>O</w:t>
            </w:r>
            <w:r w:rsidRPr="00537112">
              <w:rPr>
                <w:rFonts w:cs="Verdana"/>
                <w:b/>
                <w:bCs/>
                <w:spacing w:val="-3"/>
                <w:sz w:val="20"/>
                <w:szCs w:val="20"/>
              </w:rPr>
              <w:t xml:space="preserve"> </w:t>
            </w:r>
            <w:r w:rsidRPr="00537112">
              <w:rPr>
                <w:rFonts w:cs="Verdana"/>
                <w:b/>
                <w:bCs/>
                <w:spacing w:val="-1"/>
                <w:sz w:val="20"/>
                <w:szCs w:val="20"/>
              </w:rPr>
              <w:t>I</w:t>
            </w:r>
            <w:r w:rsidRPr="00537112">
              <w:rPr>
                <w:rFonts w:cs="Verdana"/>
                <w:b/>
                <w:bCs/>
                <w:sz w:val="20"/>
                <w:szCs w:val="20"/>
              </w:rPr>
              <w:t>D</w:t>
            </w:r>
            <w:r w:rsidRPr="00537112">
              <w:rPr>
                <w:rFonts w:cs="Verdana"/>
                <w:b/>
                <w:bCs/>
                <w:spacing w:val="1"/>
                <w:sz w:val="20"/>
                <w:szCs w:val="20"/>
              </w:rPr>
              <w:t>E</w:t>
            </w:r>
            <w:r w:rsidRPr="00537112">
              <w:rPr>
                <w:rFonts w:cs="Verdana"/>
                <w:b/>
                <w:bCs/>
                <w:spacing w:val="-1"/>
                <w:sz w:val="20"/>
                <w:szCs w:val="20"/>
              </w:rPr>
              <w:t>N</w:t>
            </w:r>
            <w:r w:rsidRPr="00537112">
              <w:rPr>
                <w:rFonts w:cs="Verdana"/>
                <w:b/>
                <w:bCs/>
                <w:spacing w:val="1"/>
                <w:sz w:val="20"/>
                <w:szCs w:val="20"/>
              </w:rPr>
              <w:t>T</w:t>
            </w:r>
            <w:r w:rsidRPr="00537112">
              <w:rPr>
                <w:rFonts w:cs="Verdana"/>
                <w:b/>
                <w:bCs/>
                <w:spacing w:val="-1"/>
                <w:sz w:val="20"/>
                <w:szCs w:val="20"/>
              </w:rPr>
              <w:t>I</w:t>
            </w:r>
            <w:r w:rsidRPr="00537112">
              <w:rPr>
                <w:rFonts w:cs="Verdana"/>
                <w:b/>
                <w:bCs/>
                <w:sz w:val="20"/>
                <w:szCs w:val="20"/>
              </w:rPr>
              <w:t>F</w:t>
            </w:r>
            <w:r w:rsidRPr="00537112">
              <w:rPr>
                <w:rFonts w:cs="Verdana"/>
                <w:b/>
                <w:bCs/>
                <w:spacing w:val="-1"/>
                <w:sz w:val="20"/>
                <w:szCs w:val="20"/>
              </w:rPr>
              <w:t>I</w:t>
            </w:r>
            <w:r w:rsidRPr="00537112">
              <w:rPr>
                <w:rFonts w:cs="Verdana"/>
                <w:b/>
                <w:bCs/>
                <w:sz w:val="20"/>
                <w:szCs w:val="20"/>
              </w:rPr>
              <w:t>C</w:t>
            </w:r>
            <w:r w:rsidRPr="00537112">
              <w:rPr>
                <w:rFonts w:cs="Verdana"/>
                <w:b/>
                <w:bCs/>
                <w:spacing w:val="-1"/>
                <w:sz w:val="20"/>
                <w:szCs w:val="20"/>
              </w:rPr>
              <w:t>A</w:t>
            </w:r>
            <w:r w:rsidRPr="00537112">
              <w:rPr>
                <w:rFonts w:cs="Verdana"/>
                <w:b/>
                <w:bCs/>
                <w:sz w:val="20"/>
                <w:szCs w:val="20"/>
              </w:rPr>
              <w:t>D</w:t>
            </w:r>
            <w:r w:rsidRPr="00537112">
              <w:rPr>
                <w:rFonts w:cs="Verdana"/>
                <w:b/>
                <w:bCs/>
                <w:spacing w:val="-1"/>
                <w:sz w:val="20"/>
                <w:szCs w:val="20"/>
              </w:rPr>
              <w:t>A</w:t>
            </w:r>
            <w:r w:rsidRPr="00537112">
              <w:rPr>
                <w:rFonts w:cs="Verdana"/>
                <w:b/>
                <w:bCs/>
                <w:sz w:val="20"/>
                <w:szCs w:val="20"/>
              </w:rPr>
              <w:t>S</w:t>
            </w:r>
            <w:r w:rsidRPr="00537112">
              <w:rPr>
                <w:rFonts w:cs="Verdana"/>
                <w:b/>
                <w:bCs/>
                <w:spacing w:val="-19"/>
                <w:sz w:val="20"/>
                <w:szCs w:val="20"/>
              </w:rPr>
              <w:t xml:space="preserve"> </w:t>
            </w:r>
            <w:r w:rsidRPr="00537112">
              <w:rPr>
                <w:rFonts w:cs="Verdana"/>
                <w:b/>
                <w:bCs/>
                <w:spacing w:val="1"/>
                <w:sz w:val="20"/>
                <w:szCs w:val="20"/>
              </w:rPr>
              <w:t>E</w:t>
            </w:r>
            <w:r w:rsidRPr="00537112">
              <w:rPr>
                <w:rFonts w:cs="Verdana"/>
                <w:b/>
                <w:bCs/>
                <w:sz w:val="20"/>
                <w:szCs w:val="20"/>
              </w:rPr>
              <w:t>N</w:t>
            </w:r>
            <w:r w:rsidRPr="00537112">
              <w:rPr>
                <w:rFonts w:cs="Verdana"/>
                <w:b/>
                <w:bCs/>
                <w:spacing w:val="-5"/>
                <w:sz w:val="20"/>
                <w:szCs w:val="20"/>
              </w:rPr>
              <w:t xml:space="preserve"> </w:t>
            </w:r>
            <w:r w:rsidRPr="00537112">
              <w:rPr>
                <w:rFonts w:cs="Verdana"/>
                <w:b/>
                <w:bCs/>
                <w:spacing w:val="1"/>
                <w:sz w:val="20"/>
                <w:szCs w:val="20"/>
              </w:rPr>
              <w:t>E</w:t>
            </w:r>
            <w:r w:rsidRPr="00537112">
              <w:rPr>
                <w:rFonts w:cs="Verdana"/>
                <w:b/>
                <w:bCs/>
                <w:spacing w:val="-1"/>
                <w:sz w:val="20"/>
                <w:szCs w:val="20"/>
              </w:rPr>
              <w:t>X</w:t>
            </w:r>
            <w:r w:rsidRPr="00537112">
              <w:rPr>
                <w:rFonts w:cs="Verdana"/>
                <w:b/>
                <w:bCs/>
                <w:sz w:val="20"/>
                <w:szCs w:val="20"/>
              </w:rPr>
              <w:t>P</w:t>
            </w:r>
            <w:r w:rsidRPr="00537112">
              <w:rPr>
                <w:rFonts w:cs="Verdana"/>
                <w:b/>
                <w:bCs/>
                <w:spacing w:val="1"/>
                <w:sz w:val="20"/>
                <w:szCs w:val="20"/>
              </w:rPr>
              <w:t>E</w:t>
            </w:r>
            <w:r w:rsidRPr="00537112">
              <w:rPr>
                <w:rFonts w:cs="Verdana"/>
                <w:b/>
                <w:bCs/>
                <w:sz w:val="20"/>
                <w:szCs w:val="20"/>
              </w:rPr>
              <w:t>D</w:t>
            </w:r>
            <w:r w:rsidRPr="00537112">
              <w:rPr>
                <w:rFonts w:cs="Verdana"/>
                <w:b/>
                <w:bCs/>
                <w:spacing w:val="-1"/>
                <w:sz w:val="20"/>
                <w:szCs w:val="20"/>
              </w:rPr>
              <w:t>I</w:t>
            </w:r>
            <w:r w:rsidRPr="00537112">
              <w:rPr>
                <w:rFonts w:cs="Verdana"/>
                <w:b/>
                <w:bCs/>
                <w:spacing w:val="1"/>
                <w:sz w:val="20"/>
                <w:szCs w:val="20"/>
              </w:rPr>
              <w:t>E</w:t>
            </w:r>
            <w:r w:rsidRPr="00537112">
              <w:rPr>
                <w:rFonts w:cs="Verdana"/>
                <w:b/>
                <w:bCs/>
                <w:spacing w:val="-1"/>
                <w:sz w:val="20"/>
                <w:szCs w:val="20"/>
              </w:rPr>
              <w:t>N</w:t>
            </w:r>
            <w:r w:rsidRPr="00537112">
              <w:rPr>
                <w:rFonts w:cs="Verdana"/>
                <w:b/>
                <w:bCs/>
                <w:spacing w:val="1"/>
                <w:sz w:val="20"/>
                <w:szCs w:val="20"/>
              </w:rPr>
              <w:t>T</w:t>
            </w:r>
            <w:r w:rsidRPr="00537112">
              <w:rPr>
                <w:rFonts w:cs="Verdana"/>
                <w:b/>
                <w:bCs/>
                <w:sz w:val="20"/>
                <w:szCs w:val="20"/>
              </w:rPr>
              <w:t>E (P</w:t>
            </w:r>
            <w:r w:rsidRPr="00537112">
              <w:rPr>
                <w:rFonts w:cs="Verdana"/>
                <w:b/>
                <w:bCs/>
                <w:spacing w:val="1"/>
                <w:sz w:val="20"/>
                <w:szCs w:val="20"/>
              </w:rPr>
              <w:t>O</w:t>
            </w:r>
            <w:r w:rsidRPr="00537112">
              <w:rPr>
                <w:rFonts w:cs="Verdana"/>
                <w:b/>
                <w:bCs/>
                <w:sz w:val="20"/>
                <w:szCs w:val="20"/>
              </w:rPr>
              <w:t>S</w:t>
            </w:r>
            <w:r w:rsidRPr="00537112">
              <w:rPr>
                <w:rFonts w:cs="Verdana"/>
                <w:b/>
                <w:bCs/>
                <w:spacing w:val="-1"/>
                <w:sz w:val="20"/>
                <w:szCs w:val="20"/>
              </w:rPr>
              <w:t>IB</w:t>
            </w:r>
            <w:r w:rsidRPr="00537112">
              <w:rPr>
                <w:rFonts w:cs="Verdana"/>
                <w:b/>
                <w:bCs/>
                <w:sz w:val="20"/>
                <w:szCs w:val="20"/>
              </w:rPr>
              <w:t>L</w:t>
            </w:r>
            <w:r w:rsidRPr="00537112">
              <w:rPr>
                <w:rFonts w:cs="Verdana"/>
                <w:b/>
                <w:bCs/>
                <w:spacing w:val="1"/>
                <w:sz w:val="20"/>
                <w:szCs w:val="20"/>
              </w:rPr>
              <w:t>E</w:t>
            </w:r>
            <w:r w:rsidRPr="00537112">
              <w:rPr>
                <w:rFonts w:cs="Verdana"/>
                <w:b/>
                <w:bCs/>
                <w:sz w:val="20"/>
                <w:szCs w:val="20"/>
              </w:rPr>
              <w:t>S</w:t>
            </w:r>
            <w:r w:rsidRPr="00537112">
              <w:rPr>
                <w:rFonts w:cs="Verdana"/>
                <w:b/>
                <w:bCs/>
                <w:spacing w:val="54"/>
                <w:sz w:val="20"/>
                <w:szCs w:val="20"/>
              </w:rPr>
              <w:t xml:space="preserve"> </w:t>
            </w:r>
            <w:r w:rsidRPr="00537112">
              <w:rPr>
                <w:rFonts w:cs="Verdana"/>
                <w:b/>
                <w:bCs/>
                <w:spacing w:val="-1"/>
                <w:sz w:val="20"/>
                <w:szCs w:val="20"/>
              </w:rPr>
              <w:t>VÍ</w:t>
            </w:r>
            <w:r w:rsidRPr="00537112">
              <w:rPr>
                <w:rFonts w:cs="Verdana"/>
                <w:b/>
                <w:bCs/>
                <w:sz w:val="20"/>
                <w:szCs w:val="20"/>
              </w:rPr>
              <w:t>C</w:t>
            </w:r>
            <w:r w:rsidRPr="00537112">
              <w:rPr>
                <w:rFonts w:cs="Verdana"/>
                <w:b/>
                <w:bCs/>
                <w:spacing w:val="1"/>
                <w:sz w:val="20"/>
                <w:szCs w:val="20"/>
              </w:rPr>
              <w:t>T</w:t>
            </w:r>
            <w:r w:rsidRPr="00537112">
              <w:rPr>
                <w:rFonts w:cs="Verdana"/>
                <w:b/>
                <w:bCs/>
                <w:spacing w:val="-1"/>
                <w:sz w:val="20"/>
                <w:szCs w:val="20"/>
              </w:rPr>
              <w:t>I</w:t>
            </w:r>
            <w:r w:rsidRPr="00537112">
              <w:rPr>
                <w:rFonts w:cs="Verdana"/>
                <w:b/>
                <w:bCs/>
                <w:spacing w:val="1"/>
                <w:sz w:val="20"/>
                <w:szCs w:val="20"/>
              </w:rPr>
              <w:t>M</w:t>
            </w:r>
            <w:r w:rsidRPr="00537112">
              <w:rPr>
                <w:rFonts w:cs="Verdana"/>
                <w:b/>
                <w:bCs/>
                <w:spacing w:val="-1"/>
                <w:sz w:val="20"/>
                <w:szCs w:val="20"/>
              </w:rPr>
              <w:t>A</w:t>
            </w:r>
            <w:r w:rsidRPr="00537112">
              <w:rPr>
                <w:rFonts w:cs="Verdana"/>
                <w:b/>
                <w:bCs/>
                <w:sz w:val="20"/>
                <w:szCs w:val="20"/>
              </w:rPr>
              <w:t>S)</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1</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í</w:t>
            </w:r>
            <w:r w:rsidRPr="00537112">
              <w:rPr>
                <w:rFonts w:cs="Verdana"/>
                <w:sz w:val="20"/>
                <w:szCs w:val="20"/>
              </w:rPr>
              <w:t>a</w:t>
            </w:r>
            <w:r w:rsidRPr="00537112">
              <w:rPr>
                <w:rFonts w:cs="Verdana"/>
                <w:spacing w:val="-5"/>
                <w:sz w:val="20"/>
                <w:szCs w:val="20"/>
              </w:rPr>
              <w:t xml:space="preserve"> </w:t>
            </w:r>
            <w:r w:rsidRPr="00537112">
              <w:rPr>
                <w:rFonts w:cs="Verdana"/>
                <w:spacing w:val="1"/>
                <w:sz w:val="20"/>
                <w:szCs w:val="20"/>
              </w:rPr>
              <w:t>V</w:t>
            </w:r>
            <w:r w:rsidRPr="00537112">
              <w:rPr>
                <w:rFonts w:cs="Verdana"/>
                <w:spacing w:val="-1"/>
                <w:sz w:val="20"/>
                <w:szCs w:val="20"/>
              </w:rPr>
              <w:t>eró</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c</w:t>
            </w:r>
            <w:r w:rsidRPr="00537112">
              <w:rPr>
                <w:rFonts w:cs="Verdana"/>
                <w:sz w:val="20"/>
                <w:szCs w:val="20"/>
              </w:rPr>
              <w:t>a</w:t>
            </w:r>
            <w:r w:rsidRPr="00537112">
              <w:rPr>
                <w:rFonts w:cs="Verdana"/>
                <w:spacing w:val="-9"/>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a</w:t>
            </w:r>
            <w:r w:rsidRPr="00537112">
              <w:rPr>
                <w:rFonts w:cs="Verdana"/>
                <w:spacing w:val="-1"/>
                <w:sz w:val="20"/>
                <w:szCs w:val="20"/>
              </w:rPr>
              <w:t>rcó</w:t>
            </w:r>
            <w:r w:rsidRPr="00537112">
              <w:rPr>
                <w:rFonts w:cs="Verdana"/>
                <w:sz w:val="20"/>
                <w:szCs w:val="20"/>
              </w:rPr>
              <w:t>n</w:t>
            </w:r>
            <w:r w:rsidRPr="00537112">
              <w:rPr>
                <w:rFonts w:cs="Verdana"/>
                <w:spacing w:val="-7"/>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s</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2</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R</w:t>
            </w:r>
            <w:r w:rsidRPr="00537112">
              <w:rPr>
                <w:rFonts w:cs="Verdana"/>
                <w:sz w:val="20"/>
                <w:szCs w:val="20"/>
              </w:rPr>
              <w:t>a</w:t>
            </w:r>
            <w:r w:rsidRPr="00537112">
              <w:rPr>
                <w:rFonts w:cs="Verdana"/>
                <w:spacing w:val="1"/>
                <w:sz w:val="20"/>
                <w:szCs w:val="20"/>
              </w:rPr>
              <w:t>u</w:t>
            </w:r>
            <w:r w:rsidRPr="00537112">
              <w:rPr>
                <w:rFonts w:cs="Verdana"/>
                <w:sz w:val="20"/>
                <w:szCs w:val="20"/>
              </w:rPr>
              <w:t>l</w:t>
            </w:r>
            <w:r w:rsidRPr="00537112">
              <w:rPr>
                <w:rFonts w:cs="Verdana"/>
                <w:spacing w:val="-2"/>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a</w:t>
            </w:r>
            <w:r w:rsidRPr="00537112">
              <w:rPr>
                <w:rFonts w:cs="Verdana"/>
                <w:spacing w:val="-1"/>
                <w:sz w:val="20"/>
                <w:szCs w:val="20"/>
              </w:rPr>
              <w:t>rcó</w:t>
            </w:r>
            <w:r w:rsidRPr="00537112">
              <w:rPr>
                <w:rFonts w:cs="Verdana"/>
                <w:sz w:val="20"/>
                <w:szCs w:val="20"/>
              </w:rPr>
              <w:t>n</w:t>
            </w:r>
            <w:r w:rsidRPr="00537112">
              <w:rPr>
                <w:rFonts w:cs="Verdana"/>
                <w:spacing w:val="-7"/>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s</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3</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F</w:t>
            </w:r>
            <w:r w:rsidRPr="00537112">
              <w:rPr>
                <w:rFonts w:cs="Verdana"/>
                <w:spacing w:val="-1"/>
                <w:sz w:val="20"/>
                <w:szCs w:val="20"/>
              </w:rPr>
              <w:t>er</w:t>
            </w:r>
            <w:r w:rsidRPr="00537112">
              <w:rPr>
                <w:rFonts w:cs="Verdana"/>
                <w:spacing w:val="1"/>
                <w:sz w:val="20"/>
                <w:szCs w:val="20"/>
              </w:rPr>
              <w:t>m</w:t>
            </w:r>
            <w:r w:rsidRPr="00537112">
              <w:rPr>
                <w:rFonts w:cs="Verdana"/>
                <w:spacing w:val="3"/>
                <w:sz w:val="20"/>
                <w:szCs w:val="20"/>
              </w:rPr>
              <w:t>i</w:t>
            </w:r>
            <w:r w:rsidRPr="00537112">
              <w:rPr>
                <w:rFonts w:cs="Verdana"/>
                <w:spacing w:val="1"/>
                <w:sz w:val="20"/>
                <w:szCs w:val="20"/>
              </w:rPr>
              <w:t>n</w:t>
            </w:r>
            <w:r w:rsidRPr="00537112">
              <w:rPr>
                <w:rFonts w:cs="Verdana"/>
                <w:sz w:val="20"/>
                <w:szCs w:val="20"/>
              </w:rPr>
              <w:t>a</w:t>
            </w:r>
            <w:r w:rsidRPr="00537112">
              <w:rPr>
                <w:rFonts w:cs="Verdana"/>
                <w:spacing w:val="-8"/>
                <w:sz w:val="20"/>
                <w:szCs w:val="20"/>
              </w:rPr>
              <w:t xml:space="preserve"> </w:t>
            </w:r>
            <w:r w:rsidRPr="00537112">
              <w:rPr>
                <w:rFonts w:cs="Verdana"/>
                <w:spacing w:val="-1"/>
                <w:sz w:val="20"/>
                <w:szCs w:val="20"/>
              </w:rPr>
              <w:t>Her</w:t>
            </w:r>
            <w:r w:rsidRPr="00537112">
              <w:rPr>
                <w:rFonts w:cs="Verdana"/>
                <w:spacing w:val="1"/>
                <w:sz w:val="20"/>
                <w:szCs w:val="20"/>
              </w:rPr>
              <w:t>n</w:t>
            </w:r>
            <w:r w:rsidRPr="00537112">
              <w:rPr>
                <w:rFonts w:cs="Verdana"/>
                <w:sz w:val="20"/>
                <w:szCs w:val="20"/>
              </w:rPr>
              <w:t>á</w:t>
            </w:r>
            <w:r w:rsidRPr="00537112">
              <w:rPr>
                <w:rFonts w:cs="Verdana"/>
                <w:spacing w:val="1"/>
                <w:sz w:val="20"/>
                <w:szCs w:val="20"/>
              </w:rPr>
              <w:t>nd</w:t>
            </w:r>
            <w:r w:rsidRPr="00537112">
              <w:rPr>
                <w:rFonts w:cs="Verdana"/>
                <w:spacing w:val="-1"/>
                <w:sz w:val="20"/>
                <w:szCs w:val="20"/>
              </w:rPr>
              <w:t>e</w:t>
            </w:r>
            <w:r w:rsidRPr="00537112">
              <w:rPr>
                <w:rFonts w:cs="Verdana"/>
                <w:sz w:val="20"/>
                <w:szCs w:val="20"/>
              </w:rPr>
              <w:t>z</w:t>
            </w:r>
            <w:r w:rsidRPr="00537112">
              <w:rPr>
                <w:rFonts w:cs="Verdana"/>
                <w:spacing w:val="-11"/>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4</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Her</w:t>
            </w:r>
            <w:r w:rsidRPr="00537112">
              <w:rPr>
                <w:rFonts w:cs="Verdana"/>
                <w:spacing w:val="1"/>
                <w:sz w:val="20"/>
                <w:szCs w:val="20"/>
              </w:rPr>
              <w:t>m</w:t>
            </w:r>
            <w:r w:rsidRPr="00537112">
              <w:rPr>
                <w:rFonts w:cs="Verdana"/>
                <w:spacing w:val="-1"/>
                <w:sz w:val="20"/>
                <w:szCs w:val="20"/>
              </w:rPr>
              <w:t>e</w:t>
            </w:r>
            <w:r w:rsidRPr="00537112">
              <w:rPr>
                <w:rFonts w:cs="Verdana"/>
                <w:spacing w:val="3"/>
                <w:sz w:val="20"/>
                <w:szCs w:val="20"/>
              </w:rPr>
              <w:t>li</w:t>
            </w:r>
            <w:r w:rsidRPr="00537112">
              <w:rPr>
                <w:rFonts w:cs="Verdana"/>
                <w:spacing w:val="1"/>
                <w:sz w:val="20"/>
                <w:szCs w:val="20"/>
              </w:rPr>
              <w:t>nd</w:t>
            </w:r>
            <w:r w:rsidRPr="00537112">
              <w:rPr>
                <w:rFonts w:cs="Verdana"/>
                <w:sz w:val="20"/>
                <w:szCs w:val="20"/>
              </w:rPr>
              <w:t>a</w:t>
            </w:r>
            <w:r w:rsidRPr="00537112">
              <w:rPr>
                <w:rFonts w:cs="Verdana"/>
                <w:spacing w:val="-11"/>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Her</w:t>
            </w:r>
            <w:r w:rsidRPr="00537112">
              <w:rPr>
                <w:rFonts w:cs="Verdana"/>
                <w:spacing w:val="1"/>
                <w:sz w:val="20"/>
                <w:szCs w:val="20"/>
              </w:rPr>
              <w:t>n</w:t>
            </w:r>
            <w:r w:rsidRPr="00537112">
              <w:rPr>
                <w:rFonts w:cs="Verdana"/>
                <w:sz w:val="20"/>
                <w:szCs w:val="20"/>
              </w:rPr>
              <w:t>á</w:t>
            </w:r>
            <w:r w:rsidRPr="00537112">
              <w:rPr>
                <w:rFonts w:cs="Verdana"/>
                <w:spacing w:val="1"/>
                <w:sz w:val="20"/>
                <w:szCs w:val="20"/>
              </w:rPr>
              <w:t>nd</w:t>
            </w:r>
            <w:r w:rsidRPr="00537112">
              <w:rPr>
                <w:rFonts w:cs="Verdana"/>
                <w:spacing w:val="-1"/>
                <w:sz w:val="20"/>
                <w:szCs w:val="20"/>
              </w:rPr>
              <w:t>e</w:t>
            </w:r>
            <w:r w:rsidRPr="00537112">
              <w:rPr>
                <w:rFonts w:cs="Verdana"/>
                <w:sz w:val="20"/>
                <w:szCs w:val="20"/>
              </w:rPr>
              <w:t>z</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5</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Leo</w:t>
            </w:r>
            <w:r w:rsidRPr="00537112">
              <w:rPr>
                <w:rFonts w:cs="Verdana"/>
                <w:spacing w:val="1"/>
                <w:sz w:val="20"/>
                <w:szCs w:val="20"/>
              </w:rPr>
              <w:t>n</w:t>
            </w:r>
            <w:r w:rsidRPr="00537112">
              <w:rPr>
                <w:rFonts w:cs="Verdana"/>
                <w:sz w:val="20"/>
                <w:szCs w:val="20"/>
              </w:rPr>
              <w:t>a</w:t>
            </w:r>
            <w:r w:rsidRPr="00537112">
              <w:rPr>
                <w:rFonts w:cs="Verdana"/>
                <w:spacing w:val="-1"/>
                <w:sz w:val="20"/>
                <w:szCs w:val="20"/>
              </w:rPr>
              <w:t>r</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6</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rco</w:t>
            </w:r>
            <w:r w:rsidRPr="00537112">
              <w:rPr>
                <w:rFonts w:cs="Verdana"/>
                <w:sz w:val="20"/>
                <w:szCs w:val="20"/>
              </w:rPr>
              <w:t>s</w:t>
            </w:r>
            <w:r w:rsidRPr="00537112">
              <w:rPr>
                <w:rFonts w:cs="Verdana"/>
                <w:spacing w:val="-8"/>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á</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r w:rsidRPr="00537112">
              <w:rPr>
                <w:rFonts w:cs="Verdana"/>
                <w:spacing w:val="-9"/>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m</w:t>
            </w:r>
            <w:r w:rsidRPr="00537112">
              <w:rPr>
                <w:rFonts w:cs="Verdana"/>
                <w:sz w:val="20"/>
                <w:szCs w:val="20"/>
              </w:rPr>
              <w:t>án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7</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u</w:t>
            </w:r>
            <w:r w:rsidRPr="00537112">
              <w:rPr>
                <w:rFonts w:cs="Verdana"/>
                <w:spacing w:val="-1"/>
                <w:sz w:val="20"/>
                <w:szCs w:val="20"/>
              </w:rPr>
              <w:t>r</w:t>
            </w:r>
            <w:r w:rsidRPr="00537112">
              <w:rPr>
                <w:rFonts w:cs="Verdana"/>
                <w:spacing w:val="3"/>
                <w:sz w:val="20"/>
                <w:szCs w:val="20"/>
              </w:rPr>
              <w:t>i</w:t>
            </w:r>
            <w:r w:rsidRPr="00537112">
              <w:rPr>
                <w:rFonts w:cs="Verdana"/>
                <w:spacing w:val="-1"/>
                <w:sz w:val="20"/>
                <w:szCs w:val="20"/>
              </w:rPr>
              <w:t>c</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á</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r w:rsidRPr="00537112">
              <w:rPr>
                <w:rFonts w:cs="Verdana"/>
                <w:spacing w:val="-9"/>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m</w:t>
            </w:r>
            <w:r w:rsidRPr="00537112">
              <w:rPr>
                <w:rFonts w:cs="Verdana"/>
                <w:sz w:val="20"/>
                <w:szCs w:val="20"/>
              </w:rPr>
              <w:t>án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8</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Ju</w:t>
            </w:r>
            <w:r w:rsidRPr="00537112">
              <w:rPr>
                <w:rFonts w:cs="Verdana"/>
                <w:sz w:val="20"/>
                <w:szCs w:val="20"/>
              </w:rPr>
              <w:t>an</w:t>
            </w:r>
            <w:r w:rsidRPr="00537112">
              <w:rPr>
                <w:rFonts w:cs="Verdana"/>
                <w:spacing w:val="-5"/>
                <w:sz w:val="20"/>
                <w:szCs w:val="20"/>
              </w:rPr>
              <w:t xml:space="preserve"> </w:t>
            </w:r>
            <w:r w:rsidRPr="00537112">
              <w:rPr>
                <w:rFonts w:cs="Verdana"/>
                <w:sz w:val="20"/>
                <w:szCs w:val="20"/>
              </w:rPr>
              <w:t>Ca</w:t>
            </w:r>
            <w:r w:rsidRPr="00537112">
              <w:rPr>
                <w:rFonts w:cs="Verdana"/>
                <w:spacing w:val="1"/>
                <w:sz w:val="20"/>
                <w:szCs w:val="20"/>
              </w:rPr>
              <w:t>p</w:t>
            </w:r>
            <w:r w:rsidRPr="00537112">
              <w:rPr>
                <w:rFonts w:cs="Verdana"/>
                <w:spacing w:val="3"/>
                <w:sz w:val="20"/>
                <w:szCs w:val="20"/>
              </w:rPr>
              <w:t>i</w:t>
            </w:r>
            <w:r w:rsidRPr="00537112">
              <w:rPr>
                <w:rFonts w:cs="Verdana"/>
                <w:spacing w:val="-1"/>
                <w:sz w:val="20"/>
                <w:szCs w:val="20"/>
              </w:rPr>
              <w:t>s</w:t>
            </w:r>
            <w:r w:rsidRPr="00537112">
              <w:rPr>
                <w:rFonts w:cs="Verdana"/>
                <w:spacing w:val="1"/>
                <w:sz w:val="20"/>
                <w:szCs w:val="20"/>
              </w:rPr>
              <w:t>t</w:t>
            </w:r>
            <w:r w:rsidRPr="00537112">
              <w:rPr>
                <w:rFonts w:cs="Verdana"/>
                <w:spacing w:val="-1"/>
                <w:sz w:val="20"/>
                <w:szCs w:val="20"/>
              </w:rPr>
              <w:t>r</w:t>
            </w:r>
            <w:r w:rsidRPr="00537112">
              <w:rPr>
                <w:rFonts w:cs="Verdana"/>
                <w:sz w:val="20"/>
                <w:szCs w:val="20"/>
              </w:rPr>
              <w:t>a</w:t>
            </w:r>
            <w:r w:rsidRPr="00537112">
              <w:rPr>
                <w:rFonts w:cs="Verdana"/>
                <w:spacing w:val="1"/>
                <w:sz w:val="20"/>
                <w:szCs w:val="20"/>
              </w:rPr>
              <w:t>n</w:t>
            </w:r>
            <w:r w:rsidRPr="00537112">
              <w:rPr>
                <w:rFonts w:cs="Verdana"/>
                <w:sz w:val="20"/>
                <w:szCs w:val="20"/>
              </w:rPr>
              <w:t>o</w:t>
            </w:r>
            <w:r w:rsidRPr="00537112">
              <w:rPr>
                <w:rFonts w:cs="Verdana"/>
                <w:spacing w:val="-13"/>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z w:val="20"/>
                <w:szCs w:val="20"/>
              </w:rPr>
              <w:t>B</w:t>
            </w:r>
            <w:r w:rsidRPr="00537112">
              <w:rPr>
                <w:rFonts w:cs="Verdana"/>
                <w:spacing w:val="-1"/>
                <w:sz w:val="20"/>
                <w:szCs w:val="20"/>
              </w:rPr>
              <w:t>e</w:t>
            </w:r>
            <w:r w:rsidRPr="00537112">
              <w:rPr>
                <w:rFonts w:cs="Verdana"/>
                <w:spacing w:val="3"/>
                <w:sz w:val="20"/>
                <w:szCs w:val="20"/>
              </w:rPr>
              <w:t>l</w:t>
            </w:r>
            <w:r w:rsidRPr="00537112">
              <w:rPr>
                <w:rFonts w:cs="Verdana"/>
                <w:spacing w:val="1"/>
                <w:sz w:val="20"/>
                <w:szCs w:val="20"/>
              </w:rPr>
              <w:t>t</w:t>
            </w:r>
            <w:r w:rsidRPr="00537112">
              <w:rPr>
                <w:rFonts w:cs="Verdana"/>
                <w:spacing w:val="-1"/>
                <w:sz w:val="20"/>
                <w:szCs w:val="20"/>
              </w:rPr>
              <w:t>r</w:t>
            </w:r>
            <w:r w:rsidRPr="00537112">
              <w:rPr>
                <w:rFonts w:cs="Verdana"/>
                <w:sz w:val="20"/>
                <w:szCs w:val="20"/>
              </w:rPr>
              <w:t>án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9</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z w:val="20"/>
                <w:szCs w:val="20"/>
              </w:rPr>
              <w:t>Ca</w:t>
            </w:r>
            <w:r w:rsidRPr="00537112">
              <w:rPr>
                <w:rFonts w:cs="Verdana"/>
                <w:spacing w:val="1"/>
                <w:sz w:val="20"/>
                <w:szCs w:val="20"/>
              </w:rPr>
              <w:t>m</w:t>
            </w:r>
            <w:r w:rsidRPr="00537112">
              <w:rPr>
                <w:rFonts w:cs="Verdana"/>
                <w:spacing w:val="3"/>
                <w:sz w:val="20"/>
                <w:szCs w:val="20"/>
              </w:rPr>
              <w:t>il</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z w:val="20"/>
                <w:szCs w:val="20"/>
              </w:rPr>
              <w:t>B</w:t>
            </w:r>
            <w:r w:rsidRPr="00537112">
              <w:rPr>
                <w:rFonts w:cs="Verdana"/>
                <w:spacing w:val="-1"/>
                <w:sz w:val="20"/>
                <w:szCs w:val="20"/>
              </w:rPr>
              <w:t>e</w:t>
            </w:r>
            <w:r w:rsidRPr="00537112">
              <w:rPr>
                <w:rFonts w:cs="Verdana"/>
                <w:spacing w:val="3"/>
                <w:sz w:val="20"/>
                <w:szCs w:val="20"/>
              </w:rPr>
              <w:t>l</w:t>
            </w:r>
            <w:r w:rsidRPr="00537112">
              <w:rPr>
                <w:rFonts w:cs="Verdana"/>
                <w:spacing w:val="1"/>
                <w:sz w:val="20"/>
                <w:szCs w:val="20"/>
              </w:rPr>
              <w:t>t</w:t>
            </w:r>
            <w:r w:rsidRPr="00537112">
              <w:rPr>
                <w:rFonts w:cs="Verdana"/>
                <w:spacing w:val="-1"/>
                <w:sz w:val="20"/>
                <w:szCs w:val="20"/>
              </w:rPr>
              <w:t>r</w:t>
            </w:r>
            <w:r w:rsidRPr="00537112">
              <w:rPr>
                <w:rFonts w:cs="Verdana"/>
                <w:sz w:val="20"/>
                <w:szCs w:val="20"/>
              </w:rPr>
              <w:t>án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10</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2"/>
                <w:sz w:val="20"/>
                <w:szCs w:val="20"/>
              </w:rPr>
              <w:t>I</w:t>
            </w:r>
            <w:r w:rsidRPr="00537112">
              <w:rPr>
                <w:rFonts w:cs="Verdana"/>
                <w:spacing w:val="-1"/>
                <w:sz w:val="20"/>
                <w:szCs w:val="20"/>
              </w:rPr>
              <w:t>s</w:t>
            </w:r>
            <w:r w:rsidRPr="00537112">
              <w:rPr>
                <w:rFonts w:cs="Verdana"/>
                <w:sz w:val="20"/>
                <w:szCs w:val="20"/>
              </w:rPr>
              <w:t>a</w:t>
            </w:r>
            <w:r w:rsidRPr="00537112">
              <w:rPr>
                <w:rFonts w:cs="Verdana"/>
                <w:spacing w:val="3"/>
                <w:sz w:val="20"/>
                <w:szCs w:val="20"/>
              </w:rPr>
              <w:t>í</w:t>
            </w:r>
            <w:r w:rsidRPr="00537112">
              <w:rPr>
                <w:rFonts w:cs="Verdana"/>
                <w:sz w:val="20"/>
                <w:szCs w:val="20"/>
              </w:rPr>
              <w:t>as</w:t>
            </w:r>
            <w:r w:rsidRPr="00537112">
              <w:rPr>
                <w:rFonts w:cs="Verdana"/>
                <w:spacing w:val="-7"/>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z w:val="20"/>
                <w:szCs w:val="20"/>
              </w:rPr>
              <w:t>B</w:t>
            </w:r>
            <w:r w:rsidRPr="00537112">
              <w:rPr>
                <w:rFonts w:cs="Verdana"/>
                <w:spacing w:val="-1"/>
                <w:sz w:val="20"/>
                <w:szCs w:val="20"/>
              </w:rPr>
              <w:t>e</w:t>
            </w:r>
            <w:r w:rsidRPr="00537112">
              <w:rPr>
                <w:rFonts w:cs="Verdana"/>
                <w:spacing w:val="3"/>
                <w:sz w:val="20"/>
                <w:szCs w:val="20"/>
              </w:rPr>
              <w:t>l</w:t>
            </w:r>
            <w:r w:rsidRPr="00537112">
              <w:rPr>
                <w:rFonts w:cs="Verdana"/>
                <w:spacing w:val="1"/>
                <w:sz w:val="20"/>
                <w:szCs w:val="20"/>
              </w:rPr>
              <w:t>t</w:t>
            </w:r>
            <w:r w:rsidRPr="00537112">
              <w:rPr>
                <w:rFonts w:cs="Verdana"/>
                <w:spacing w:val="-1"/>
                <w:sz w:val="20"/>
                <w:szCs w:val="20"/>
              </w:rPr>
              <w:t>r</w:t>
            </w:r>
            <w:r w:rsidRPr="00537112">
              <w:rPr>
                <w:rFonts w:cs="Verdana"/>
                <w:sz w:val="20"/>
                <w:szCs w:val="20"/>
              </w:rPr>
              <w:t>án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11</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Ang</w:t>
            </w:r>
            <w:r w:rsidRPr="00537112">
              <w:rPr>
                <w:rFonts w:cs="Verdana"/>
                <w:spacing w:val="-1"/>
                <w:sz w:val="20"/>
                <w:szCs w:val="20"/>
              </w:rPr>
              <w:t>e</w:t>
            </w:r>
            <w:r w:rsidRPr="00537112">
              <w:rPr>
                <w:rFonts w:cs="Verdana"/>
                <w:sz w:val="20"/>
                <w:szCs w:val="20"/>
              </w:rPr>
              <w:t>l</w:t>
            </w:r>
            <w:r w:rsidRPr="00537112">
              <w:rPr>
                <w:rFonts w:cs="Verdana"/>
                <w:spacing w:val="-4"/>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Su</w:t>
            </w:r>
            <w:r w:rsidRPr="00537112">
              <w:rPr>
                <w:rFonts w:cs="Verdana"/>
                <w:spacing w:val="-1"/>
                <w:sz w:val="20"/>
                <w:szCs w:val="20"/>
              </w:rPr>
              <w:t>c</w:t>
            </w:r>
            <w:r w:rsidRPr="00537112">
              <w:rPr>
                <w:rFonts w:cs="Verdana"/>
                <w:spacing w:val="1"/>
                <w:sz w:val="20"/>
                <w:szCs w:val="20"/>
              </w:rPr>
              <w:t>u</w:t>
            </w:r>
            <w:r w:rsidRPr="00537112">
              <w:rPr>
                <w:rFonts w:cs="Verdana"/>
                <w:sz w:val="20"/>
                <w:szCs w:val="20"/>
              </w:rPr>
              <w:t>p</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12</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J</w:t>
            </w:r>
            <w:r w:rsidRPr="00537112">
              <w:rPr>
                <w:rFonts w:cs="Verdana"/>
                <w:sz w:val="20"/>
                <w:szCs w:val="20"/>
              </w:rPr>
              <w:t>a</w:t>
            </w:r>
            <w:r w:rsidRPr="00537112">
              <w:rPr>
                <w:rFonts w:cs="Verdana"/>
                <w:spacing w:val="3"/>
                <w:sz w:val="20"/>
                <w:szCs w:val="20"/>
              </w:rPr>
              <w:t>i</w:t>
            </w:r>
            <w:r w:rsidRPr="00537112">
              <w:rPr>
                <w:rFonts w:cs="Verdana"/>
                <w:spacing w:val="1"/>
                <w:sz w:val="20"/>
                <w:szCs w:val="20"/>
              </w:rPr>
              <w:t>m</w:t>
            </w:r>
            <w:r w:rsidRPr="00537112">
              <w:rPr>
                <w:rFonts w:cs="Verdana"/>
                <w:sz w:val="20"/>
                <w:szCs w:val="20"/>
              </w:rPr>
              <w:t>e</w:t>
            </w:r>
            <w:r w:rsidRPr="00537112">
              <w:rPr>
                <w:rFonts w:cs="Verdana"/>
                <w:spacing w:val="-8"/>
                <w:sz w:val="20"/>
                <w:szCs w:val="20"/>
              </w:rPr>
              <w:t xml:space="preserve"> </w:t>
            </w:r>
            <w:r w:rsidRPr="00537112">
              <w:rPr>
                <w:rFonts w:cs="Verdana"/>
                <w:spacing w:val="1"/>
                <w:sz w:val="20"/>
                <w:szCs w:val="20"/>
              </w:rPr>
              <w:t>J</w:t>
            </w:r>
            <w:r w:rsidRPr="00537112">
              <w:rPr>
                <w:rFonts w:cs="Verdana"/>
                <w:spacing w:val="-1"/>
                <w:sz w:val="20"/>
                <w:szCs w:val="20"/>
              </w:rPr>
              <w:t>es</w:t>
            </w:r>
            <w:r w:rsidRPr="00537112">
              <w:rPr>
                <w:rFonts w:cs="Verdana"/>
                <w:spacing w:val="1"/>
                <w:sz w:val="20"/>
                <w:szCs w:val="20"/>
              </w:rPr>
              <w:t>ú</w:t>
            </w:r>
            <w:r w:rsidRPr="00537112">
              <w:rPr>
                <w:rFonts w:cs="Verdana"/>
                <w:sz w:val="20"/>
                <w:szCs w:val="20"/>
              </w:rPr>
              <w:t>s</w:t>
            </w:r>
            <w:r w:rsidRPr="00537112">
              <w:rPr>
                <w:rFonts w:cs="Verdana"/>
                <w:spacing w:val="-6"/>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13</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i</w:t>
            </w:r>
            <w:r w:rsidRPr="00537112">
              <w:rPr>
                <w:rFonts w:cs="Verdana"/>
                <w:sz w:val="20"/>
                <w:szCs w:val="20"/>
              </w:rPr>
              <w:t>o</w:t>
            </w:r>
            <w:r w:rsidRPr="00537112">
              <w:rPr>
                <w:rFonts w:cs="Verdana"/>
                <w:spacing w:val="-7"/>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r w:rsidRPr="00537112">
              <w:rPr>
                <w:rFonts w:cs="Verdana"/>
                <w:spacing w:val="-6"/>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tumul</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14</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Leo</w:t>
            </w:r>
            <w:r w:rsidRPr="00537112">
              <w:rPr>
                <w:rFonts w:cs="Verdana"/>
                <w:spacing w:val="1"/>
                <w:sz w:val="20"/>
                <w:szCs w:val="20"/>
              </w:rPr>
              <w:t>n</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15</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E</w:t>
            </w:r>
            <w:r w:rsidRPr="00537112">
              <w:rPr>
                <w:rFonts w:cs="Verdana"/>
                <w:sz w:val="20"/>
                <w:szCs w:val="20"/>
              </w:rPr>
              <w:t>va</w:t>
            </w:r>
            <w:r w:rsidRPr="00537112">
              <w:rPr>
                <w:rFonts w:cs="Verdana"/>
                <w:spacing w:val="-1"/>
                <w:sz w:val="20"/>
                <w:szCs w:val="20"/>
              </w:rPr>
              <w:t>r</w:t>
            </w:r>
            <w:r w:rsidRPr="00537112">
              <w:rPr>
                <w:rFonts w:cs="Verdana"/>
                <w:spacing w:val="3"/>
                <w:sz w:val="20"/>
                <w:szCs w:val="20"/>
              </w:rPr>
              <w:t>i</w:t>
            </w:r>
            <w:r w:rsidRPr="00537112">
              <w:rPr>
                <w:rFonts w:cs="Verdana"/>
                <w:spacing w:val="-1"/>
                <w:sz w:val="20"/>
                <w:szCs w:val="20"/>
              </w:rPr>
              <w:t>s</w:t>
            </w:r>
            <w:r w:rsidRPr="00537112">
              <w:rPr>
                <w:rFonts w:cs="Verdana"/>
                <w:spacing w:val="1"/>
                <w:sz w:val="20"/>
                <w:szCs w:val="20"/>
              </w:rPr>
              <w:t>t</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16</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R</w:t>
            </w:r>
            <w:r w:rsidRPr="00537112">
              <w:rPr>
                <w:rFonts w:cs="Verdana"/>
                <w:spacing w:val="-1"/>
                <w:sz w:val="20"/>
                <w:szCs w:val="20"/>
              </w:rPr>
              <w:t>os</w:t>
            </w:r>
            <w:r w:rsidRPr="00537112">
              <w:rPr>
                <w:rFonts w:cs="Verdana"/>
                <w:sz w:val="20"/>
                <w:szCs w:val="20"/>
              </w:rPr>
              <w:t>a</w:t>
            </w:r>
            <w:r w:rsidRPr="00537112">
              <w:rPr>
                <w:rFonts w:cs="Verdana"/>
                <w:spacing w:val="-5"/>
                <w:sz w:val="20"/>
                <w:szCs w:val="20"/>
              </w:rPr>
              <w:t xml:space="preserve"> </w:t>
            </w:r>
            <w:r w:rsidRPr="00537112">
              <w:rPr>
                <w:rFonts w:cs="Verdana"/>
                <w:spacing w:val="-1"/>
                <w:sz w:val="20"/>
                <w:szCs w:val="20"/>
              </w:rPr>
              <w:t>Es</w:t>
            </w:r>
            <w:r w:rsidRPr="00537112">
              <w:rPr>
                <w:rFonts w:cs="Verdana"/>
                <w:spacing w:val="1"/>
                <w:sz w:val="20"/>
                <w:szCs w:val="20"/>
              </w:rPr>
              <w:t>t</w:t>
            </w:r>
            <w:r w:rsidRPr="00537112">
              <w:rPr>
                <w:rFonts w:cs="Verdana"/>
                <w:spacing w:val="-1"/>
                <w:sz w:val="20"/>
                <w:szCs w:val="20"/>
              </w:rPr>
              <w:t>e</w:t>
            </w:r>
            <w:r w:rsidRPr="00537112">
              <w:rPr>
                <w:rFonts w:cs="Verdana"/>
                <w:spacing w:val="3"/>
                <w:sz w:val="20"/>
                <w:szCs w:val="20"/>
              </w:rPr>
              <w:t>l</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17</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os</w:t>
            </w:r>
            <w:r w:rsidRPr="00537112">
              <w:rPr>
                <w:rFonts w:cs="Verdana"/>
                <w:sz w:val="20"/>
                <w:szCs w:val="20"/>
              </w:rPr>
              <w:t>é</w:t>
            </w:r>
            <w:r w:rsidRPr="00537112">
              <w:rPr>
                <w:rFonts w:cs="Verdana"/>
                <w:spacing w:val="-6"/>
                <w:sz w:val="20"/>
                <w:szCs w:val="20"/>
              </w:rPr>
              <w:t xml:space="preserve"> </w:t>
            </w:r>
            <w:r w:rsidRPr="00537112">
              <w:rPr>
                <w:rFonts w:cs="Verdana"/>
                <w:sz w:val="20"/>
                <w:szCs w:val="20"/>
              </w:rPr>
              <w:t>B</w:t>
            </w:r>
            <w:r w:rsidRPr="00537112">
              <w:rPr>
                <w:rFonts w:cs="Verdana"/>
                <w:spacing w:val="-1"/>
                <w:sz w:val="20"/>
                <w:szCs w:val="20"/>
              </w:rPr>
              <w:t>o</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f</w:t>
            </w:r>
            <w:r w:rsidRPr="00537112">
              <w:rPr>
                <w:rFonts w:cs="Verdana"/>
                <w:sz w:val="20"/>
                <w:szCs w:val="20"/>
              </w:rPr>
              <w:t>a</w:t>
            </w:r>
            <w:r w:rsidRPr="00537112">
              <w:rPr>
                <w:rFonts w:cs="Verdana"/>
                <w:spacing w:val="-1"/>
                <w:sz w:val="20"/>
                <w:szCs w:val="20"/>
              </w:rPr>
              <w:t>c</w:t>
            </w:r>
            <w:r w:rsidRPr="00537112">
              <w:rPr>
                <w:rFonts w:cs="Verdana"/>
                <w:spacing w:val="3"/>
                <w:sz w:val="20"/>
                <w:szCs w:val="20"/>
              </w:rPr>
              <w:t>i</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18</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z w:val="20"/>
                <w:szCs w:val="20"/>
              </w:rPr>
              <w:t>C</w:t>
            </w:r>
            <w:r w:rsidRPr="00537112">
              <w:rPr>
                <w:rFonts w:cs="Verdana"/>
                <w:spacing w:val="-1"/>
                <w:sz w:val="20"/>
                <w:szCs w:val="20"/>
              </w:rPr>
              <w:t>ec</w:t>
            </w:r>
            <w:r w:rsidRPr="00537112">
              <w:rPr>
                <w:rFonts w:cs="Verdana"/>
                <w:spacing w:val="3"/>
                <w:sz w:val="20"/>
                <w:szCs w:val="20"/>
              </w:rPr>
              <w:t>ili</w:t>
            </w:r>
            <w:r w:rsidRPr="00537112">
              <w:rPr>
                <w:rFonts w:cs="Verdana"/>
                <w:sz w:val="20"/>
                <w:szCs w:val="20"/>
              </w:rPr>
              <w:t>o</w:t>
            </w:r>
            <w:r w:rsidRPr="00537112">
              <w:rPr>
                <w:rFonts w:cs="Verdana"/>
                <w:spacing w:val="-8"/>
                <w:sz w:val="20"/>
                <w:szCs w:val="20"/>
              </w:rPr>
              <w:t xml:space="preserve"> </w:t>
            </w:r>
            <w:r w:rsidRPr="00537112">
              <w:rPr>
                <w:rFonts w:cs="Verdana"/>
                <w:sz w:val="20"/>
                <w:szCs w:val="20"/>
              </w:rPr>
              <w:t>C</w:t>
            </w:r>
            <w:r w:rsidRPr="00537112">
              <w:rPr>
                <w:rFonts w:cs="Verdana"/>
                <w:spacing w:val="-1"/>
                <w:sz w:val="20"/>
                <w:szCs w:val="20"/>
              </w:rPr>
              <w:t>r</w:t>
            </w:r>
            <w:r w:rsidRPr="00537112">
              <w:rPr>
                <w:rFonts w:cs="Verdana"/>
                <w:spacing w:val="1"/>
                <w:sz w:val="20"/>
                <w:szCs w:val="20"/>
              </w:rPr>
              <w:t>u</w:t>
            </w:r>
            <w:r w:rsidRPr="00537112">
              <w:rPr>
                <w:rFonts w:cs="Verdana"/>
                <w:sz w:val="20"/>
                <w:szCs w:val="20"/>
              </w:rPr>
              <w:t>z</w:t>
            </w:r>
            <w:r w:rsidRPr="00537112">
              <w:rPr>
                <w:rFonts w:cs="Verdana"/>
                <w:spacing w:val="-5"/>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19</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V</w:t>
            </w:r>
            <w:r w:rsidRPr="00537112">
              <w:rPr>
                <w:rFonts w:cs="Verdana"/>
                <w:spacing w:val="3"/>
                <w:sz w:val="20"/>
                <w:szCs w:val="20"/>
              </w:rPr>
              <w:t>í</w:t>
            </w:r>
            <w:r w:rsidRPr="00537112">
              <w:rPr>
                <w:rFonts w:cs="Verdana"/>
                <w:spacing w:val="-1"/>
                <w:sz w:val="20"/>
                <w:szCs w:val="20"/>
              </w:rPr>
              <w:t>c</w:t>
            </w:r>
            <w:r w:rsidRPr="00537112">
              <w:rPr>
                <w:rFonts w:cs="Verdana"/>
                <w:spacing w:val="1"/>
                <w:sz w:val="20"/>
                <w:szCs w:val="20"/>
              </w:rPr>
              <w:t>t</w:t>
            </w:r>
            <w:r w:rsidRPr="00537112">
              <w:rPr>
                <w:rFonts w:cs="Verdana"/>
                <w:spacing w:val="-1"/>
                <w:sz w:val="20"/>
                <w:szCs w:val="20"/>
              </w:rPr>
              <w:t>o</w:t>
            </w:r>
            <w:r w:rsidRPr="00537112">
              <w:rPr>
                <w:rFonts w:cs="Verdana"/>
                <w:sz w:val="20"/>
                <w:szCs w:val="20"/>
              </w:rPr>
              <w:t>r</w:t>
            </w:r>
            <w:r w:rsidRPr="00537112">
              <w:rPr>
                <w:rFonts w:cs="Verdana"/>
                <w:spacing w:val="-8"/>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20</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Ge</w:t>
            </w:r>
            <w:r w:rsidRPr="00537112">
              <w:rPr>
                <w:rFonts w:cs="Verdana"/>
                <w:spacing w:val="1"/>
                <w:sz w:val="20"/>
                <w:szCs w:val="20"/>
              </w:rPr>
              <w:t>n</w:t>
            </w:r>
            <w:r w:rsidRPr="00537112">
              <w:rPr>
                <w:rFonts w:cs="Verdana"/>
                <w:sz w:val="20"/>
                <w:szCs w:val="20"/>
              </w:rPr>
              <w:t>a</w:t>
            </w:r>
            <w:r w:rsidRPr="00537112">
              <w:rPr>
                <w:rFonts w:cs="Verdana"/>
                <w:spacing w:val="-1"/>
                <w:sz w:val="20"/>
                <w:szCs w:val="20"/>
              </w:rPr>
              <w:t>r</w:t>
            </w:r>
            <w:r w:rsidRPr="00537112">
              <w:rPr>
                <w:rFonts w:cs="Verdana"/>
                <w:sz w:val="20"/>
                <w:szCs w:val="20"/>
              </w:rPr>
              <w:t>o</w:t>
            </w:r>
            <w:r w:rsidRPr="00537112">
              <w:rPr>
                <w:rFonts w:cs="Verdana"/>
                <w:spacing w:val="-9"/>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21</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z w:val="20"/>
                <w:szCs w:val="20"/>
              </w:rPr>
              <w:t>M</w:t>
            </w:r>
            <w:r w:rsidRPr="00537112">
              <w:rPr>
                <w:rFonts w:cs="Verdana"/>
                <w:spacing w:val="-1"/>
                <w:sz w:val="20"/>
                <w:szCs w:val="20"/>
              </w:rPr>
              <w:t>o</w:t>
            </w:r>
            <w:r w:rsidRPr="00537112">
              <w:rPr>
                <w:rFonts w:cs="Verdana"/>
                <w:spacing w:val="1"/>
                <w:sz w:val="20"/>
                <w:szCs w:val="20"/>
              </w:rPr>
              <w:t>d</w:t>
            </w:r>
            <w:r w:rsidRPr="00537112">
              <w:rPr>
                <w:rFonts w:cs="Verdana"/>
                <w:spacing w:val="-1"/>
                <w:sz w:val="20"/>
                <w:szCs w:val="20"/>
              </w:rPr>
              <w:t>es</w:t>
            </w:r>
            <w:r w:rsidRPr="00537112">
              <w:rPr>
                <w:rFonts w:cs="Verdana"/>
                <w:spacing w:val="1"/>
                <w:sz w:val="20"/>
                <w:szCs w:val="20"/>
              </w:rPr>
              <w:t>t</w:t>
            </w:r>
            <w:r w:rsidRPr="00537112">
              <w:rPr>
                <w:rFonts w:cs="Verdana"/>
                <w:sz w:val="20"/>
                <w:szCs w:val="20"/>
              </w:rPr>
              <w:t>a</w:t>
            </w:r>
            <w:r w:rsidRPr="00537112">
              <w:rPr>
                <w:rFonts w:cs="Verdana"/>
                <w:spacing w:val="-8"/>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22</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H</w:t>
            </w:r>
            <w:r w:rsidRPr="00537112">
              <w:rPr>
                <w:rFonts w:cs="Verdana"/>
                <w:spacing w:val="3"/>
                <w:sz w:val="20"/>
                <w:szCs w:val="20"/>
              </w:rPr>
              <w:t>il</w:t>
            </w:r>
            <w:r w:rsidRPr="00537112">
              <w:rPr>
                <w:rFonts w:cs="Verdana"/>
                <w:sz w:val="20"/>
                <w:szCs w:val="20"/>
              </w:rPr>
              <w:t>a</w:t>
            </w:r>
            <w:r w:rsidRPr="00537112">
              <w:rPr>
                <w:rFonts w:cs="Verdana"/>
                <w:spacing w:val="-1"/>
                <w:sz w:val="20"/>
                <w:szCs w:val="20"/>
              </w:rPr>
              <w:t>r</w:t>
            </w:r>
            <w:r w:rsidRPr="00537112">
              <w:rPr>
                <w:rFonts w:cs="Verdana"/>
                <w:spacing w:val="3"/>
                <w:sz w:val="20"/>
                <w:szCs w:val="20"/>
              </w:rPr>
              <w:t>i</w:t>
            </w:r>
            <w:r w:rsidRPr="00537112">
              <w:rPr>
                <w:rFonts w:cs="Verdana"/>
                <w:sz w:val="20"/>
                <w:szCs w:val="20"/>
              </w:rPr>
              <w:t>o</w:t>
            </w:r>
            <w:r w:rsidRPr="00537112">
              <w:rPr>
                <w:rFonts w:cs="Verdana"/>
                <w:spacing w:val="-8"/>
                <w:sz w:val="20"/>
                <w:szCs w:val="20"/>
              </w:rPr>
              <w:t xml:space="preserve"> </w:t>
            </w:r>
            <w:r w:rsidRPr="00537112">
              <w:rPr>
                <w:rFonts w:cs="Verdana"/>
                <w:sz w:val="20"/>
                <w:szCs w:val="20"/>
              </w:rPr>
              <w:t>Ca</w:t>
            </w:r>
            <w:r w:rsidRPr="00537112">
              <w:rPr>
                <w:rFonts w:cs="Verdana"/>
                <w:spacing w:val="3"/>
                <w:sz w:val="20"/>
                <w:szCs w:val="20"/>
              </w:rPr>
              <w:t>l</w:t>
            </w:r>
            <w:r w:rsidRPr="00537112">
              <w:rPr>
                <w:rFonts w:cs="Verdana"/>
                <w:sz w:val="20"/>
                <w:szCs w:val="20"/>
              </w:rPr>
              <w:t>a</w:t>
            </w:r>
            <w:r w:rsidRPr="00537112">
              <w:rPr>
                <w:rFonts w:cs="Verdana"/>
                <w:spacing w:val="1"/>
                <w:sz w:val="20"/>
                <w:szCs w:val="20"/>
              </w:rPr>
              <w:t>t</w:t>
            </w:r>
            <w:r w:rsidRPr="00537112">
              <w:rPr>
                <w:rFonts w:cs="Verdana"/>
                <w:sz w:val="20"/>
                <w:szCs w:val="20"/>
              </w:rPr>
              <w:t>e</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23</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Ju</w:t>
            </w:r>
            <w:r w:rsidRPr="00537112">
              <w:rPr>
                <w:rFonts w:cs="Verdana"/>
                <w:sz w:val="20"/>
                <w:szCs w:val="20"/>
              </w:rPr>
              <w:t>a</w:t>
            </w:r>
            <w:r w:rsidRPr="00537112">
              <w:rPr>
                <w:rFonts w:cs="Verdana"/>
                <w:spacing w:val="1"/>
                <w:sz w:val="20"/>
                <w:szCs w:val="20"/>
              </w:rPr>
              <w:t>n</w:t>
            </w:r>
            <w:r w:rsidRPr="00537112">
              <w:rPr>
                <w:rFonts w:cs="Verdana"/>
                <w:sz w:val="20"/>
                <w:szCs w:val="20"/>
              </w:rPr>
              <w:t>a</w:t>
            </w:r>
            <w:r w:rsidRPr="00537112">
              <w:rPr>
                <w:rFonts w:cs="Verdana"/>
                <w:spacing w:val="-6"/>
                <w:sz w:val="20"/>
                <w:szCs w:val="20"/>
              </w:rPr>
              <w:t xml:space="preserve"> </w:t>
            </w:r>
            <w:r w:rsidRPr="00537112">
              <w:rPr>
                <w:rFonts w:cs="Verdana"/>
                <w:sz w:val="20"/>
                <w:szCs w:val="20"/>
              </w:rPr>
              <w:t>Ca</w:t>
            </w:r>
            <w:r w:rsidRPr="00537112">
              <w:rPr>
                <w:rFonts w:cs="Verdana"/>
                <w:spacing w:val="3"/>
                <w:sz w:val="20"/>
                <w:szCs w:val="20"/>
              </w:rPr>
              <w:t>l</w:t>
            </w:r>
            <w:r w:rsidRPr="00537112">
              <w:rPr>
                <w:rFonts w:cs="Verdana"/>
                <w:sz w:val="20"/>
                <w:szCs w:val="20"/>
              </w:rPr>
              <w:t>at</w:t>
            </w:r>
            <w:r w:rsidRPr="00537112">
              <w:rPr>
                <w:rFonts w:cs="Verdana"/>
                <w:spacing w:val="-5"/>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24</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S</w:t>
            </w:r>
            <w:r w:rsidRPr="00537112">
              <w:rPr>
                <w:rFonts w:cs="Verdana"/>
                <w:spacing w:val="3"/>
                <w:sz w:val="20"/>
                <w:szCs w:val="20"/>
              </w:rPr>
              <w:t>il</w:t>
            </w:r>
            <w:r w:rsidRPr="00537112">
              <w:rPr>
                <w:rFonts w:cs="Verdana"/>
                <w:sz w:val="20"/>
                <w:szCs w:val="20"/>
              </w:rPr>
              <w:t>v</w:t>
            </w:r>
            <w:r w:rsidRPr="00537112">
              <w:rPr>
                <w:rFonts w:cs="Verdana"/>
                <w:spacing w:val="3"/>
                <w:sz w:val="20"/>
                <w:szCs w:val="20"/>
              </w:rPr>
              <w:t>i</w:t>
            </w:r>
            <w:r w:rsidRPr="00537112">
              <w:rPr>
                <w:rFonts w:cs="Verdana"/>
                <w:sz w:val="20"/>
                <w:szCs w:val="20"/>
              </w:rPr>
              <w:t>a</w:t>
            </w:r>
            <w:r w:rsidRPr="00537112">
              <w:rPr>
                <w:rFonts w:cs="Verdana"/>
                <w:spacing w:val="-5"/>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d</w:t>
            </w:r>
            <w:r w:rsidRPr="00537112">
              <w:rPr>
                <w:rFonts w:cs="Verdana"/>
                <w:sz w:val="20"/>
                <w:szCs w:val="20"/>
              </w:rPr>
              <w:t>e</w:t>
            </w:r>
            <w:r w:rsidRPr="00537112">
              <w:rPr>
                <w:rFonts w:cs="Verdana"/>
                <w:spacing w:val="-4"/>
                <w:sz w:val="20"/>
                <w:szCs w:val="20"/>
              </w:rPr>
              <w:t xml:space="preserve"> </w:t>
            </w:r>
            <w:r w:rsidRPr="00537112">
              <w:rPr>
                <w:rFonts w:cs="Verdana"/>
                <w:sz w:val="20"/>
                <w:szCs w:val="20"/>
              </w:rPr>
              <w:t>Paz</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25</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z w:val="20"/>
                <w:szCs w:val="20"/>
              </w:rPr>
              <w:t>B</w:t>
            </w:r>
            <w:r w:rsidRPr="00537112">
              <w:rPr>
                <w:rFonts w:cs="Verdana"/>
                <w:spacing w:val="-1"/>
                <w:sz w:val="20"/>
                <w:szCs w:val="20"/>
              </w:rPr>
              <w:t>r</w:t>
            </w:r>
            <w:r w:rsidRPr="00537112">
              <w:rPr>
                <w:rFonts w:cs="Verdana"/>
                <w:spacing w:val="1"/>
                <w:sz w:val="20"/>
                <w:szCs w:val="20"/>
              </w:rPr>
              <w:t>un</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a</w:t>
            </w:r>
            <w:r w:rsidRPr="00537112">
              <w:rPr>
                <w:rFonts w:cs="Verdana"/>
                <w:spacing w:val="1"/>
                <w:sz w:val="20"/>
                <w:szCs w:val="20"/>
              </w:rPr>
              <w:t>na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26</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E</w:t>
            </w:r>
            <w:r w:rsidRPr="00537112">
              <w:rPr>
                <w:rFonts w:cs="Verdana"/>
                <w:spacing w:val="1"/>
                <w:sz w:val="20"/>
                <w:szCs w:val="20"/>
              </w:rPr>
              <w:t>u</w:t>
            </w:r>
            <w:r w:rsidRPr="00537112">
              <w:rPr>
                <w:rFonts w:cs="Verdana"/>
                <w:spacing w:val="3"/>
                <w:sz w:val="20"/>
                <w:szCs w:val="20"/>
              </w:rPr>
              <w:t>l</w:t>
            </w:r>
            <w:r w:rsidRPr="00537112">
              <w:rPr>
                <w:rFonts w:cs="Verdana"/>
                <w:sz w:val="20"/>
                <w:szCs w:val="20"/>
              </w:rPr>
              <w:t>a</w:t>
            </w:r>
            <w:r w:rsidRPr="00537112">
              <w:rPr>
                <w:rFonts w:cs="Verdana"/>
                <w:spacing w:val="3"/>
                <w:sz w:val="20"/>
                <w:szCs w:val="20"/>
              </w:rPr>
              <w:t>li</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Su</w:t>
            </w:r>
            <w:r w:rsidRPr="00537112">
              <w:rPr>
                <w:rFonts w:cs="Verdana"/>
                <w:spacing w:val="-1"/>
                <w:sz w:val="20"/>
                <w:szCs w:val="20"/>
              </w:rPr>
              <w:t>c</w:t>
            </w:r>
            <w:r w:rsidRPr="00537112">
              <w:rPr>
                <w:rFonts w:cs="Verdana"/>
                <w:spacing w:val="1"/>
                <w:sz w:val="20"/>
                <w:szCs w:val="20"/>
              </w:rPr>
              <w:t>u</w:t>
            </w:r>
            <w:r w:rsidRPr="00537112">
              <w:rPr>
                <w:rFonts w:cs="Verdana"/>
                <w:sz w:val="20"/>
                <w:szCs w:val="20"/>
              </w:rPr>
              <w:t>p</w:t>
            </w:r>
            <w:r w:rsidRPr="00537112">
              <w:rPr>
                <w:rFonts w:cs="Verdana"/>
                <w:spacing w:val="-6"/>
                <w:sz w:val="20"/>
                <w:szCs w:val="20"/>
              </w:rPr>
              <w:t xml:space="preserve"> </w:t>
            </w:r>
            <w:r w:rsidRPr="00537112">
              <w:rPr>
                <w:rFonts w:cs="Verdana"/>
                <w:sz w:val="20"/>
                <w:szCs w:val="20"/>
              </w:rPr>
              <w:t>M</w:t>
            </w:r>
            <w:r w:rsidRPr="00537112">
              <w:rPr>
                <w:rFonts w:cs="Verdana"/>
                <w:spacing w:val="-1"/>
                <w:sz w:val="20"/>
                <w:szCs w:val="20"/>
              </w:rPr>
              <w:t>e</w:t>
            </w:r>
            <w:r w:rsidRPr="00537112">
              <w:rPr>
                <w:rFonts w:cs="Verdana"/>
                <w:spacing w:val="1"/>
                <w:sz w:val="20"/>
                <w:szCs w:val="20"/>
              </w:rPr>
              <w:t>nd</w:t>
            </w:r>
            <w:r w:rsidRPr="00537112">
              <w:rPr>
                <w:rFonts w:cs="Verdana"/>
                <w:spacing w:val="-1"/>
                <w:sz w:val="20"/>
                <w:szCs w:val="20"/>
              </w:rPr>
              <w:t>o</w:t>
            </w:r>
            <w:r w:rsidRPr="00537112">
              <w:rPr>
                <w:rFonts w:cs="Verdana"/>
                <w:spacing w:val="1"/>
                <w:sz w:val="20"/>
                <w:szCs w:val="20"/>
              </w:rPr>
              <w:t>z</w:t>
            </w:r>
            <w:r w:rsidRPr="00537112">
              <w:rPr>
                <w:rFonts w:cs="Verdana"/>
                <w:sz w:val="20"/>
                <w:szCs w:val="20"/>
              </w:rPr>
              <w:t>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27</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z w:val="20"/>
                <w:szCs w:val="20"/>
              </w:rPr>
              <w:t>Pa</w:t>
            </w:r>
            <w:r w:rsidRPr="00537112">
              <w:rPr>
                <w:rFonts w:cs="Verdana"/>
                <w:spacing w:val="1"/>
                <w:sz w:val="20"/>
                <w:szCs w:val="20"/>
              </w:rPr>
              <w:t>b</w:t>
            </w:r>
            <w:r w:rsidRPr="00537112">
              <w:rPr>
                <w:rFonts w:cs="Verdana"/>
                <w:spacing w:val="3"/>
                <w:sz w:val="20"/>
                <w:szCs w:val="20"/>
              </w:rPr>
              <w:t>l</w:t>
            </w:r>
            <w:r w:rsidRPr="00537112">
              <w:rPr>
                <w:rFonts w:cs="Verdana"/>
                <w:sz w:val="20"/>
                <w:szCs w:val="20"/>
              </w:rPr>
              <w:t>o</w:t>
            </w:r>
            <w:r w:rsidRPr="00537112">
              <w:rPr>
                <w:rFonts w:cs="Verdana"/>
                <w:spacing w:val="-7"/>
                <w:sz w:val="20"/>
                <w:szCs w:val="20"/>
              </w:rPr>
              <w:t xml:space="preserve"> </w:t>
            </w:r>
            <w:r w:rsidRPr="00537112">
              <w:rPr>
                <w:rFonts w:cs="Verdana"/>
                <w:sz w:val="20"/>
                <w:szCs w:val="20"/>
              </w:rPr>
              <w:t>Ca</w:t>
            </w:r>
            <w:r w:rsidRPr="00537112">
              <w:rPr>
                <w:rFonts w:cs="Verdana"/>
                <w:spacing w:val="1"/>
                <w:sz w:val="20"/>
                <w:szCs w:val="20"/>
              </w:rPr>
              <w:t>n</w:t>
            </w:r>
            <w:r w:rsidRPr="00537112">
              <w:rPr>
                <w:rFonts w:cs="Verdana"/>
                <w:sz w:val="20"/>
                <w:szCs w:val="20"/>
              </w:rPr>
              <w:t>a</w:t>
            </w:r>
            <w:r w:rsidRPr="00537112">
              <w:rPr>
                <w:rFonts w:cs="Verdana"/>
                <w:spacing w:val="1"/>
                <w:sz w:val="20"/>
                <w:szCs w:val="20"/>
              </w:rPr>
              <w:t>hu</w:t>
            </w:r>
            <w:r w:rsidRPr="00537112">
              <w:rPr>
                <w:rFonts w:cs="Verdana"/>
                <w:sz w:val="20"/>
                <w:szCs w:val="20"/>
              </w:rPr>
              <w:t>í</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28</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pacing w:val="1"/>
                <w:sz w:val="20"/>
                <w:szCs w:val="20"/>
              </w:rPr>
              <w:t>F</w:t>
            </w:r>
            <w:r w:rsidRPr="00537112">
              <w:rPr>
                <w:rFonts w:cs="Verdana"/>
                <w:spacing w:val="3"/>
                <w:sz w:val="20"/>
                <w:szCs w:val="20"/>
              </w:rPr>
              <w:t>l</w:t>
            </w:r>
            <w:r w:rsidRPr="00537112">
              <w:rPr>
                <w:rFonts w:cs="Verdana"/>
                <w:spacing w:val="-1"/>
                <w:sz w:val="20"/>
                <w:szCs w:val="20"/>
              </w:rPr>
              <w:t>ore</w:t>
            </w:r>
            <w:r w:rsidRPr="00537112">
              <w:rPr>
                <w:rFonts w:cs="Verdana"/>
                <w:spacing w:val="1"/>
                <w:sz w:val="20"/>
                <w:szCs w:val="20"/>
              </w:rPr>
              <w:t>n</w:t>
            </w:r>
            <w:r w:rsidRPr="00537112">
              <w:rPr>
                <w:rFonts w:cs="Verdana"/>
                <w:spacing w:val="-1"/>
                <w:sz w:val="20"/>
                <w:szCs w:val="20"/>
              </w:rPr>
              <w:t>c</w:t>
            </w:r>
            <w:r w:rsidRPr="00537112">
              <w:rPr>
                <w:rFonts w:cs="Verdana"/>
                <w:spacing w:val="3"/>
                <w:sz w:val="20"/>
                <w:szCs w:val="20"/>
              </w:rPr>
              <w:t>i</w:t>
            </w:r>
            <w:r w:rsidRPr="00537112">
              <w:rPr>
                <w:rFonts w:cs="Verdana"/>
                <w:sz w:val="20"/>
                <w:szCs w:val="20"/>
              </w:rPr>
              <w:t>a</w:t>
            </w:r>
            <w:r w:rsidRPr="00537112">
              <w:rPr>
                <w:rFonts w:cs="Verdana"/>
                <w:spacing w:val="-9"/>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r w:rsidRPr="00537112">
              <w:rPr>
                <w:rFonts w:cs="Verdana"/>
                <w:spacing w:val="-6"/>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29</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spacing w:val="-1"/>
                <w:position w:val="-1"/>
                <w:sz w:val="20"/>
                <w:szCs w:val="20"/>
              </w:rPr>
              <w:t>c</w:t>
            </w:r>
            <w:r w:rsidRPr="00537112">
              <w:rPr>
                <w:rFonts w:cs="Verdana"/>
                <w:position w:val="-1"/>
                <w:sz w:val="20"/>
                <w:szCs w:val="20"/>
              </w:rPr>
              <w:t>al</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30</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o</w:t>
            </w:r>
            <w:r w:rsidRPr="00537112">
              <w:rPr>
                <w:rFonts w:cs="Verdana"/>
                <w:spacing w:val="-13"/>
                <w:position w:val="-1"/>
                <w:sz w:val="20"/>
                <w:szCs w:val="20"/>
              </w:rPr>
              <w:t xml:space="preserve"> </w:t>
            </w:r>
            <w:r w:rsidRPr="00537112">
              <w:rPr>
                <w:rFonts w:cs="Verdana"/>
                <w:position w:val="-1"/>
                <w:sz w:val="20"/>
                <w:szCs w:val="20"/>
              </w:rPr>
              <w:t>C</w:t>
            </w:r>
            <w:r w:rsidRPr="00537112">
              <w:rPr>
                <w:rFonts w:cs="Verdana"/>
                <w:spacing w:val="-1"/>
                <w:position w:val="-1"/>
                <w:sz w:val="20"/>
                <w:szCs w:val="20"/>
              </w:rPr>
              <w:t>or</w:t>
            </w:r>
            <w:r w:rsidRPr="00537112">
              <w:rPr>
                <w:rFonts w:cs="Verdana"/>
                <w:position w:val="-1"/>
                <w:sz w:val="20"/>
                <w:szCs w:val="20"/>
              </w:rPr>
              <w:t>a</w:t>
            </w:r>
            <w:r w:rsidRPr="00537112">
              <w:rPr>
                <w:rFonts w:cs="Verdana"/>
                <w:spacing w:val="1"/>
                <w:position w:val="-1"/>
                <w:sz w:val="20"/>
                <w:szCs w:val="20"/>
              </w:rPr>
              <w:t>z</w:t>
            </w:r>
            <w:r w:rsidRPr="00537112">
              <w:rPr>
                <w:rFonts w:cs="Verdana"/>
                <w:spacing w:val="-1"/>
                <w:position w:val="-1"/>
                <w:sz w:val="20"/>
                <w:szCs w:val="20"/>
              </w:rPr>
              <w:t>ó</w:t>
            </w:r>
            <w:r w:rsidRPr="00537112">
              <w:rPr>
                <w:rFonts w:cs="Verdana"/>
                <w:position w:val="-1"/>
                <w:sz w:val="20"/>
                <w:szCs w:val="20"/>
              </w:rPr>
              <w:t>n</w:t>
            </w:r>
            <w:r w:rsidRPr="00537112">
              <w:rPr>
                <w:rFonts w:cs="Verdana"/>
                <w:spacing w:val="-8"/>
                <w:position w:val="-1"/>
                <w:sz w:val="20"/>
                <w:szCs w:val="20"/>
              </w:rPr>
              <w:t xml:space="preserve"> </w:t>
            </w:r>
            <w:r w:rsidRPr="00537112">
              <w:rPr>
                <w:rFonts w:cs="Verdana"/>
                <w:spacing w:val="1"/>
                <w:position w:val="-1"/>
                <w:sz w:val="20"/>
                <w:szCs w:val="20"/>
              </w:rPr>
              <w:t>R</w:t>
            </w:r>
            <w:r w:rsidRPr="00537112">
              <w:rPr>
                <w:rFonts w:cs="Verdana"/>
                <w:position w:val="-1"/>
                <w:sz w:val="20"/>
                <w:szCs w:val="20"/>
              </w:rPr>
              <w:t>ax</w:t>
            </w:r>
            <w:r w:rsidRPr="00537112">
              <w:rPr>
                <w:rFonts w:cs="Verdana"/>
                <w:spacing w:val="-1"/>
                <w:position w:val="-1"/>
                <w:sz w:val="20"/>
                <w:szCs w:val="20"/>
              </w:rPr>
              <w:t>c</w:t>
            </w:r>
            <w:r w:rsidRPr="00537112">
              <w:rPr>
                <w:rFonts w:cs="Verdana"/>
                <w:position w:val="-1"/>
                <w:sz w:val="20"/>
                <w:szCs w:val="20"/>
              </w:rPr>
              <w:t>a</w:t>
            </w:r>
            <w:r w:rsidRPr="00537112">
              <w:rPr>
                <w:rFonts w:cs="Verdana"/>
                <w:spacing w:val="-1"/>
                <w:position w:val="-1"/>
                <w:sz w:val="20"/>
                <w:szCs w:val="20"/>
              </w:rPr>
              <w:t>c</w:t>
            </w:r>
            <w:r w:rsidRPr="00537112">
              <w:rPr>
                <w:rFonts w:cs="Verdana"/>
                <w:position w:val="-1"/>
                <w:sz w:val="20"/>
                <w:szCs w:val="20"/>
              </w:rPr>
              <w:t>ó</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31</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t</w:t>
            </w:r>
            <w:r w:rsidRPr="00537112">
              <w:rPr>
                <w:rFonts w:cs="Verdana"/>
                <w:spacing w:val="-1"/>
                <w:sz w:val="20"/>
                <w:szCs w:val="20"/>
              </w:rPr>
              <w:t>e</w:t>
            </w:r>
            <w:r w:rsidRPr="00537112">
              <w:rPr>
                <w:rFonts w:cs="Verdana"/>
                <w:sz w:val="20"/>
                <w:szCs w:val="20"/>
              </w:rPr>
              <w:t>o</w:t>
            </w:r>
            <w:r w:rsidRPr="00537112">
              <w:rPr>
                <w:rFonts w:cs="Verdana"/>
                <w:spacing w:val="-8"/>
                <w:sz w:val="20"/>
                <w:szCs w:val="20"/>
              </w:rPr>
              <w:t xml:space="preserve"> </w:t>
            </w:r>
            <w:r w:rsidRPr="00537112">
              <w:rPr>
                <w:rFonts w:cs="Verdana"/>
                <w:sz w:val="20"/>
                <w:szCs w:val="20"/>
              </w:rPr>
              <w:t>C</w:t>
            </w:r>
            <w:r w:rsidRPr="00537112">
              <w:rPr>
                <w:rFonts w:cs="Verdana"/>
                <w:spacing w:val="-1"/>
                <w:sz w:val="20"/>
                <w:szCs w:val="20"/>
              </w:rPr>
              <w:t>r</w:t>
            </w:r>
            <w:r w:rsidRPr="00537112">
              <w:rPr>
                <w:rFonts w:cs="Verdana"/>
                <w:spacing w:val="1"/>
                <w:sz w:val="20"/>
                <w:szCs w:val="20"/>
              </w:rPr>
              <w:t>u</w:t>
            </w:r>
            <w:r w:rsidRPr="00537112">
              <w:rPr>
                <w:rFonts w:cs="Verdana"/>
                <w:sz w:val="20"/>
                <w:szCs w:val="20"/>
              </w:rPr>
              <w:t>z</w:t>
            </w:r>
            <w:r w:rsidRPr="00537112">
              <w:rPr>
                <w:rFonts w:cs="Verdana"/>
                <w:spacing w:val="-5"/>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s</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32</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an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33</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spacing w:val="1"/>
                <w:position w:val="-1"/>
                <w:sz w:val="20"/>
                <w:szCs w:val="20"/>
              </w:rPr>
              <w:t>b</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494"/>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5"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90"/>
              <w:jc w:val="center"/>
              <w:textAlignment w:val="auto"/>
              <w:rPr>
                <w:rFonts w:ascii="Times New Roman" w:hAnsi="Times New Roman"/>
              </w:rPr>
            </w:pPr>
            <w:r w:rsidRPr="00537112">
              <w:rPr>
                <w:rFonts w:cs="Verdana"/>
                <w:b/>
                <w:bCs/>
                <w:w w:val="99"/>
                <w:sz w:val="20"/>
                <w:szCs w:val="20"/>
              </w:rPr>
              <w:t>34</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8" w:lineRule="exact"/>
              <w:ind w:right="-20"/>
              <w:jc w:val="left"/>
              <w:textAlignment w:val="auto"/>
              <w:rPr>
                <w:rFonts w:cs="Verdana"/>
                <w:sz w:val="20"/>
                <w:szCs w:val="20"/>
                <w:lang w:val="pt-BR"/>
              </w:rPr>
            </w:pPr>
            <w:r w:rsidRPr="00537112">
              <w:rPr>
                <w:rFonts w:cs="Verdana"/>
                <w:spacing w:val="1"/>
                <w:sz w:val="20"/>
                <w:szCs w:val="20"/>
                <w:lang w:val="pt-BR"/>
              </w:rPr>
              <w:t>R</w:t>
            </w:r>
            <w:r w:rsidRPr="00537112">
              <w:rPr>
                <w:rFonts w:cs="Verdana"/>
                <w:spacing w:val="-1"/>
                <w:sz w:val="20"/>
                <w:szCs w:val="20"/>
                <w:lang w:val="pt-BR"/>
              </w:rPr>
              <w:t>os</w:t>
            </w:r>
            <w:r w:rsidRPr="00537112">
              <w:rPr>
                <w:rFonts w:cs="Verdana"/>
                <w:sz w:val="20"/>
                <w:szCs w:val="20"/>
                <w:lang w:val="pt-BR"/>
              </w:rPr>
              <w:t>a</w:t>
            </w:r>
            <w:r w:rsidRPr="00537112">
              <w:rPr>
                <w:rFonts w:cs="Verdana"/>
                <w:spacing w:val="-5"/>
                <w:sz w:val="20"/>
                <w:szCs w:val="20"/>
                <w:lang w:val="pt-BR"/>
              </w:rPr>
              <w:t xml:space="preserve"> </w:t>
            </w:r>
            <w:r w:rsidRPr="00537112">
              <w:rPr>
                <w:rFonts w:cs="Verdana"/>
                <w:sz w:val="20"/>
                <w:szCs w:val="20"/>
                <w:lang w:val="pt-BR"/>
              </w:rPr>
              <w:t>Ta</w:t>
            </w:r>
            <w:r w:rsidRPr="00537112">
              <w:rPr>
                <w:rFonts w:cs="Verdana"/>
                <w:spacing w:val="1"/>
                <w:sz w:val="20"/>
                <w:szCs w:val="20"/>
                <w:lang w:val="pt-BR"/>
              </w:rPr>
              <w:t>hu</w:t>
            </w:r>
            <w:r w:rsidRPr="00537112">
              <w:rPr>
                <w:rFonts w:cs="Verdana"/>
                <w:spacing w:val="3"/>
                <w:sz w:val="20"/>
                <w:szCs w:val="20"/>
                <w:lang w:val="pt-BR"/>
              </w:rPr>
              <w:t>i</w:t>
            </w:r>
            <w:r w:rsidRPr="00537112">
              <w:rPr>
                <w:rFonts w:cs="Verdana"/>
                <w:spacing w:val="-1"/>
                <w:sz w:val="20"/>
                <w:szCs w:val="20"/>
                <w:lang w:val="pt-BR"/>
              </w:rPr>
              <w:t>c</w:t>
            </w:r>
            <w:r w:rsidRPr="00537112">
              <w:rPr>
                <w:rFonts w:cs="Verdana"/>
                <w:sz w:val="20"/>
                <w:szCs w:val="20"/>
                <w:lang w:val="pt-BR"/>
              </w:rPr>
              <w:t>o</w:t>
            </w:r>
            <w:r w:rsidRPr="00537112">
              <w:rPr>
                <w:rFonts w:cs="Verdana"/>
                <w:spacing w:val="-10"/>
                <w:sz w:val="20"/>
                <w:szCs w:val="20"/>
                <w:lang w:val="pt-BR"/>
              </w:rPr>
              <w:t xml:space="preserve"> </w:t>
            </w:r>
            <w:r w:rsidRPr="00537112">
              <w:rPr>
                <w:rFonts w:cs="Verdana"/>
                <w:sz w:val="20"/>
                <w:szCs w:val="20"/>
                <w:lang w:val="pt-BR"/>
              </w:rPr>
              <w:t>D</w:t>
            </w:r>
            <w:r w:rsidRPr="00537112">
              <w:rPr>
                <w:rFonts w:cs="Verdana"/>
                <w:spacing w:val="-1"/>
                <w:sz w:val="20"/>
                <w:szCs w:val="20"/>
                <w:lang w:val="pt-BR"/>
              </w:rPr>
              <w:t>e</w:t>
            </w:r>
            <w:r w:rsidRPr="00537112">
              <w:rPr>
                <w:rFonts w:cs="Verdana"/>
                <w:spacing w:val="1"/>
                <w:sz w:val="20"/>
                <w:szCs w:val="20"/>
                <w:lang w:val="pt-BR"/>
              </w:rPr>
              <w:t>p</w:t>
            </w:r>
            <w:r w:rsidRPr="00537112">
              <w:rPr>
                <w:rFonts w:cs="Verdana"/>
                <w:sz w:val="20"/>
                <w:szCs w:val="20"/>
                <w:lang w:val="pt-BR"/>
              </w:rPr>
              <w:t>az</w:t>
            </w:r>
            <w:r w:rsidRPr="00537112">
              <w:rPr>
                <w:rFonts w:cs="Verdana"/>
                <w:spacing w:val="-6"/>
                <w:sz w:val="20"/>
                <w:szCs w:val="20"/>
                <w:lang w:val="pt-BR"/>
              </w:rPr>
              <w:t xml:space="preserve"> </w:t>
            </w:r>
            <w:r w:rsidRPr="00537112">
              <w:rPr>
                <w:rFonts w:cs="Verdana"/>
                <w:spacing w:val="1"/>
                <w:sz w:val="20"/>
                <w:szCs w:val="20"/>
                <w:lang w:val="pt-BR"/>
              </w:rPr>
              <w:t>(p</w:t>
            </w:r>
            <w:r w:rsidRPr="00537112">
              <w:rPr>
                <w:rFonts w:cs="Verdana"/>
                <w:spacing w:val="-1"/>
                <w:sz w:val="20"/>
                <w:szCs w:val="20"/>
                <w:lang w:val="pt-BR"/>
              </w:rPr>
              <w:t>res</w:t>
            </w:r>
            <w:r w:rsidRPr="00537112">
              <w:rPr>
                <w:rFonts w:cs="Verdana"/>
                <w:spacing w:val="1"/>
                <w:sz w:val="20"/>
                <w:szCs w:val="20"/>
                <w:lang w:val="pt-BR"/>
              </w:rPr>
              <w:t>unt</w:t>
            </w:r>
            <w:r w:rsidRPr="00537112">
              <w:rPr>
                <w:rFonts w:cs="Verdana"/>
                <w:sz w:val="20"/>
                <w:szCs w:val="20"/>
                <w:lang w:val="pt-BR"/>
              </w:rPr>
              <w:t>a</w:t>
            </w:r>
            <w:r w:rsidRPr="00537112">
              <w:rPr>
                <w:rFonts w:cs="Verdana"/>
                <w:spacing w:val="-10"/>
                <w:sz w:val="20"/>
                <w:szCs w:val="20"/>
                <w:lang w:val="pt-BR"/>
              </w:rPr>
              <w:t xml:space="preserve"> </w:t>
            </w:r>
            <w:r w:rsidRPr="00537112">
              <w:rPr>
                <w:rFonts w:cs="Verdana"/>
                <w:spacing w:val="-1"/>
                <w:sz w:val="20"/>
                <w:szCs w:val="20"/>
                <w:lang w:val="pt-BR"/>
              </w:rPr>
              <w:t>es</w:t>
            </w:r>
            <w:r w:rsidRPr="00537112">
              <w:rPr>
                <w:rFonts w:cs="Verdana"/>
                <w:spacing w:val="1"/>
                <w:sz w:val="20"/>
                <w:szCs w:val="20"/>
                <w:lang w:val="pt-BR"/>
              </w:rPr>
              <w:t>p</w:t>
            </w:r>
            <w:r w:rsidRPr="00537112">
              <w:rPr>
                <w:rFonts w:cs="Verdana"/>
                <w:spacing w:val="-1"/>
                <w:sz w:val="20"/>
                <w:szCs w:val="20"/>
                <w:lang w:val="pt-BR"/>
              </w:rPr>
              <w:t>os</w:t>
            </w:r>
            <w:r w:rsidRPr="00537112">
              <w:rPr>
                <w:rFonts w:cs="Verdana"/>
                <w:sz w:val="20"/>
                <w:szCs w:val="20"/>
                <w:lang w:val="pt-BR"/>
              </w:rPr>
              <w:t>a</w:t>
            </w:r>
            <w:r w:rsidRPr="00537112">
              <w:rPr>
                <w:rFonts w:cs="Verdana"/>
                <w:spacing w:val="-7"/>
                <w:sz w:val="20"/>
                <w:szCs w:val="20"/>
                <w:lang w:val="pt-BR"/>
              </w:rPr>
              <w:t xml:space="preserve"> </w:t>
            </w:r>
            <w:r w:rsidRPr="00537112">
              <w:rPr>
                <w:rFonts w:cs="Verdana"/>
                <w:spacing w:val="1"/>
                <w:sz w:val="20"/>
                <w:szCs w:val="20"/>
                <w:lang w:val="pt-BR"/>
              </w:rPr>
              <w:t>d</w:t>
            </w:r>
            <w:r w:rsidRPr="00537112">
              <w:rPr>
                <w:rFonts w:cs="Verdana"/>
                <w:sz w:val="20"/>
                <w:szCs w:val="20"/>
                <w:lang w:val="pt-BR"/>
              </w:rPr>
              <w:t>e</w:t>
            </w:r>
            <w:r w:rsidRPr="00537112">
              <w:rPr>
                <w:rFonts w:cs="Verdana"/>
                <w:spacing w:val="-4"/>
                <w:sz w:val="20"/>
                <w:szCs w:val="20"/>
                <w:lang w:val="pt-BR"/>
              </w:rPr>
              <w:t xml:space="preserve"> </w:t>
            </w:r>
            <w:r w:rsidRPr="00537112">
              <w:rPr>
                <w:rFonts w:cs="Verdana"/>
                <w:sz w:val="20"/>
                <w:szCs w:val="20"/>
                <w:lang w:val="pt-BR"/>
              </w:rPr>
              <w:t>P</w:t>
            </w:r>
            <w:r w:rsidRPr="00537112">
              <w:rPr>
                <w:rFonts w:cs="Verdana"/>
                <w:spacing w:val="-1"/>
                <w:sz w:val="20"/>
                <w:szCs w:val="20"/>
                <w:lang w:val="pt-BR"/>
              </w:rPr>
              <w:t>e</w:t>
            </w:r>
            <w:r w:rsidRPr="00537112">
              <w:rPr>
                <w:rFonts w:cs="Verdana"/>
                <w:spacing w:val="1"/>
                <w:sz w:val="20"/>
                <w:szCs w:val="20"/>
                <w:lang w:val="pt-BR"/>
              </w:rPr>
              <w:t>d</w:t>
            </w:r>
            <w:r w:rsidRPr="00537112">
              <w:rPr>
                <w:rFonts w:cs="Verdana"/>
                <w:spacing w:val="-1"/>
                <w:sz w:val="20"/>
                <w:szCs w:val="20"/>
                <w:lang w:val="pt-BR"/>
              </w:rPr>
              <w:t>r</w:t>
            </w:r>
            <w:r w:rsidRPr="00537112">
              <w:rPr>
                <w:rFonts w:cs="Verdana"/>
                <w:sz w:val="20"/>
                <w:szCs w:val="20"/>
                <w:lang w:val="pt-BR"/>
              </w:rPr>
              <w:t>o</w:t>
            </w:r>
            <w:r w:rsidRPr="00537112">
              <w:rPr>
                <w:rFonts w:cs="Verdana"/>
                <w:spacing w:val="-8"/>
                <w:sz w:val="20"/>
                <w:szCs w:val="20"/>
                <w:lang w:val="pt-BR"/>
              </w:rPr>
              <w:t xml:space="preserve"> </w:t>
            </w:r>
            <w:r w:rsidRPr="00537112">
              <w:rPr>
                <w:rFonts w:cs="Verdana"/>
                <w:spacing w:val="1"/>
                <w:sz w:val="20"/>
                <w:szCs w:val="20"/>
                <w:lang w:val="pt-BR"/>
              </w:rPr>
              <w:t>d</w:t>
            </w:r>
            <w:r w:rsidRPr="00537112">
              <w:rPr>
                <w:rFonts w:cs="Verdana"/>
                <w:sz w:val="20"/>
                <w:szCs w:val="20"/>
                <w:lang w:val="pt-BR"/>
              </w:rPr>
              <w:t>e</w:t>
            </w:r>
            <w:r w:rsidRPr="00537112">
              <w:rPr>
                <w:rFonts w:cs="Verdana"/>
                <w:spacing w:val="-4"/>
                <w:sz w:val="20"/>
                <w:szCs w:val="20"/>
                <w:lang w:val="pt-BR"/>
              </w:rPr>
              <w:t xml:space="preserve"> </w:t>
            </w:r>
            <w:r w:rsidRPr="00537112">
              <w:rPr>
                <w:rFonts w:cs="Verdana"/>
                <w:sz w:val="20"/>
                <w:szCs w:val="20"/>
                <w:lang w:val="pt-BR"/>
              </w:rPr>
              <w:t>Paz</w:t>
            </w:r>
          </w:p>
          <w:p w:rsidR="00537112" w:rsidRPr="00537112" w:rsidRDefault="00537112" w:rsidP="00537112">
            <w:pPr>
              <w:autoSpaceDE w:val="0"/>
              <w:autoSpaceDN w:val="0"/>
              <w:spacing w:before="16" w:line="229" w:lineRule="exact"/>
              <w:ind w:right="-20"/>
              <w:jc w:val="left"/>
              <w:textAlignment w:val="auto"/>
              <w:rPr>
                <w:rFonts w:ascii="Times New Roman" w:hAnsi="Times New Roman"/>
              </w:rPr>
            </w:pPr>
            <w:r w:rsidRPr="00537112">
              <w:rPr>
                <w:rFonts w:cs="Verdana"/>
                <w:position w:val="-2"/>
                <w:sz w:val="20"/>
                <w:szCs w:val="20"/>
              </w:rPr>
              <w:t>C</w:t>
            </w:r>
            <w:r w:rsidRPr="00537112">
              <w:rPr>
                <w:rFonts w:cs="Verdana"/>
                <w:spacing w:val="3"/>
                <w:position w:val="-2"/>
                <w:sz w:val="20"/>
                <w:szCs w:val="20"/>
              </w:rPr>
              <w:t>i</w:t>
            </w:r>
            <w:r w:rsidRPr="00537112">
              <w:rPr>
                <w:rFonts w:cs="Verdana"/>
                <w:spacing w:val="1"/>
                <w:position w:val="-2"/>
                <w:sz w:val="20"/>
                <w:szCs w:val="20"/>
              </w:rPr>
              <w:t>p</w:t>
            </w:r>
            <w:r w:rsidRPr="00537112">
              <w:rPr>
                <w:rFonts w:cs="Verdana"/>
                <w:spacing w:val="-1"/>
                <w:position w:val="-2"/>
                <w:sz w:val="20"/>
                <w:szCs w:val="20"/>
              </w:rPr>
              <w:t>r</w:t>
            </w:r>
            <w:r w:rsidRPr="00537112">
              <w:rPr>
                <w:rFonts w:cs="Verdana"/>
                <w:spacing w:val="3"/>
                <w:position w:val="-2"/>
                <w:sz w:val="20"/>
                <w:szCs w:val="20"/>
              </w:rPr>
              <w:t>i</w:t>
            </w:r>
            <w:r w:rsidRPr="00537112">
              <w:rPr>
                <w:rFonts w:cs="Verdana"/>
                <w:position w:val="-2"/>
                <w:sz w:val="20"/>
                <w:szCs w:val="20"/>
              </w:rPr>
              <w:t>a</w:t>
            </w:r>
            <w:r w:rsidRPr="00537112">
              <w:rPr>
                <w:rFonts w:cs="Verdana"/>
                <w:spacing w:val="1"/>
                <w:position w:val="-2"/>
                <w:sz w:val="20"/>
                <w:szCs w:val="20"/>
              </w:rPr>
              <w:t>n</w:t>
            </w:r>
            <w:r w:rsidRPr="00537112">
              <w:rPr>
                <w:rFonts w:cs="Verdana"/>
                <w:position w:val="-2"/>
                <w:sz w:val="20"/>
                <w:szCs w:val="20"/>
              </w:rPr>
              <w:t>)</w:t>
            </w:r>
          </w:p>
        </w:tc>
      </w:tr>
      <w:tr w:rsidR="00537112" w:rsidRPr="00537112" w:rsidTr="00630EEC">
        <w:trPr>
          <w:trHeight w:hRule="exact" w:val="494"/>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before="5" w:line="220" w:lineRule="exact"/>
              <w:jc w:val="left"/>
              <w:textAlignment w:val="auto"/>
              <w:rPr>
                <w:rFonts w:ascii="Times New Roman" w:hAnsi="Times New Roman"/>
                <w:sz w:val="22"/>
                <w:szCs w:val="22"/>
              </w:rPr>
            </w:pPr>
          </w:p>
          <w:p w:rsidR="00537112" w:rsidRPr="00537112" w:rsidRDefault="00537112" w:rsidP="00537112">
            <w:pPr>
              <w:autoSpaceDE w:val="0"/>
              <w:autoSpaceDN w:val="0"/>
              <w:spacing w:line="240" w:lineRule="auto"/>
              <w:ind w:right="290"/>
              <w:jc w:val="center"/>
              <w:textAlignment w:val="auto"/>
              <w:rPr>
                <w:rFonts w:ascii="Times New Roman" w:hAnsi="Times New Roman"/>
              </w:rPr>
            </w:pPr>
            <w:r w:rsidRPr="00537112">
              <w:rPr>
                <w:rFonts w:cs="Verdana"/>
                <w:b/>
                <w:bCs/>
                <w:w w:val="99"/>
                <w:sz w:val="20"/>
                <w:szCs w:val="20"/>
              </w:rPr>
              <w:t>35</w:t>
            </w:r>
          </w:p>
        </w:tc>
        <w:tc>
          <w:tcPr>
            <w:tcW w:w="5961"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8" w:lineRule="exact"/>
              <w:ind w:right="-20"/>
              <w:jc w:val="left"/>
              <w:textAlignment w:val="auto"/>
              <w:rPr>
                <w:rFonts w:cs="Verdana"/>
                <w:sz w:val="20"/>
                <w:szCs w:val="20"/>
                <w:lang w:val="pt-BR"/>
              </w:rPr>
            </w:pPr>
            <w:r w:rsidRPr="00537112">
              <w:rPr>
                <w:rFonts w:cs="Verdana"/>
                <w:spacing w:val="-1"/>
                <w:sz w:val="20"/>
                <w:szCs w:val="20"/>
                <w:lang w:val="pt-BR"/>
              </w:rPr>
              <w:t>E</w:t>
            </w:r>
            <w:r w:rsidRPr="00537112">
              <w:rPr>
                <w:rFonts w:cs="Verdana"/>
                <w:spacing w:val="3"/>
                <w:sz w:val="20"/>
                <w:szCs w:val="20"/>
                <w:lang w:val="pt-BR"/>
              </w:rPr>
              <w:t>l</w:t>
            </w:r>
            <w:r w:rsidRPr="00537112">
              <w:rPr>
                <w:rFonts w:cs="Verdana"/>
                <w:sz w:val="20"/>
                <w:szCs w:val="20"/>
                <w:lang w:val="pt-BR"/>
              </w:rPr>
              <w:t>v</w:t>
            </w:r>
            <w:r w:rsidRPr="00537112">
              <w:rPr>
                <w:rFonts w:cs="Verdana"/>
                <w:spacing w:val="3"/>
                <w:sz w:val="20"/>
                <w:szCs w:val="20"/>
                <w:lang w:val="pt-BR"/>
              </w:rPr>
              <w:t>i</w:t>
            </w:r>
            <w:r w:rsidRPr="00537112">
              <w:rPr>
                <w:rFonts w:cs="Verdana"/>
                <w:spacing w:val="-1"/>
                <w:sz w:val="20"/>
                <w:szCs w:val="20"/>
                <w:lang w:val="pt-BR"/>
              </w:rPr>
              <w:t>r</w:t>
            </w:r>
            <w:r w:rsidRPr="00537112">
              <w:rPr>
                <w:rFonts w:cs="Verdana"/>
                <w:sz w:val="20"/>
                <w:szCs w:val="20"/>
                <w:lang w:val="pt-BR"/>
              </w:rPr>
              <w:t>a</w:t>
            </w:r>
            <w:r w:rsidRPr="00537112">
              <w:rPr>
                <w:rFonts w:cs="Verdana"/>
                <w:spacing w:val="-6"/>
                <w:sz w:val="20"/>
                <w:szCs w:val="20"/>
                <w:lang w:val="pt-BR"/>
              </w:rPr>
              <w:t xml:space="preserve"> </w:t>
            </w:r>
            <w:r w:rsidRPr="00537112">
              <w:rPr>
                <w:rFonts w:cs="Verdana"/>
                <w:sz w:val="20"/>
                <w:szCs w:val="20"/>
                <w:lang w:val="pt-BR"/>
              </w:rPr>
              <w:t>D</w:t>
            </w:r>
            <w:r w:rsidRPr="00537112">
              <w:rPr>
                <w:rFonts w:cs="Verdana"/>
                <w:spacing w:val="-1"/>
                <w:sz w:val="20"/>
                <w:szCs w:val="20"/>
                <w:lang w:val="pt-BR"/>
              </w:rPr>
              <w:t>e</w:t>
            </w:r>
            <w:r w:rsidRPr="00537112">
              <w:rPr>
                <w:rFonts w:cs="Verdana"/>
                <w:spacing w:val="1"/>
                <w:sz w:val="20"/>
                <w:szCs w:val="20"/>
                <w:lang w:val="pt-BR"/>
              </w:rPr>
              <w:t>p</w:t>
            </w:r>
            <w:r w:rsidRPr="00537112">
              <w:rPr>
                <w:rFonts w:cs="Verdana"/>
                <w:sz w:val="20"/>
                <w:szCs w:val="20"/>
                <w:lang w:val="pt-BR"/>
              </w:rPr>
              <w:t>az</w:t>
            </w:r>
            <w:r w:rsidRPr="00537112">
              <w:rPr>
                <w:rFonts w:cs="Verdana"/>
                <w:spacing w:val="-6"/>
                <w:sz w:val="20"/>
                <w:szCs w:val="20"/>
                <w:lang w:val="pt-BR"/>
              </w:rPr>
              <w:t xml:space="preserve"> </w:t>
            </w:r>
            <w:r w:rsidRPr="00537112">
              <w:rPr>
                <w:rFonts w:cs="Verdana"/>
                <w:sz w:val="20"/>
                <w:szCs w:val="20"/>
                <w:lang w:val="pt-BR"/>
              </w:rPr>
              <w:t>Ta</w:t>
            </w:r>
            <w:r w:rsidRPr="00537112">
              <w:rPr>
                <w:rFonts w:cs="Verdana"/>
                <w:spacing w:val="1"/>
                <w:sz w:val="20"/>
                <w:szCs w:val="20"/>
                <w:lang w:val="pt-BR"/>
              </w:rPr>
              <w:t>hu</w:t>
            </w:r>
            <w:r w:rsidRPr="00537112">
              <w:rPr>
                <w:rFonts w:cs="Verdana"/>
                <w:spacing w:val="3"/>
                <w:sz w:val="20"/>
                <w:szCs w:val="20"/>
                <w:lang w:val="pt-BR"/>
              </w:rPr>
              <w:t>i</w:t>
            </w:r>
            <w:r w:rsidRPr="00537112">
              <w:rPr>
                <w:rFonts w:cs="Verdana"/>
                <w:spacing w:val="-1"/>
                <w:sz w:val="20"/>
                <w:szCs w:val="20"/>
                <w:lang w:val="pt-BR"/>
              </w:rPr>
              <w:t>c</w:t>
            </w:r>
            <w:r w:rsidRPr="00537112">
              <w:rPr>
                <w:rFonts w:cs="Verdana"/>
                <w:sz w:val="20"/>
                <w:szCs w:val="20"/>
                <w:lang w:val="pt-BR"/>
              </w:rPr>
              <w:t>o</w:t>
            </w:r>
            <w:r w:rsidRPr="00537112">
              <w:rPr>
                <w:rFonts w:cs="Verdana"/>
                <w:spacing w:val="-10"/>
                <w:sz w:val="20"/>
                <w:szCs w:val="20"/>
                <w:lang w:val="pt-BR"/>
              </w:rPr>
              <w:t xml:space="preserve"> </w:t>
            </w:r>
            <w:r w:rsidRPr="00537112">
              <w:rPr>
                <w:rFonts w:cs="Verdana"/>
                <w:spacing w:val="1"/>
                <w:sz w:val="20"/>
                <w:szCs w:val="20"/>
                <w:lang w:val="pt-BR"/>
              </w:rPr>
              <w:t>(p</w:t>
            </w:r>
            <w:r w:rsidRPr="00537112">
              <w:rPr>
                <w:rFonts w:cs="Verdana"/>
                <w:spacing w:val="-1"/>
                <w:sz w:val="20"/>
                <w:szCs w:val="20"/>
                <w:lang w:val="pt-BR"/>
              </w:rPr>
              <w:t>res</w:t>
            </w:r>
            <w:r w:rsidRPr="00537112">
              <w:rPr>
                <w:rFonts w:cs="Verdana"/>
                <w:spacing w:val="1"/>
                <w:sz w:val="20"/>
                <w:szCs w:val="20"/>
                <w:lang w:val="pt-BR"/>
              </w:rPr>
              <w:t>unt</w:t>
            </w:r>
            <w:r w:rsidRPr="00537112">
              <w:rPr>
                <w:rFonts w:cs="Verdana"/>
                <w:sz w:val="20"/>
                <w:szCs w:val="20"/>
                <w:lang w:val="pt-BR"/>
              </w:rPr>
              <w:t>a</w:t>
            </w:r>
            <w:r w:rsidRPr="00537112">
              <w:rPr>
                <w:rFonts w:cs="Verdana"/>
                <w:spacing w:val="-10"/>
                <w:sz w:val="20"/>
                <w:szCs w:val="20"/>
                <w:lang w:val="pt-BR"/>
              </w:rPr>
              <w:t xml:space="preserve"> </w:t>
            </w:r>
            <w:r w:rsidRPr="00537112">
              <w:rPr>
                <w:rFonts w:cs="Verdana"/>
                <w:spacing w:val="1"/>
                <w:sz w:val="20"/>
                <w:szCs w:val="20"/>
                <w:lang w:val="pt-BR"/>
              </w:rPr>
              <w:t>h</w:t>
            </w:r>
            <w:r w:rsidRPr="00537112">
              <w:rPr>
                <w:rFonts w:cs="Verdana"/>
                <w:spacing w:val="3"/>
                <w:sz w:val="20"/>
                <w:szCs w:val="20"/>
                <w:lang w:val="pt-BR"/>
              </w:rPr>
              <w:t>i</w:t>
            </w:r>
            <w:r w:rsidRPr="00537112">
              <w:rPr>
                <w:rFonts w:cs="Verdana"/>
                <w:spacing w:val="1"/>
                <w:sz w:val="20"/>
                <w:szCs w:val="20"/>
                <w:lang w:val="pt-BR"/>
              </w:rPr>
              <w:t>j</w:t>
            </w:r>
            <w:r w:rsidRPr="00537112">
              <w:rPr>
                <w:rFonts w:cs="Verdana"/>
                <w:sz w:val="20"/>
                <w:szCs w:val="20"/>
                <w:lang w:val="pt-BR"/>
              </w:rPr>
              <w:t>a</w:t>
            </w:r>
            <w:r w:rsidRPr="00537112">
              <w:rPr>
                <w:rFonts w:cs="Verdana"/>
                <w:spacing w:val="-4"/>
                <w:sz w:val="20"/>
                <w:szCs w:val="20"/>
                <w:lang w:val="pt-BR"/>
              </w:rPr>
              <w:t xml:space="preserve"> </w:t>
            </w:r>
            <w:r w:rsidRPr="00537112">
              <w:rPr>
                <w:rFonts w:cs="Verdana"/>
                <w:spacing w:val="1"/>
                <w:sz w:val="20"/>
                <w:szCs w:val="20"/>
                <w:lang w:val="pt-BR"/>
              </w:rPr>
              <w:t>d</w:t>
            </w:r>
            <w:r w:rsidRPr="00537112">
              <w:rPr>
                <w:rFonts w:cs="Verdana"/>
                <w:sz w:val="20"/>
                <w:szCs w:val="20"/>
                <w:lang w:val="pt-BR"/>
              </w:rPr>
              <w:t>e</w:t>
            </w:r>
            <w:r w:rsidRPr="00537112">
              <w:rPr>
                <w:rFonts w:cs="Verdana"/>
                <w:spacing w:val="-4"/>
                <w:sz w:val="20"/>
                <w:szCs w:val="20"/>
                <w:lang w:val="pt-BR"/>
              </w:rPr>
              <w:t xml:space="preserve"> </w:t>
            </w:r>
            <w:r w:rsidRPr="00537112">
              <w:rPr>
                <w:rFonts w:cs="Verdana"/>
                <w:sz w:val="20"/>
                <w:szCs w:val="20"/>
                <w:lang w:val="pt-BR"/>
              </w:rPr>
              <w:t>P</w:t>
            </w:r>
            <w:r w:rsidRPr="00537112">
              <w:rPr>
                <w:rFonts w:cs="Verdana"/>
                <w:spacing w:val="-1"/>
                <w:sz w:val="20"/>
                <w:szCs w:val="20"/>
                <w:lang w:val="pt-BR"/>
              </w:rPr>
              <w:t>e</w:t>
            </w:r>
            <w:r w:rsidRPr="00537112">
              <w:rPr>
                <w:rFonts w:cs="Verdana"/>
                <w:spacing w:val="1"/>
                <w:sz w:val="20"/>
                <w:szCs w:val="20"/>
                <w:lang w:val="pt-BR"/>
              </w:rPr>
              <w:t>d</w:t>
            </w:r>
            <w:r w:rsidRPr="00537112">
              <w:rPr>
                <w:rFonts w:cs="Verdana"/>
                <w:spacing w:val="-1"/>
                <w:sz w:val="20"/>
                <w:szCs w:val="20"/>
                <w:lang w:val="pt-BR"/>
              </w:rPr>
              <w:t>r</w:t>
            </w:r>
            <w:r w:rsidRPr="00537112">
              <w:rPr>
                <w:rFonts w:cs="Verdana"/>
                <w:sz w:val="20"/>
                <w:szCs w:val="20"/>
                <w:lang w:val="pt-BR"/>
              </w:rPr>
              <w:t>o</w:t>
            </w:r>
            <w:r w:rsidRPr="00537112">
              <w:rPr>
                <w:rFonts w:cs="Verdana"/>
                <w:spacing w:val="-8"/>
                <w:sz w:val="20"/>
                <w:szCs w:val="20"/>
                <w:lang w:val="pt-BR"/>
              </w:rPr>
              <w:t xml:space="preserve"> </w:t>
            </w:r>
            <w:r w:rsidRPr="00537112">
              <w:rPr>
                <w:rFonts w:cs="Verdana"/>
                <w:spacing w:val="1"/>
                <w:sz w:val="20"/>
                <w:szCs w:val="20"/>
                <w:lang w:val="pt-BR"/>
              </w:rPr>
              <w:t>d</w:t>
            </w:r>
            <w:r w:rsidRPr="00537112">
              <w:rPr>
                <w:rFonts w:cs="Verdana"/>
                <w:sz w:val="20"/>
                <w:szCs w:val="20"/>
                <w:lang w:val="pt-BR"/>
              </w:rPr>
              <w:t>e</w:t>
            </w:r>
            <w:r w:rsidRPr="00537112">
              <w:rPr>
                <w:rFonts w:cs="Verdana"/>
                <w:spacing w:val="-4"/>
                <w:sz w:val="20"/>
                <w:szCs w:val="20"/>
                <w:lang w:val="pt-BR"/>
              </w:rPr>
              <w:t xml:space="preserve"> </w:t>
            </w:r>
            <w:r w:rsidRPr="00537112">
              <w:rPr>
                <w:rFonts w:cs="Verdana"/>
                <w:sz w:val="20"/>
                <w:szCs w:val="20"/>
                <w:lang w:val="pt-BR"/>
              </w:rPr>
              <w:t>Paz</w:t>
            </w:r>
          </w:p>
          <w:p w:rsidR="00537112" w:rsidRPr="00537112" w:rsidRDefault="00537112" w:rsidP="00537112">
            <w:pPr>
              <w:autoSpaceDE w:val="0"/>
              <w:autoSpaceDN w:val="0"/>
              <w:spacing w:before="16" w:line="229" w:lineRule="exact"/>
              <w:ind w:right="-20"/>
              <w:jc w:val="left"/>
              <w:textAlignment w:val="auto"/>
              <w:rPr>
                <w:rFonts w:ascii="Times New Roman" w:hAnsi="Times New Roman"/>
                <w:lang w:val="pt-BR"/>
              </w:rPr>
            </w:pPr>
            <w:r w:rsidRPr="00537112">
              <w:rPr>
                <w:rFonts w:cs="Verdana"/>
                <w:position w:val="-2"/>
                <w:sz w:val="20"/>
                <w:szCs w:val="20"/>
                <w:lang w:val="pt-BR"/>
              </w:rPr>
              <w:t>C</w:t>
            </w:r>
            <w:r w:rsidRPr="00537112">
              <w:rPr>
                <w:rFonts w:cs="Verdana"/>
                <w:spacing w:val="3"/>
                <w:position w:val="-2"/>
                <w:sz w:val="20"/>
                <w:szCs w:val="20"/>
                <w:lang w:val="pt-BR"/>
              </w:rPr>
              <w:t>i</w:t>
            </w:r>
            <w:r w:rsidRPr="00537112">
              <w:rPr>
                <w:rFonts w:cs="Verdana"/>
                <w:spacing w:val="1"/>
                <w:position w:val="-2"/>
                <w:sz w:val="20"/>
                <w:szCs w:val="20"/>
                <w:lang w:val="pt-BR"/>
              </w:rPr>
              <w:t>p</w:t>
            </w:r>
            <w:r w:rsidRPr="00537112">
              <w:rPr>
                <w:rFonts w:cs="Verdana"/>
                <w:spacing w:val="-1"/>
                <w:position w:val="-2"/>
                <w:sz w:val="20"/>
                <w:szCs w:val="20"/>
                <w:lang w:val="pt-BR"/>
              </w:rPr>
              <w:t>r</w:t>
            </w:r>
            <w:r w:rsidRPr="00537112">
              <w:rPr>
                <w:rFonts w:cs="Verdana"/>
                <w:spacing w:val="3"/>
                <w:position w:val="-2"/>
                <w:sz w:val="20"/>
                <w:szCs w:val="20"/>
                <w:lang w:val="pt-BR"/>
              </w:rPr>
              <w:t>i</w:t>
            </w:r>
            <w:r w:rsidRPr="00537112">
              <w:rPr>
                <w:rFonts w:cs="Verdana"/>
                <w:position w:val="-2"/>
                <w:sz w:val="20"/>
                <w:szCs w:val="20"/>
                <w:lang w:val="pt-BR"/>
              </w:rPr>
              <w:t>a</w:t>
            </w:r>
            <w:r w:rsidRPr="00537112">
              <w:rPr>
                <w:rFonts w:cs="Verdana"/>
                <w:spacing w:val="1"/>
                <w:position w:val="-2"/>
                <w:sz w:val="20"/>
                <w:szCs w:val="20"/>
                <w:lang w:val="pt-BR"/>
              </w:rPr>
              <w:t>n</w:t>
            </w:r>
            <w:r w:rsidRPr="00537112">
              <w:rPr>
                <w:rFonts w:cs="Verdana"/>
                <w:position w:val="-2"/>
                <w:sz w:val="20"/>
                <w:szCs w:val="20"/>
                <w:lang w:val="pt-BR"/>
              </w:rPr>
              <w:t>)</w:t>
            </w:r>
          </w:p>
        </w:tc>
      </w:tr>
    </w:tbl>
    <w:p w:rsidR="00537112" w:rsidRPr="00537112" w:rsidRDefault="00537112" w:rsidP="00537112">
      <w:pPr>
        <w:autoSpaceDE w:val="0"/>
        <w:autoSpaceDN w:val="0"/>
        <w:spacing w:line="240" w:lineRule="auto"/>
        <w:jc w:val="left"/>
        <w:textAlignment w:val="auto"/>
        <w:rPr>
          <w:rFonts w:ascii="Times New Roman" w:hAnsi="Times New Roman"/>
          <w:lang w:val="pt-BR"/>
        </w:rPr>
        <w:sectPr w:rsidR="00537112" w:rsidRPr="00537112">
          <w:headerReference w:type="default" r:id="rId22"/>
          <w:pgSz w:w="12260" w:h="15840"/>
          <w:pgMar w:top="1340" w:right="1720" w:bottom="280" w:left="980" w:header="0" w:footer="0" w:gutter="0"/>
          <w:cols w:space="720" w:equalWidth="0">
            <w:col w:w="9560"/>
          </w:cols>
          <w:noEndnote/>
        </w:sectPr>
      </w:pPr>
    </w:p>
    <w:tbl>
      <w:tblPr>
        <w:tblW w:w="0" w:type="auto"/>
        <w:tblInd w:w="109" w:type="dxa"/>
        <w:tblLayout w:type="fixed"/>
        <w:tblCellMar>
          <w:left w:w="0" w:type="dxa"/>
          <w:right w:w="0" w:type="dxa"/>
        </w:tblCellMar>
        <w:tblLook w:val="0000" w:firstRow="0" w:lastRow="0" w:firstColumn="0" w:lastColumn="0" w:noHBand="0" w:noVBand="0"/>
      </w:tblPr>
      <w:tblGrid>
        <w:gridCol w:w="1010"/>
        <w:gridCol w:w="5503"/>
      </w:tblGrid>
      <w:tr w:rsidR="00537112" w:rsidRPr="00537112" w:rsidTr="00630EEC">
        <w:trPr>
          <w:trHeight w:hRule="exact" w:val="1279"/>
        </w:trPr>
        <w:tc>
          <w:tcPr>
            <w:tcW w:w="6513" w:type="dxa"/>
            <w:gridSpan w:val="2"/>
            <w:tcBorders>
              <w:top w:val="single" w:sz="16" w:space="0" w:color="000000"/>
              <w:left w:val="single" w:sz="16" w:space="0" w:color="000000"/>
              <w:bottom w:val="single" w:sz="16" w:space="0" w:color="000000"/>
              <w:right w:val="single" w:sz="16" w:space="0" w:color="000000"/>
            </w:tcBorders>
            <w:shd w:val="clear" w:color="auto" w:fill="C0C0C0"/>
          </w:tcPr>
          <w:p w:rsidR="00537112" w:rsidRPr="00537112" w:rsidRDefault="00537112" w:rsidP="00537112">
            <w:pPr>
              <w:autoSpaceDE w:val="0"/>
              <w:autoSpaceDN w:val="0"/>
              <w:spacing w:before="34" w:line="262" w:lineRule="auto"/>
              <w:ind w:right="587"/>
              <w:jc w:val="center"/>
              <w:textAlignment w:val="auto"/>
              <w:rPr>
                <w:rFonts w:ascii="Times New Roman" w:hAnsi="Times New Roman"/>
              </w:rPr>
            </w:pPr>
            <w:r w:rsidRPr="00537112">
              <w:rPr>
                <w:rFonts w:cs="Verdana"/>
                <w:b/>
                <w:bCs/>
                <w:spacing w:val="-1"/>
                <w:sz w:val="22"/>
                <w:szCs w:val="22"/>
              </w:rPr>
              <w:lastRenderedPageBreak/>
              <w:t>A</w:t>
            </w:r>
            <w:r w:rsidRPr="00537112">
              <w:rPr>
                <w:rFonts w:cs="Verdana"/>
                <w:b/>
                <w:bCs/>
                <w:sz w:val="22"/>
                <w:szCs w:val="22"/>
              </w:rPr>
              <w:t>NE</w:t>
            </w:r>
            <w:r w:rsidRPr="00537112">
              <w:rPr>
                <w:rFonts w:cs="Verdana"/>
                <w:b/>
                <w:bCs/>
                <w:spacing w:val="-1"/>
                <w:sz w:val="22"/>
                <w:szCs w:val="22"/>
              </w:rPr>
              <w:t>X</w:t>
            </w:r>
            <w:r w:rsidRPr="00537112">
              <w:rPr>
                <w:rFonts w:cs="Verdana"/>
                <w:b/>
                <w:bCs/>
                <w:sz w:val="22"/>
                <w:szCs w:val="22"/>
              </w:rPr>
              <w:t>O</w:t>
            </w:r>
            <w:r w:rsidRPr="00537112">
              <w:rPr>
                <w:rFonts w:cs="Verdana"/>
                <w:b/>
                <w:bCs/>
                <w:spacing w:val="-1"/>
                <w:sz w:val="22"/>
                <w:szCs w:val="22"/>
              </w:rPr>
              <w:t xml:space="preserve"> IV</w:t>
            </w:r>
            <w:r w:rsidRPr="00537112">
              <w:rPr>
                <w:rFonts w:cs="Verdana"/>
                <w:b/>
                <w:bCs/>
                <w:sz w:val="22"/>
                <w:szCs w:val="22"/>
              </w:rPr>
              <w:t>.</w:t>
            </w:r>
            <w:r w:rsidRPr="00537112">
              <w:rPr>
                <w:rFonts w:cs="Verdana"/>
                <w:b/>
                <w:bCs/>
                <w:spacing w:val="-1"/>
                <w:sz w:val="22"/>
                <w:szCs w:val="22"/>
              </w:rPr>
              <w:t xml:space="preserve"> </w:t>
            </w:r>
            <w:r w:rsidRPr="00537112">
              <w:rPr>
                <w:rFonts w:cs="Verdana"/>
                <w:b/>
                <w:bCs/>
                <w:spacing w:val="1"/>
                <w:sz w:val="22"/>
                <w:szCs w:val="22"/>
              </w:rPr>
              <w:t>L</w:t>
            </w:r>
            <w:r w:rsidRPr="00537112">
              <w:rPr>
                <w:rFonts w:cs="Verdana"/>
                <w:b/>
                <w:bCs/>
                <w:sz w:val="22"/>
                <w:szCs w:val="22"/>
              </w:rPr>
              <w:t>OS</w:t>
            </w:r>
            <w:r w:rsidRPr="00537112">
              <w:rPr>
                <w:rFonts w:cs="Verdana"/>
                <w:b/>
                <w:bCs/>
                <w:spacing w:val="-1"/>
                <w:sz w:val="22"/>
                <w:szCs w:val="22"/>
              </w:rPr>
              <w:t xml:space="preserve"> </w:t>
            </w:r>
            <w:r w:rsidRPr="00537112">
              <w:rPr>
                <w:rFonts w:cs="Verdana"/>
                <w:b/>
                <w:bCs/>
                <w:sz w:val="22"/>
                <w:szCs w:val="22"/>
              </w:rPr>
              <w:t>RE</w:t>
            </w:r>
            <w:r w:rsidRPr="00537112">
              <w:rPr>
                <w:rFonts w:cs="Verdana"/>
                <w:b/>
                <w:bCs/>
                <w:spacing w:val="-1"/>
                <w:sz w:val="22"/>
                <w:szCs w:val="22"/>
              </w:rPr>
              <w:t>P</w:t>
            </w:r>
            <w:r w:rsidRPr="00537112">
              <w:rPr>
                <w:rFonts w:cs="Verdana"/>
                <w:b/>
                <w:bCs/>
                <w:sz w:val="22"/>
                <w:szCs w:val="22"/>
              </w:rPr>
              <w:t>RE</w:t>
            </w:r>
            <w:r w:rsidRPr="00537112">
              <w:rPr>
                <w:rFonts w:cs="Verdana"/>
                <w:b/>
                <w:bCs/>
                <w:spacing w:val="-1"/>
                <w:sz w:val="22"/>
                <w:szCs w:val="22"/>
              </w:rPr>
              <w:t>S</w:t>
            </w:r>
            <w:r w:rsidRPr="00537112">
              <w:rPr>
                <w:rFonts w:cs="Verdana"/>
                <w:b/>
                <w:bCs/>
                <w:sz w:val="22"/>
                <w:szCs w:val="22"/>
              </w:rPr>
              <w:t>EN</w:t>
            </w:r>
            <w:r w:rsidRPr="00537112">
              <w:rPr>
                <w:rFonts w:cs="Verdana"/>
                <w:b/>
                <w:bCs/>
                <w:spacing w:val="1"/>
                <w:sz w:val="22"/>
                <w:szCs w:val="22"/>
              </w:rPr>
              <w:t>T</w:t>
            </w:r>
            <w:r w:rsidRPr="00537112">
              <w:rPr>
                <w:rFonts w:cs="Verdana"/>
                <w:b/>
                <w:bCs/>
                <w:spacing w:val="-1"/>
                <w:sz w:val="22"/>
                <w:szCs w:val="22"/>
              </w:rPr>
              <w:t>A</w:t>
            </w:r>
            <w:r w:rsidRPr="00537112">
              <w:rPr>
                <w:rFonts w:cs="Verdana"/>
                <w:b/>
                <w:bCs/>
                <w:sz w:val="22"/>
                <w:szCs w:val="22"/>
              </w:rPr>
              <w:t>N</w:t>
            </w:r>
            <w:r w:rsidRPr="00537112">
              <w:rPr>
                <w:rFonts w:cs="Verdana"/>
                <w:b/>
                <w:bCs/>
                <w:spacing w:val="1"/>
                <w:sz w:val="22"/>
                <w:szCs w:val="22"/>
              </w:rPr>
              <w:t>T</w:t>
            </w:r>
            <w:r w:rsidRPr="00537112">
              <w:rPr>
                <w:rFonts w:cs="Verdana"/>
                <w:b/>
                <w:bCs/>
                <w:sz w:val="22"/>
                <w:szCs w:val="22"/>
              </w:rPr>
              <w:t>ES</w:t>
            </w:r>
            <w:r w:rsidRPr="00537112">
              <w:rPr>
                <w:rFonts w:cs="Verdana"/>
                <w:b/>
                <w:bCs/>
                <w:spacing w:val="-1"/>
                <w:sz w:val="22"/>
                <w:szCs w:val="22"/>
              </w:rPr>
              <w:t xml:space="preserve"> </w:t>
            </w:r>
            <w:r w:rsidRPr="00537112">
              <w:rPr>
                <w:rFonts w:cs="Verdana"/>
                <w:b/>
                <w:bCs/>
                <w:sz w:val="22"/>
                <w:szCs w:val="22"/>
              </w:rPr>
              <w:t>NO E</w:t>
            </w:r>
            <w:r w:rsidRPr="00537112">
              <w:rPr>
                <w:rFonts w:cs="Verdana"/>
                <w:b/>
                <w:bCs/>
                <w:spacing w:val="-1"/>
                <w:sz w:val="22"/>
                <w:szCs w:val="22"/>
              </w:rPr>
              <w:t>SP</w:t>
            </w:r>
            <w:r w:rsidRPr="00537112">
              <w:rPr>
                <w:rFonts w:cs="Verdana"/>
                <w:b/>
                <w:bCs/>
                <w:sz w:val="22"/>
                <w:szCs w:val="22"/>
              </w:rPr>
              <w:t>E</w:t>
            </w:r>
            <w:r w:rsidRPr="00537112">
              <w:rPr>
                <w:rFonts w:cs="Verdana"/>
                <w:b/>
                <w:bCs/>
                <w:spacing w:val="1"/>
                <w:sz w:val="22"/>
                <w:szCs w:val="22"/>
              </w:rPr>
              <w:t>C</w:t>
            </w:r>
            <w:r w:rsidRPr="00537112">
              <w:rPr>
                <w:rFonts w:cs="Verdana"/>
                <w:b/>
                <w:bCs/>
                <w:spacing w:val="-1"/>
                <w:sz w:val="22"/>
                <w:szCs w:val="22"/>
              </w:rPr>
              <w:t>I</w:t>
            </w:r>
            <w:r w:rsidRPr="00537112">
              <w:rPr>
                <w:rFonts w:cs="Verdana"/>
                <w:b/>
                <w:bCs/>
                <w:sz w:val="22"/>
                <w:szCs w:val="22"/>
              </w:rPr>
              <w:t>F</w:t>
            </w:r>
            <w:r w:rsidRPr="00537112">
              <w:rPr>
                <w:rFonts w:cs="Verdana"/>
                <w:b/>
                <w:bCs/>
                <w:spacing w:val="-1"/>
                <w:sz w:val="22"/>
                <w:szCs w:val="22"/>
              </w:rPr>
              <w:t>I</w:t>
            </w:r>
            <w:r w:rsidRPr="00537112">
              <w:rPr>
                <w:rFonts w:cs="Verdana"/>
                <w:b/>
                <w:bCs/>
                <w:spacing w:val="1"/>
                <w:sz w:val="22"/>
                <w:szCs w:val="22"/>
              </w:rPr>
              <w:t>C</w:t>
            </w:r>
            <w:r w:rsidRPr="00537112">
              <w:rPr>
                <w:rFonts w:cs="Verdana"/>
                <w:b/>
                <w:bCs/>
                <w:spacing w:val="-1"/>
                <w:sz w:val="22"/>
                <w:szCs w:val="22"/>
              </w:rPr>
              <w:t>A</w:t>
            </w:r>
            <w:r w:rsidRPr="00537112">
              <w:rPr>
                <w:rFonts w:cs="Verdana"/>
                <w:b/>
                <w:bCs/>
                <w:sz w:val="22"/>
                <w:szCs w:val="22"/>
              </w:rPr>
              <w:t xml:space="preserve">RON </w:t>
            </w:r>
            <w:r w:rsidRPr="00537112">
              <w:rPr>
                <w:rFonts w:cs="Verdana"/>
                <w:b/>
                <w:bCs/>
                <w:spacing w:val="-1"/>
                <w:sz w:val="22"/>
                <w:szCs w:val="22"/>
              </w:rPr>
              <w:t>S</w:t>
            </w:r>
            <w:r w:rsidRPr="00537112">
              <w:rPr>
                <w:rFonts w:cs="Verdana"/>
                <w:b/>
                <w:bCs/>
                <w:sz w:val="22"/>
                <w:szCs w:val="22"/>
              </w:rPr>
              <w:t>I</w:t>
            </w:r>
            <w:r w:rsidRPr="00537112">
              <w:rPr>
                <w:rFonts w:cs="Verdana"/>
                <w:b/>
                <w:bCs/>
                <w:spacing w:val="-1"/>
                <w:sz w:val="22"/>
                <w:szCs w:val="22"/>
              </w:rPr>
              <w:t xml:space="preserve"> </w:t>
            </w:r>
            <w:r w:rsidRPr="00537112">
              <w:rPr>
                <w:rFonts w:cs="Verdana"/>
                <w:b/>
                <w:bCs/>
                <w:sz w:val="22"/>
                <w:szCs w:val="22"/>
              </w:rPr>
              <w:t>E</w:t>
            </w:r>
            <w:r w:rsidRPr="00537112">
              <w:rPr>
                <w:rFonts w:cs="Verdana"/>
                <w:b/>
                <w:bCs/>
                <w:spacing w:val="-1"/>
                <w:sz w:val="22"/>
                <w:szCs w:val="22"/>
              </w:rPr>
              <w:t>S</w:t>
            </w:r>
            <w:r w:rsidRPr="00537112">
              <w:rPr>
                <w:rFonts w:cs="Verdana"/>
                <w:b/>
                <w:bCs/>
                <w:spacing w:val="1"/>
                <w:sz w:val="22"/>
                <w:szCs w:val="22"/>
              </w:rPr>
              <w:t>T</w:t>
            </w:r>
            <w:r w:rsidRPr="00537112">
              <w:rPr>
                <w:rFonts w:cs="Verdana"/>
                <w:b/>
                <w:bCs/>
                <w:spacing w:val="-1"/>
                <w:sz w:val="22"/>
                <w:szCs w:val="22"/>
              </w:rPr>
              <w:t>A</w:t>
            </w:r>
            <w:r w:rsidRPr="00537112">
              <w:rPr>
                <w:rFonts w:cs="Verdana"/>
                <w:b/>
                <w:bCs/>
                <w:sz w:val="22"/>
                <w:szCs w:val="22"/>
              </w:rPr>
              <w:t>S</w:t>
            </w:r>
            <w:r w:rsidRPr="00537112">
              <w:rPr>
                <w:rFonts w:cs="Verdana"/>
                <w:b/>
                <w:bCs/>
                <w:spacing w:val="-2"/>
                <w:sz w:val="22"/>
                <w:szCs w:val="22"/>
              </w:rPr>
              <w:t xml:space="preserve"> </w:t>
            </w:r>
            <w:r w:rsidRPr="00537112">
              <w:rPr>
                <w:rFonts w:cs="Verdana"/>
                <w:b/>
                <w:bCs/>
                <w:spacing w:val="-1"/>
                <w:sz w:val="22"/>
                <w:szCs w:val="22"/>
              </w:rPr>
              <w:t>P</w:t>
            </w:r>
            <w:r w:rsidRPr="00537112">
              <w:rPr>
                <w:rFonts w:cs="Verdana"/>
                <w:b/>
                <w:bCs/>
                <w:sz w:val="22"/>
                <w:szCs w:val="22"/>
              </w:rPr>
              <w:t>ER</w:t>
            </w:r>
            <w:r w:rsidRPr="00537112">
              <w:rPr>
                <w:rFonts w:cs="Verdana"/>
                <w:b/>
                <w:bCs/>
                <w:spacing w:val="-1"/>
                <w:sz w:val="22"/>
                <w:szCs w:val="22"/>
              </w:rPr>
              <w:t>S</w:t>
            </w:r>
            <w:r w:rsidRPr="00537112">
              <w:rPr>
                <w:rFonts w:cs="Verdana"/>
                <w:b/>
                <w:bCs/>
                <w:sz w:val="22"/>
                <w:szCs w:val="22"/>
              </w:rPr>
              <w:t>ON</w:t>
            </w:r>
            <w:r w:rsidRPr="00537112">
              <w:rPr>
                <w:rFonts w:cs="Verdana"/>
                <w:b/>
                <w:bCs/>
                <w:spacing w:val="-1"/>
                <w:sz w:val="22"/>
                <w:szCs w:val="22"/>
              </w:rPr>
              <w:t>AS P</w:t>
            </w:r>
            <w:r w:rsidRPr="00537112">
              <w:rPr>
                <w:rFonts w:cs="Verdana"/>
                <w:b/>
                <w:bCs/>
                <w:sz w:val="22"/>
                <w:szCs w:val="22"/>
              </w:rPr>
              <w:t>ERM</w:t>
            </w:r>
            <w:r w:rsidRPr="00537112">
              <w:rPr>
                <w:rFonts w:cs="Verdana"/>
                <w:b/>
                <w:bCs/>
                <w:spacing w:val="-1"/>
                <w:sz w:val="22"/>
                <w:szCs w:val="22"/>
              </w:rPr>
              <w:t>A</w:t>
            </w:r>
            <w:r w:rsidRPr="00537112">
              <w:rPr>
                <w:rFonts w:cs="Verdana"/>
                <w:b/>
                <w:bCs/>
                <w:sz w:val="22"/>
                <w:szCs w:val="22"/>
              </w:rPr>
              <w:t>NE</w:t>
            </w:r>
            <w:r w:rsidRPr="00537112">
              <w:rPr>
                <w:rFonts w:cs="Verdana"/>
                <w:b/>
                <w:bCs/>
                <w:spacing w:val="1"/>
                <w:sz w:val="22"/>
                <w:szCs w:val="22"/>
              </w:rPr>
              <w:t>C</w:t>
            </w:r>
            <w:r w:rsidRPr="00537112">
              <w:rPr>
                <w:rFonts w:cs="Verdana"/>
                <w:b/>
                <w:bCs/>
                <w:spacing w:val="-1"/>
                <w:sz w:val="22"/>
                <w:szCs w:val="22"/>
              </w:rPr>
              <w:t>I</w:t>
            </w:r>
            <w:r w:rsidRPr="00537112">
              <w:rPr>
                <w:rFonts w:cs="Verdana"/>
                <w:b/>
                <w:bCs/>
                <w:sz w:val="22"/>
                <w:szCs w:val="22"/>
              </w:rPr>
              <w:t xml:space="preserve">ERON </w:t>
            </w:r>
            <w:r w:rsidRPr="00537112">
              <w:rPr>
                <w:rFonts w:cs="Verdana"/>
                <w:b/>
                <w:bCs/>
                <w:spacing w:val="-1"/>
                <w:sz w:val="22"/>
                <w:szCs w:val="22"/>
              </w:rPr>
              <w:t>D</w:t>
            </w:r>
            <w:r w:rsidRPr="00537112">
              <w:rPr>
                <w:rFonts w:cs="Verdana"/>
                <w:b/>
                <w:bCs/>
                <w:sz w:val="22"/>
                <w:szCs w:val="22"/>
              </w:rPr>
              <w:t>E</w:t>
            </w:r>
            <w:r w:rsidRPr="00537112">
              <w:rPr>
                <w:rFonts w:cs="Verdana"/>
                <w:b/>
                <w:bCs/>
                <w:spacing w:val="-1"/>
                <w:sz w:val="22"/>
                <w:szCs w:val="22"/>
              </w:rPr>
              <w:t>SP</w:t>
            </w:r>
            <w:r w:rsidRPr="00537112">
              <w:rPr>
                <w:rFonts w:cs="Verdana"/>
                <w:b/>
                <w:bCs/>
                <w:spacing w:val="1"/>
                <w:sz w:val="22"/>
                <w:szCs w:val="22"/>
              </w:rPr>
              <w:t>L</w:t>
            </w:r>
            <w:r w:rsidRPr="00537112">
              <w:rPr>
                <w:rFonts w:cs="Verdana"/>
                <w:b/>
                <w:bCs/>
                <w:spacing w:val="-1"/>
                <w:sz w:val="22"/>
                <w:szCs w:val="22"/>
              </w:rPr>
              <w:t>A</w:t>
            </w:r>
            <w:r w:rsidRPr="00537112">
              <w:rPr>
                <w:rFonts w:cs="Verdana"/>
                <w:b/>
                <w:bCs/>
                <w:spacing w:val="1"/>
                <w:sz w:val="22"/>
                <w:szCs w:val="22"/>
              </w:rPr>
              <w:t>Z</w:t>
            </w:r>
            <w:r w:rsidRPr="00537112">
              <w:rPr>
                <w:rFonts w:cs="Verdana"/>
                <w:b/>
                <w:bCs/>
                <w:spacing w:val="-1"/>
                <w:sz w:val="22"/>
                <w:szCs w:val="22"/>
              </w:rPr>
              <w:t>ADA</w:t>
            </w:r>
            <w:r w:rsidRPr="00537112">
              <w:rPr>
                <w:rFonts w:cs="Verdana"/>
                <w:b/>
                <w:bCs/>
                <w:sz w:val="22"/>
                <w:szCs w:val="22"/>
              </w:rPr>
              <w:t>S</w:t>
            </w:r>
            <w:r w:rsidRPr="00537112">
              <w:rPr>
                <w:rFonts w:cs="Verdana"/>
                <w:b/>
                <w:bCs/>
                <w:spacing w:val="-2"/>
                <w:sz w:val="22"/>
                <w:szCs w:val="22"/>
              </w:rPr>
              <w:t xml:space="preserve"> </w:t>
            </w:r>
            <w:r w:rsidRPr="00537112">
              <w:rPr>
                <w:rFonts w:cs="Verdana"/>
                <w:b/>
                <w:bCs/>
                <w:spacing w:val="1"/>
                <w:sz w:val="22"/>
                <w:szCs w:val="22"/>
              </w:rPr>
              <w:t>C</w:t>
            </w:r>
            <w:r w:rsidRPr="00537112">
              <w:rPr>
                <w:rFonts w:cs="Verdana"/>
                <w:b/>
                <w:bCs/>
                <w:sz w:val="22"/>
                <w:szCs w:val="22"/>
              </w:rPr>
              <w:t xml:space="preserve">ON </w:t>
            </w:r>
            <w:r w:rsidRPr="00537112">
              <w:rPr>
                <w:rFonts w:cs="Verdana"/>
                <w:b/>
                <w:bCs/>
                <w:spacing w:val="-1"/>
                <w:sz w:val="22"/>
                <w:szCs w:val="22"/>
              </w:rPr>
              <w:t>P</w:t>
            </w:r>
            <w:r w:rsidRPr="00537112">
              <w:rPr>
                <w:rFonts w:cs="Verdana"/>
                <w:b/>
                <w:bCs/>
                <w:sz w:val="22"/>
                <w:szCs w:val="22"/>
              </w:rPr>
              <w:t>O</w:t>
            </w:r>
            <w:r w:rsidRPr="00537112">
              <w:rPr>
                <w:rFonts w:cs="Verdana"/>
                <w:b/>
                <w:bCs/>
                <w:spacing w:val="-1"/>
                <w:sz w:val="22"/>
                <w:szCs w:val="22"/>
              </w:rPr>
              <w:t>S</w:t>
            </w:r>
            <w:r w:rsidRPr="00537112">
              <w:rPr>
                <w:rFonts w:cs="Verdana"/>
                <w:b/>
                <w:bCs/>
                <w:spacing w:val="1"/>
                <w:sz w:val="22"/>
                <w:szCs w:val="22"/>
              </w:rPr>
              <w:t>T</w:t>
            </w:r>
            <w:r w:rsidRPr="00537112">
              <w:rPr>
                <w:rFonts w:cs="Verdana"/>
                <w:b/>
                <w:bCs/>
                <w:sz w:val="22"/>
                <w:szCs w:val="22"/>
              </w:rPr>
              <w:t>ER</w:t>
            </w:r>
            <w:r w:rsidRPr="00537112">
              <w:rPr>
                <w:rFonts w:cs="Verdana"/>
                <w:b/>
                <w:bCs/>
                <w:spacing w:val="-1"/>
                <w:sz w:val="22"/>
                <w:szCs w:val="22"/>
              </w:rPr>
              <w:t>I</w:t>
            </w:r>
            <w:r w:rsidRPr="00537112">
              <w:rPr>
                <w:rFonts w:cs="Verdana"/>
                <w:b/>
                <w:bCs/>
                <w:sz w:val="22"/>
                <w:szCs w:val="22"/>
              </w:rPr>
              <w:t>OR</w:t>
            </w:r>
            <w:r w:rsidRPr="00537112">
              <w:rPr>
                <w:rFonts w:cs="Verdana"/>
                <w:b/>
                <w:bCs/>
                <w:spacing w:val="-1"/>
                <w:sz w:val="22"/>
                <w:szCs w:val="22"/>
              </w:rPr>
              <w:t>IDA</w:t>
            </w:r>
            <w:r w:rsidRPr="00537112">
              <w:rPr>
                <w:rFonts w:cs="Verdana"/>
                <w:b/>
                <w:bCs/>
                <w:sz w:val="22"/>
                <w:szCs w:val="22"/>
              </w:rPr>
              <w:t>D</w:t>
            </w:r>
            <w:r w:rsidRPr="00537112">
              <w:rPr>
                <w:rFonts w:cs="Verdana"/>
                <w:b/>
                <w:bCs/>
                <w:spacing w:val="-2"/>
                <w:sz w:val="22"/>
                <w:szCs w:val="22"/>
              </w:rPr>
              <w:t xml:space="preserve"> </w:t>
            </w:r>
            <w:r w:rsidRPr="00537112">
              <w:rPr>
                <w:rFonts w:cs="Verdana"/>
                <w:b/>
                <w:bCs/>
                <w:spacing w:val="-1"/>
                <w:sz w:val="22"/>
                <w:szCs w:val="22"/>
              </w:rPr>
              <w:t>A</w:t>
            </w:r>
            <w:r w:rsidRPr="00537112">
              <w:rPr>
                <w:rFonts w:cs="Verdana"/>
                <w:b/>
                <w:bCs/>
                <w:sz w:val="22"/>
                <w:szCs w:val="22"/>
              </w:rPr>
              <w:t>L 8</w:t>
            </w:r>
            <w:r w:rsidRPr="00537112">
              <w:rPr>
                <w:rFonts w:cs="Verdana"/>
                <w:b/>
                <w:bCs/>
                <w:spacing w:val="-2"/>
                <w:sz w:val="22"/>
                <w:szCs w:val="22"/>
              </w:rPr>
              <w:t xml:space="preserve"> </w:t>
            </w:r>
            <w:r w:rsidRPr="00537112">
              <w:rPr>
                <w:rFonts w:cs="Verdana"/>
                <w:b/>
                <w:bCs/>
                <w:spacing w:val="-1"/>
                <w:sz w:val="22"/>
                <w:szCs w:val="22"/>
              </w:rPr>
              <w:t>D</w:t>
            </w:r>
            <w:r w:rsidRPr="00537112">
              <w:rPr>
                <w:rFonts w:cs="Verdana"/>
                <w:b/>
                <w:bCs/>
                <w:sz w:val="22"/>
                <w:szCs w:val="22"/>
              </w:rPr>
              <w:t>E M</w:t>
            </w:r>
            <w:r w:rsidRPr="00537112">
              <w:rPr>
                <w:rFonts w:cs="Verdana"/>
                <w:b/>
                <w:bCs/>
                <w:spacing w:val="-1"/>
                <w:sz w:val="22"/>
                <w:szCs w:val="22"/>
              </w:rPr>
              <w:t>A</w:t>
            </w:r>
            <w:r w:rsidRPr="00537112">
              <w:rPr>
                <w:rFonts w:cs="Verdana"/>
                <w:b/>
                <w:bCs/>
                <w:sz w:val="22"/>
                <w:szCs w:val="22"/>
              </w:rPr>
              <w:t>R</w:t>
            </w:r>
            <w:r w:rsidRPr="00537112">
              <w:rPr>
                <w:rFonts w:cs="Verdana"/>
                <w:b/>
                <w:bCs/>
                <w:spacing w:val="1"/>
                <w:sz w:val="22"/>
                <w:szCs w:val="22"/>
              </w:rPr>
              <w:t>Z</w:t>
            </w:r>
            <w:r w:rsidRPr="00537112">
              <w:rPr>
                <w:rFonts w:cs="Verdana"/>
                <w:b/>
                <w:bCs/>
                <w:sz w:val="22"/>
                <w:szCs w:val="22"/>
              </w:rPr>
              <w:t>O</w:t>
            </w:r>
            <w:r w:rsidRPr="00537112">
              <w:rPr>
                <w:rFonts w:cs="Verdana"/>
                <w:b/>
                <w:bCs/>
                <w:spacing w:val="-1"/>
                <w:sz w:val="22"/>
                <w:szCs w:val="22"/>
              </w:rPr>
              <w:t xml:space="preserve"> D</w:t>
            </w:r>
            <w:r w:rsidRPr="00537112">
              <w:rPr>
                <w:rFonts w:cs="Verdana"/>
                <w:b/>
                <w:bCs/>
                <w:sz w:val="22"/>
                <w:szCs w:val="22"/>
              </w:rPr>
              <w:t xml:space="preserve">E </w:t>
            </w:r>
            <w:r w:rsidRPr="00537112">
              <w:rPr>
                <w:rFonts w:cs="Verdana"/>
                <w:b/>
                <w:bCs/>
                <w:spacing w:val="-1"/>
                <w:sz w:val="22"/>
                <w:szCs w:val="22"/>
              </w:rPr>
              <w:t>198</w:t>
            </w:r>
            <w:r w:rsidRPr="00537112">
              <w:rPr>
                <w:rFonts w:cs="Verdana"/>
                <w:b/>
                <w:bCs/>
                <w:sz w:val="22"/>
                <w:szCs w:val="22"/>
              </w:rPr>
              <w:t>7</w:t>
            </w:r>
          </w:p>
        </w:tc>
      </w:tr>
      <w:tr w:rsidR="00537112" w:rsidRPr="00537112" w:rsidTr="00630EEC">
        <w:trPr>
          <w:trHeight w:hRule="exact" w:val="247"/>
        </w:trPr>
        <w:tc>
          <w:tcPr>
            <w:tcW w:w="1010" w:type="dxa"/>
            <w:tcBorders>
              <w:top w:val="single" w:sz="16"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11" w:lineRule="exact"/>
              <w:ind w:right="359"/>
              <w:jc w:val="center"/>
              <w:textAlignment w:val="auto"/>
              <w:rPr>
                <w:rFonts w:ascii="Times New Roman" w:hAnsi="Times New Roman"/>
              </w:rPr>
            </w:pPr>
            <w:r w:rsidRPr="00537112">
              <w:rPr>
                <w:rFonts w:cs="Verdana"/>
                <w:b/>
                <w:bCs/>
                <w:w w:val="99"/>
                <w:sz w:val="20"/>
                <w:szCs w:val="20"/>
              </w:rPr>
              <w:t>1</w:t>
            </w:r>
          </w:p>
        </w:tc>
        <w:tc>
          <w:tcPr>
            <w:tcW w:w="5503" w:type="dxa"/>
            <w:tcBorders>
              <w:top w:val="single" w:sz="16"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6" w:lineRule="exact"/>
              <w:ind w:right="-20"/>
              <w:jc w:val="left"/>
              <w:textAlignment w:val="auto"/>
              <w:rPr>
                <w:rFonts w:ascii="Times New Roman" w:hAnsi="Times New Roman"/>
              </w:rPr>
            </w:pPr>
            <w:r w:rsidRPr="00537112">
              <w:rPr>
                <w:rFonts w:cs="Verdana"/>
                <w:spacing w:val="1"/>
                <w:position w:val="-1"/>
                <w:sz w:val="20"/>
                <w:szCs w:val="20"/>
              </w:rPr>
              <w:t>Ant</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2</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Ju</w:t>
            </w:r>
            <w:r w:rsidRPr="00537112">
              <w:rPr>
                <w:rFonts w:cs="Verdana"/>
                <w:position w:val="-1"/>
                <w:sz w:val="20"/>
                <w:szCs w:val="20"/>
              </w:rPr>
              <w:t>á</w:t>
            </w:r>
            <w:r w:rsidRPr="00537112">
              <w:rPr>
                <w:rFonts w:cs="Verdana"/>
                <w:spacing w:val="-1"/>
                <w:position w:val="-1"/>
                <w:sz w:val="20"/>
                <w:szCs w:val="20"/>
              </w:rPr>
              <w:t>re</w:t>
            </w:r>
            <w:r w:rsidRPr="00537112">
              <w:rPr>
                <w:rFonts w:cs="Verdana"/>
                <w:position w:val="-1"/>
                <w:sz w:val="20"/>
                <w:szCs w:val="20"/>
              </w:rPr>
              <w:t>z</w:t>
            </w:r>
            <w:r w:rsidRPr="00537112">
              <w:rPr>
                <w:rFonts w:cs="Verdana"/>
                <w:spacing w:val="-6"/>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3</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g</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4</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Am</w:t>
            </w:r>
            <w:r w:rsidRPr="00537112">
              <w:rPr>
                <w:rFonts w:cs="Verdana"/>
                <w:spacing w:val="3"/>
                <w:position w:val="-1"/>
                <w:sz w:val="20"/>
                <w:szCs w:val="20"/>
              </w:rPr>
              <w:t>i</w:t>
            </w:r>
            <w:r w:rsidRPr="00537112">
              <w:rPr>
                <w:rFonts w:cs="Verdana"/>
                <w:spacing w:val="1"/>
                <w:position w:val="-1"/>
                <w:sz w:val="20"/>
                <w:szCs w:val="20"/>
              </w:rPr>
              <w:t>nt</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ú</w:t>
            </w:r>
            <w:r w:rsidRPr="00537112">
              <w:rPr>
                <w:rFonts w:cs="Verdana"/>
                <w:position w:val="-1"/>
                <w:sz w:val="20"/>
                <w:szCs w:val="20"/>
              </w:rPr>
              <w:t>z</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5</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úz</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6</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crec</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7</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8</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And</w:t>
            </w:r>
            <w:r w:rsidRPr="00537112">
              <w:rPr>
                <w:rFonts w:cs="Verdana"/>
                <w:spacing w:val="-1"/>
                <w:position w:val="-1"/>
                <w:sz w:val="20"/>
                <w:szCs w:val="20"/>
              </w:rPr>
              <w:t>re</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o</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359"/>
              <w:jc w:val="center"/>
              <w:textAlignment w:val="auto"/>
              <w:rPr>
                <w:rFonts w:ascii="Times New Roman" w:hAnsi="Times New Roman"/>
              </w:rPr>
            </w:pPr>
            <w:r w:rsidRPr="00537112">
              <w:rPr>
                <w:rFonts w:cs="Verdana"/>
                <w:b/>
                <w:bCs/>
                <w:w w:val="99"/>
                <w:sz w:val="20"/>
                <w:szCs w:val="20"/>
              </w:rPr>
              <w:t>9</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T</w:t>
            </w:r>
            <w:r w:rsidRPr="00537112">
              <w:rPr>
                <w:rFonts w:cs="Verdana"/>
                <w:spacing w:val="-1"/>
                <w:position w:val="-1"/>
                <w:sz w:val="20"/>
                <w:szCs w:val="20"/>
              </w:rPr>
              <w:t>eres</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w:t>
            </w:r>
            <w:r w:rsidRPr="00537112">
              <w:rPr>
                <w:rFonts w:cs="Verdana"/>
                <w:position w:val="-1"/>
                <w:sz w:val="20"/>
                <w:szCs w:val="20"/>
              </w:rPr>
              <w:t>o</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10</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w:t>
            </w:r>
            <w:r w:rsidRPr="00537112">
              <w:rPr>
                <w:rFonts w:cs="Verdana"/>
                <w:spacing w:val="3"/>
                <w:position w:val="-1"/>
                <w:sz w:val="20"/>
                <w:szCs w:val="20"/>
              </w:rPr>
              <w:t>i</w:t>
            </w:r>
            <w:r w:rsidRPr="00537112">
              <w:rPr>
                <w:rFonts w:cs="Verdana"/>
                <w:spacing w:val="1"/>
                <w:position w:val="-1"/>
                <w:sz w:val="20"/>
                <w:szCs w:val="20"/>
              </w:rPr>
              <w:t>gu</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io</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11</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t</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io</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12</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w:t>
            </w:r>
            <w:r w:rsidRPr="00537112">
              <w:rPr>
                <w:rFonts w:cs="Verdana"/>
                <w:position w:val="-1"/>
                <w:sz w:val="20"/>
                <w:szCs w:val="20"/>
              </w:rPr>
              <w:t>o</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13</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io</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14</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ce</w:t>
            </w:r>
            <w:r w:rsidRPr="00537112">
              <w:rPr>
                <w:rFonts w:cs="Verdana"/>
                <w:spacing w:val="1"/>
                <w:position w:val="-1"/>
                <w:sz w:val="20"/>
                <w:szCs w:val="20"/>
              </w:rPr>
              <w:t>nt</w:t>
            </w:r>
            <w:r w:rsidRPr="00537112">
              <w:rPr>
                <w:rFonts w:cs="Verdana"/>
                <w:position w:val="-1"/>
                <w:sz w:val="20"/>
                <w:szCs w:val="20"/>
              </w:rPr>
              <w:t>e</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w:t>
            </w:r>
            <w:r w:rsidRPr="00537112">
              <w:rPr>
                <w:rFonts w:cs="Verdana"/>
                <w:position w:val="-1"/>
                <w:sz w:val="20"/>
                <w:szCs w:val="20"/>
              </w:rPr>
              <w:t>o</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15</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3"/>
                <w:position w:val="-1"/>
                <w:sz w:val="20"/>
                <w:szCs w:val="20"/>
              </w:rPr>
              <w:t>i</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Osor</w:t>
            </w:r>
            <w:r w:rsidRPr="00537112">
              <w:rPr>
                <w:rFonts w:cs="Verdana"/>
                <w:spacing w:val="3"/>
                <w:position w:val="-1"/>
                <w:sz w:val="20"/>
                <w:szCs w:val="20"/>
              </w:rPr>
              <w:t>io</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16</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17</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18</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Ca</w:t>
            </w:r>
            <w:r w:rsidRPr="00537112">
              <w:rPr>
                <w:rFonts w:cs="Verdana"/>
                <w:spacing w:val="-1"/>
                <w:position w:val="-1"/>
                <w:sz w:val="20"/>
                <w:szCs w:val="20"/>
              </w:rPr>
              <w:t>r</w:t>
            </w:r>
            <w:r w:rsidRPr="00537112">
              <w:rPr>
                <w:rFonts w:cs="Verdana"/>
                <w:spacing w:val="1"/>
                <w:position w:val="-1"/>
                <w:sz w:val="20"/>
                <w:szCs w:val="20"/>
              </w:rPr>
              <w:t>m</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19</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1"/>
                <w:position w:val="-1"/>
                <w:sz w:val="20"/>
                <w:szCs w:val="20"/>
              </w:rPr>
              <w:t>u</w:t>
            </w:r>
            <w:r w:rsidRPr="00537112">
              <w:rPr>
                <w:rFonts w:cs="Verdana"/>
                <w:spacing w:val="-1"/>
                <w:position w:val="-1"/>
                <w:sz w:val="20"/>
                <w:szCs w:val="20"/>
              </w:rPr>
              <w:t>c</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20</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w:t>
            </w:r>
            <w:r w:rsidRPr="00537112">
              <w:rPr>
                <w:rFonts w:cs="Verdana"/>
                <w:spacing w:val="3"/>
                <w:position w:val="-1"/>
                <w:sz w:val="20"/>
                <w:szCs w:val="20"/>
              </w:rPr>
              <w:t>i</w:t>
            </w:r>
            <w:r w:rsidRPr="00537112">
              <w:rPr>
                <w:rFonts w:cs="Verdana"/>
                <w:spacing w:val="1"/>
                <w:position w:val="-1"/>
                <w:sz w:val="20"/>
                <w:szCs w:val="20"/>
              </w:rPr>
              <w:t>nd</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21</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22</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position w:val="-1"/>
                <w:sz w:val="20"/>
                <w:szCs w:val="20"/>
              </w:rPr>
              <w:t>a</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23</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w:t>
            </w:r>
            <w:r w:rsidRPr="00537112">
              <w:rPr>
                <w:rFonts w:cs="Verdana"/>
                <w:spacing w:val="3"/>
                <w:position w:val="-1"/>
                <w:sz w:val="20"/>
                <w:szCs w:val="20"/>
              </w:rPr>
              <w:t>il</w:t>
            </w:r>
            <w:r w:rsidRPr="00537112">
              <w:rPr>
                <w:rFonts w:cs="Verdana"/>
                <w:spacing w:val="1"/>
                <w:position w:val="-1"/>
                <w:sz w:val="20"/>
                <w:szCs w:val="20"/>
              </w:rPr>
              <w:t>d</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ic</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24</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osef</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25</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Max</w:t>
            </w:r>
            <w:r w:rsidRPr="00537112">
              <w:rPr>
                <w:rFonts w:cs="Verdana"/>
                <w:spacing w:val="3"/>
                <w:position w:val="-1"/>
                <w:sz w:val="20"/>
                <w:szCs w:val="20"/>
              </w:rPr>
              <w:t>i</w:t>
            </w:r>
            <w:r w:rsidRPr="00537112">
              <w:rPr>
                <w:rFonts w:cs="Verdana"/>
                <w:spacing w:val="1"/>
                <w:position w:val="-1"/>
                <w:sz w:val="20"/>
                <w:szCs w:val="20"/>
              </w:rPr>
              <w:t>m</w:t>
            </w:r>
            <w:r w:rsidRPr="00537112">
              <w:rPr>
                <w:rFonts w:cs="Verdana"/>
                <w:spacing w:val="3"/>
                <w:position w:val="-1"/>
                <w:sz w:val="20"/>
                <w:szCs w:val="20"/>
              </w:rPr>
              <w:t>ili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12"/>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co</w:t>
            </w:r>
            <w:r w:rsidRPr="00537112">
              <w:rPr>
                <w:rFonts w:cs="Verdana"/>
                <w:spacing w:val="1"/>
                <w:position w:val="-1"/>
                <w:sz w:val="20"/>
                <w:szCs w:val="20"/>
              </w:rPr>
              <w:t>j/</w:t>
            </w:r>
            <w:r w:rsidRPr="00537112">
              <w:rPr>
                <w:rFonts w:cs="Verdana"/>
                <w:position w:val="-1"/>
                <w:sz w:val="20"/>
                <w:szCs w:val="20"/>
              </w:rPr>
              <w:t>Ca</w:t>
            </w:r>
            <w:r w:rsidRPr="00537112">
              <w:rPr>
                <w:rFonts w:cs="Verdana"/>
                <w:spacing w:val="-1"/>
                <w:position w:val="-1"/>
                <w:sz w:val="20"/>
                <w:szCs w:val="20"/>
              </w:rPr>
              <w:t>c</w:t>
            </w:r>
            <w:r w:rsidRPr="00537112">
              <w:rPr>
                <w:rFonts w:cs="Verdana"/>
                <w:position w:val="-1"/>
                <w:sz w:val="20"/>
                <w:szCs w:val="20"/>
              </w:rPr>
              <w:t>aj</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26</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m</w:t>
            </w:r>
            <w:r w:rsidRPr="00537112">
              <w:rPr>
                <w:rFonts w:cs="Verdana"/>
                <w:spacing w:val="-1"/>
                <w:position w:val="-1"/>
                <w:sz w:val="20"/>
                <w:szCs w:val="20"/>
              </w:rPr>
              <w:t>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co</w:t>
            </w:r>
            <w:r w:rsidRPr="00537112">
              <w:rPr>
                <w:rFonts w:cs="Verdana"/>
                <w:position w:val="-1"/>
                <w:sz w:val="20"/>
                <w:szCs w:val="20"/>
              </w:rPr>
              <w:t>j</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27</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position w:val="-1"/>
                <w:sz w:val="20"/>
                <w:szCs w:val="20"/>
              </w:rPr>
              <w:t>a</w:t>
            </w:r>
            <w:r w:rsidRPr="00537112">
              <w:rPr>
                <w:rFonts w:cs="Verdana"/>
                <w:spacing w:val="1"/>
                <w:position w:val="-1"/>
                <w:sz w:val="20"/>
                <w:szCs w:val="20"/>
              </w:rPr>
              <w:t>u</w:t>
            </w:r>
            <w:r w:rsidRPr="00537112">
              <w:rPr>
                <w:rFonts w:cs="Verdana"/>
                <w:spacing w:val="-1"/>
                <w:position w:val="-1"/>
                <w:sz w:val="20"/>
                <w:szCs w:val="20"/>
              </w:rPr>
              <w:t>s</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co</w:t>
            </w:r>
            <w:r w:rsidRPr="00537112">
              <w:rPr>
                <w:rFonts w:cs="Verdana"/>
                <w:position w:val="-1"/>
                <w:sz w:val="20"/>
                <w:szCs w:val="20"/>
              </w:rPr>
              <w:t>j</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28</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n</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co</w:t>
            </w:r>
            <w:r w:rsidRPr="00537112">
              <w:rPr>
                <w:rFonts w:cs="Verdana"/>
                <w:position w:val="-1"/>
                <w:sz w:val="20"/>
                <w:szCs w:val="20"/>
              </w:rPr>
              <w:t>j</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29</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w:t>
            </w:r>
            <w:r w:rsidRPr="00537112">
              <w:rPr>
                <w:rFonts w:cs="Verdana"/>
                <w:position w:val="-1"/>
                <w:sz w:val="20"/>
                <w:szCs w:val="20"/>
              </w:rPr>
              <w:t>a</w:t>
            </w:r>
            <w:r w:rsidRPr="00537112">
              <w:rPr>
                <w:rFonts w:cs="Verdana"/>
                <w:spacing w:val="-4"/>
                <w:position w:val="-1"/>
                <w:sz w:val="20"/>
                <w:szCs w:val="20"/>
              </w:rPr>
              <w:t xml:space="preserve"> </w:t>
            </w: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co</w:t>
            </w:r>
            <w:r w:rsidRPr="00537112">
              <w:rPr>
                <w:rFonts w:cs="Verdana"/>
                <w:position w:val="-1"/>
                <w:sz w:val="20"/>
                <w:szCs w:val="20"/>
              </w:rPr>
              <w:t>j</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30</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B</w:t>
            </w:r>
            <w:r w:rsidRPr="00537112">
              <w:rPr>
                <w:rFonts w:cs="Verdana"/>
                <w:spacing w:val="-1"/>
                <w:position w:val="-1"/>
                <w:sz w:val="20"/>
                <w:szCs w:val="20"/>
              </w:rPr>
              <w:t>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coj</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31</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L</w:t>
            </w:r>
            <w:r w:rsidRPr="00537112">
              <w:rPr>
                <w:rFonts w:cs="Verdana"/>
                <w:spacing w:val="3"/>
                <w:position w:val="-1"/>
                <w:sz w:val="20"/>
                <w:szCs w:val="20"/>
              </w:rPr>
              <w:t>i</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4"/>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Ca</w:t>
            </w:r>
            <w:r w:rsidRPr="00537112">
              <w:rPr>
                <w:rFonts w:cs="Verdana"/>
                <w:spacing w:val="-1"/>
                <w:position w:val="-1"/>
                <w:sz w:val="20"/>
                <w:szCs w:val="20"/>
              </w:rPr>
              <w:t>co</w:t>
            </w:r>
            <w:r w:rsidRPr="00537112">
              <w:rPr>
                <w:rFonts w:cs="Verdana"/>
                <w:position w:val="-1"/>
                <w:sz w:val="20"/>
                <w:szCs w:val="20"/>
              </w:rPr>
              <w:t>j</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32</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1"/>
                <w:position w:val="-1"/>
                <w:sz w:val="20"/>
                <w:szCs w:val="20"/>
              </w:rPr>
              <w:t>e</w:t>
            </w:r>
            <w:r w:rsidRPr="00537112">
              <w:rPr>
                <w:rFonts w:cs="Verdana"/>
                <w:position w:val="-1"/>
                <w:sz w:val="20"/>
                <w:szCs w:val="20"/>
              </w:rPr>
              <w:t>o</w:t>
            </w:r>
            <w:r w:rsidRPr="00537112">
              <w:rPr>
                <w:rFonts w:cs="Verdana"/>
                <w:spacing w:val="-8"/>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Ca</w:t>
            </w:r>
            <w:r w:rsidRPr="00537112">
              <w:rPr>
                <w:rFonts w:cs="Verdana"/>
                <w:spacing w:val="1"/>
                <w:position w:val="-1"/>
                <w:sz w:val="20"/>
                <w:szCs w:val="20"/>
              </w:rPr>
              <w:t>jb</w:t>
            </w:r>
            <w:r w:rsidRPr="00537112">
              <w:rPr>
                <w:rFonts w:cs="Verdana"/>
                <w:spacing w:val="-1"/>
                <w:position w:val="-1"/>
                <w:sz w:val="20"/>
                <w:szCs w:val="20"/>
              </w:rPr>
              <w:t>ón</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33</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Amp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34</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r</w:t>
            </w:r>
            <w:r w:rsidRPr="00537112">
              <w:rPr>
                <w:rFonts w:cs="Verdana"/>
                <w:spacing w:val="1"/>
                <w:position w:val="-1"/>
                <w:sz w:val="20"/>
                <w:szCs w:val="20"/>
              </w:rPr>
              <w:t>u</w:t>
            </w:r>
            <w:r w:rsidRPr="00537112">
              <w:rPr>
                <w:rFonts w:cs="Verdana"/>
                <w:position w:val="-1"/>
                <w:sz w:val="20"/>
                <w:szCs w:val="20"/>
              </w:rPr>
              <w:t>z</w:t>
            </w:r>
            <w:r w:rsidRPr="00537112">
              <w:rPr>
                <w:rFonts w:cs="Verdana"/>
                <w:spacing w:val="-5"/>
                <w:position w:val="-1"/>
                <w:sz w:val="20"/>
                <w:szCs w:val="20"/>
              </w:rPr>
              <w:t xml:space="preserve"> </w:t>
            </w:r>
            <w:r w:rsidRPr="00537112">
              <w:rPr>
                <w:rFonts w:cs="Verdana"/>
                <w:position w:val="-1"/>
                <w:sz w:val="20"/>
                <w:szCs w:val="20"/>
              </w:rPr>
              <w:t>P</w:t>
            </w:r>
            <w:r w:rsidRPr="00537112">
              <w:rPr>
                <w:rFonts w:cs="Verdana"/>
                <w:spacing w:val="-1"/>
                <w:position w:val="-1"/>
                <w:sz w:val="20"/>
                <w:szCs w:val="20"/>
              </w:rPr>
              <w:t>ére</w:t>
            </w:r>
            <w:r w:rsidRPr="00537112">
              <w:rPr>
                <w:rFonts w:cs="Verdana"/>
                <w:position w:val="-1"/>
                <w:sz w:val="20"/>
                <w:szCs w:val="20"/>
              </w:rPr>
              <w:t>z</w:t>
            </w:r>
            <w:r w:rsidRPr="00537112">
              <w:rPr>
                <w:rFonts w:cs="Verdana"/>
                <w:spacing w:val="-5"/>
                <w:position w:val="-1"/>
                <w:sz w:val="20"/>
                <w:szCs w:val="20"/>
              </w:rPr>
              <w:t xml:space="preserve"> </w:t>
            </w:r>
            <w:r w:rsidRPr="00537112">
              <w:rPr>
                <w:rFonts w:cs="Verdana"/>
                <w:spacing w:val="1"/>
                <w:position w:val="-1"/>
                <w:sz w:val="20"/>
                <w:szCs w:val="20"/>
              </w:rPr>
              <w:t>Amp</w:t>
            </w:r>
            <w:r w:rsidRPr="00537112">
              <w:rPr>
                <w:rFonts w:cs="Verdana"/>
                <w:spacing w:val="-1"/>
                <w:position w:val="-1"/>
                <w:sz w:val="20"/>
                <w:szCs w:val="20"/>
              </w:rPr>
              <w:t>ére</w:t>
            </w:r>
            <w:r w:rsidRPr="00537112">
              <w:rPr>
                <w:rFonts w:cs="Verdana"/>
                <w:position w:val="-1"/>
                <w:sz w:val="20"/>
                <w:szCs w:val="20"/>
              </w:rPr>
              <w:t>z</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35</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E</w:t>
            </w:r>
            <w:r w:rsidRPr="00537112">
              <w:rPr>
                <w:rFonts w:cs="Verdana"/>
                <w:spacing w:val="3"/>
                <w:position w:val="-1"/>
                <w:sz w:val="20"/>
                <w:szCs w:val="20"/>
              </w:rPr>
              <w:t>l</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36</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3"/>
                <w:position w:val="-1"/>
                <w:sz w:val="20"/>
                <w:szCs w:val="20"/>
              </w:rPr>
              <w:t>i</w:t>
            </w:r>
            <w:r w:rsidRPr="00537112">
              <w:rPr>
                <w:rFonts w:cs="Verdana"/>
                <w:spacing w:val="-1"/>
                <w:position w:val="-1"/>
                <w:sz w:val="20"/>
                <w:szCs w:val="20"/>
              </w:rPr>
              <w:t>c</w:t>
            </w:r>
            <w:r w:rsidRPr="00537112">
              <w:rPr>
                <w:rFonts w:cs="Verdana"/>
                <w:spacing w:val="1"/>
                <w:position w:val="-1"/>
                <w:sz w:val="20"/>
                <w:szCs w:val="20"/>
              </w:rPr>
              <w:t>t</w:t>
            </w:r>
            <w:r w:rsidRPr="00537112">
              <w:rPr>
                <w:rFonts w:cs="Verdana"/>
                <w:spacing w:val="-1"/>
                <w:position w:val="-1"/>
                <w:sz w:val="20"/>
                <w:szCs w:val="20"/>
              </w:rPr>
              <w:t>or</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37</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spacing w:val="3"/>
                <w:position w:val="-1"/>
                <w:sz w:val="20"/>
                <w:szCs w:val="20"/>
              </w:rPr>
              <w:t>li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38</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p</w:t>
            </w:r>
            <w:r w:rsidRPr="00537112">
              <w:rPr>
                <w:rFonts w:cs="Verdana"/>
                <w:position w:val="-1"/>
                <w:sz w:val="20"/>
                <w:szCs w:val="20"/>
              </w:rPr>
              <w:t>e</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n</w:t>
            </w:r>
            <w:r w:rsidRPr="00537112">
              <w:rPr>
                <w:rFonts w:cs="Verdana"/>
                <w:spacing w:val="3"/>
                <w:position w:val="-1"/>
                <w:sz w:val="20"/>
                <w:szCs w:val="20"/>
              </w:rPr>
              <w:t>i</w:t>
            </w:r>
            <w:r w:rsidRPr="00537112">
              <w:rPr>
                <w:rFonts w:cs="Verdana"/>
                <w:spacing w:val="1"/>
                <w:position w:val="-1"/>
                <w:sz w:val="20"/>
                <w:szCs w:val="20"/>
              </w:rPr>
              <w:t>g</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tá</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39</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f</w:t>
            </w:r>
            <w:r w:rsidRPr="00537112">
              <w:rPr>
                <w:rFonts w:cs="Verdana"/>
                <w:position w:val="-1"/>
                <w:sz w:val="20"/>
                <w:szCs w:val="20"/>
              </w:rPr>
              <w:t>a</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position w:val="-1"/>
                <w:sz w:val="20"/>
                <w:szCs w:val="20"/>
              </w:rPr>
              <w:t>D</w:t>
            </w:r>
            <w:r w:rsidRPr="00537112">
              <w:rPr>
                <w:rFonts w:cs="Verdana"/>
                <w:spacing w:val="-1"/>
                <w:position w:val="-1"/>
                <w:sz w:val="20"/>
                <w:szCs w:val="20"/>
              </w:rPr>
              <w:t>e</w:t>
            </w:r>
            <w:r w:rsidRPr="00537112">
              <w:rPr>
                <w:rFonts w:cs="Verdana"/>
                <w:spacing w:val="1"/>
                <w:position w:val="-1"/>
                <w:sz w:val="20"/>
                <w:szCs w:val="20"/>
              </w:rPr>
              <w:t>p</w:t>
            </w:r>
            <w:r w:rsidRPr="00537112">
              <w:rPr>
                <w:rFonts w:cs="Verdana"/>
                <w:position w:val="-1"/>
                <w:sz w:val="20"/>
                <w:szCs w:val="20"/>
              </w:rPr>
              <w:t>áz</w:t>
            </w:r>
            <w:r w:rsidRPr="00537112">
              <w:rPr>
                <w:rFonts w:cs="Verdana"/>
                <w:spacing w:val="-6"/>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40</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Es</w:t>
            </w:r>
            <w:r w:rsidRPr="00537112">
              <w:rPr>
                <w:rFonts w:cs="Verdana"/>
                <w:spacing w:val="1"/>
                <w:position w:val="-1"/>
                <w:sz w:val="20"/>
                <w:szCs w:val="20"/>
              </w:rPr>
              <w:t>t</w:t>
            </w:r>
            <w:r w:rsidRPr="00537112">
              <w:rPr>
                <w:rFonts w:cs="Verdana"/>
                <w:spacing w:val="-1"/>
                <w:position w:val="-1"/>
                <w:sz w:val="20"/>
                <w:szCs w:val="20"/>
              </w:rPr>
              <w:t>éf</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ecó</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41</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3"/>
                <w:position w:val="-1"/>
                <w:sz w:val="20"/>
                <w:szCs w:val="20"/>
              </w:rPr>
              <w:t>i</w:t>
            </w:r>
            <w:r w:rsidRPr="00537112">
              <w:rPr>
                <w:rFonts w:cs="Verdana"/>
                <w:spacing w:val="1"/>
                <w:position w:val="-1"/>
                <w:sz w:val="20"/>
                <w:szCs w:val="20"/>
              </w:rPr>
              <w:t>m</w:t>
            </w:r>
            <w:r w:rsidRPr="00537112">
              <w:rPr>
                <w:rFonts w:cs="Verdana"/>
                <w:spacing w:val="-1"/>
                <w:position w:val="-1"/>
                <w:sz w:val="20"/>
                <w:szCs w:val="20"/>
              </w:rPr>
              <w:t>o</w:t>
            </w:r>
            <w:r w:rsidRPr="00537112">
              <w:rPr>
                <w:rFonts w:cs="Verdana"/>
                <w:spacing w:val="1"/>
                <w:position w:val="-1"/>
                <w:sz w:val="20"/>
                <w:szCs w:val="20"/>
              </w:rPr>
              <w:t>t</w:t>
            </w:r>
            <w:r w:rsidRPr="00537112">
              <w:rPr>
                <w:rFonts w:cs="Verdana"/>
                <w:spacing w:val="-1"/>
                <w:position w:val="-1"/>
                <w:sz w:val="20"/>
                <w:szCs w:val="20"/>
              </w:rPr>
              <w:t>e</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j</w:t>
            </w:r>
            <w:r w:rsidRPr="00537112">
              <w:rPr>
                <w:rFonts w:cs="Verdana"/>
                <w:position w:val="-1"/>
                <w:sz w:val="20"/>
                <w:szCs w:val="20"/>
              </w:rPr>
              <w:t>as</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42</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T</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ás</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43</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Máx</w:t>
            </w:r>
            <w:r w:rsidRPr="00537112">
              <w:rPr>
                <w:rFonts w:cs="Verdana"/>
                <w:spacing w:val="3"/>
                <w:position w:val="-1"/>
                <w:sz w:val="20"/>
                <w:szCs w:val="20"/>
              </w:rPr>
              <w:t>i</w:t>
            </w:r>
            <w:r w:rsidRPr="00537112">
              <w:rPr>
                <w:rFonts w:cs="Verdana"/>
                <w:spacing w:val="1"/>
                <w:position w:val="-1"/>
                <w:sz w:val="20"/>
                <w:szCs w:val="20"/>
              </w:rPr>
              <w:t>m</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E</w:t>
            </w:r>
            <w:r w:rsidRPr="00537112">
              <w:rPr>
                <w:rFonts w:cs="Verdana"/>
                <w:spacing w:val="1"/>
                <w:position w:val="-1"/>
                <w:sz w:val="20"/>
                <w:szCs w:val="20"/>
              </w:rPr>
              <w:t>m</w:t>
            </w:r>
            <w:r w:rsidRPr="00537112">
              <w:rPr>
                <w:rFonts w:cs="Verdana"/>
                <w:spacing w:val="3"/>
                <w:position w:val="-1"/>
                <w:sz w:val="20"/>
                <w:szCs w:val="20"/>
              </w:rPr>
              <w:t>ili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V</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y</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44</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1"/>
                <w:position w:val="-1"/>
                <w:sz w:val="20"/>
                <w:szCs w:val="20"/>
              </w:rPr>
              <w:t>ce</w:t>
            </w:r>
            <w:r w:rsidRPr="00537112">
              <w:rPr>
                <w:rFonts w:cs="Verdana"/>
                <w:spacing w:val="1"/>
                <w:position w:val="-1"/>
                <w:sz w:val="20"/>
                <w:szCs w:val="20"/>
              </w:rPr>
              <w:t>p</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o</w:t>
            </w:r>
            <w:r w:rsidRPr="00537112">
              <w:rPr>
                <w:rFonts w:cs="Verdana"/>
                <w:position w:val="-1"/>
                <w:sz w:val="20"/>
                <w:szCs w:val="20"/>
              </w:rPr>
              <w:t>n</w:t>
            </w:r>
            <w:r w:rsidRPr="00537112">
              <w:rPr>
                <w:rFonts w:cs="Verdana"/>
                <w:spacing w:val="-11"/>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45</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46</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247"/>
        </w:trPr>
        <w:tc>
          <w:tcPr>
            <w:tcW w:w="1010"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47</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t</w:t>
            </w:r>
            <w:r w:rsidRPr="00537112">
              <w:rPr>
                <w:rFonts w:cs="Verdana"/>
                <w:spacing w:val="-1"/>
                <w:position w:val="-1"/>
                <w:sz w:val="20"/>
                <w:szCs w:val="20"/>
              </w:rPr>
              <w:t>ro</w:t>
            </w:r>
            <w:r w:rsidRPr="00537112">
              <w:rPr>
                <w:rFonts w:cs="Verdana"/>
                <w:spacing w:val="1"/>
                <w:position w:val="-1"/>
                <w:sz w:val="20"/>
                <w:szCs w:val="20"/>
              </w:rPr>
              <w:t>n</w:t>
            </w:r>
            <w:r w:rsidRPr="00537112">
              <w:rPr>
                <w:rFonts w:cs="Verdana"/>
                <w:spacing w:val="3"/>
                <w:position w:val="-1"/>
                <w:sz w:val="20"/>
                <w:szCs w:val="20"/>
              </w:rPr>
              <w:t>il</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headerReference w:type="default" r:id="rId23"/>
          <w:pgSz w:w="12260" w:h="15840"/>
          <w:pgMar w:top="1320" w:right="1720" w:bottom="280" w:left="980" w:header="0" w:footer="0" w:gutter="0"/>
          <w:cols w:space="720" w:equalWidth="0">
            <w:col w:w="9560"/>
          </w:cols>
          <w:noEndnote/>
        </w:sectPr>
      </w:pPr>
    </w:p>
    <w:p w:rsidR="00537112" w:rsidRPr="00537112" w:rsidRDefault="00537112" w:rsidP="00537112">
      <w:pPr>
        <w:autoSpaceDE w:val="0"/>
        <w:autoSpaceDN w:val="0"/>
        <w:spacing w:before="9" w:line="80" w:lineRule="exact"/>
        <w:jc w:val="left"/>
        <w:textAlignment w:val="auto"/>
        <w:rPr>
          <w:rFonts w:ascii="Times New Roman" w:hAnsi="Times New Roman"/>
          <w:sz w:val="8"/>
          <w:szCs w:val="8"/>
        </w:rPr>
      </w:pPr>
    </w:p>
    <w:tbl>
      <w:tblPr>
        <w:tblW w:w="0" w:type="auto"/>
        <w:tblInd w:w="108" w:type="dxa"/>
        <w:tblLayout w:type="fixed"/>
        <w:tblCellMar>
          <w:left w:w="0" w:type="dxa"/>
          <w:right w:w="0" w:type="dxa"/>
        </w:tblCellMar>
        <w:tblLook w:val="0000" w:firstRow="0" w:lastRow="0" w:firstColumn="0" w:lastColumn="0" w:noHBand="0" w:noVBand="0"/>
      </w:tblPr>
      <w:tblGrid>
        <w:gridCol w:w="1011"/>
        <w:gridCol w:w="5503"/>
      </w:tblGrid>
      <w:tr w:rsidR="00537112" w:rsidRPr="00537112" w:rsidTr="00630EEC">
        <w:trPr>
          <w:trHeight w:hRule="exact" w:val="247"/>
        </w:trPr>
        <w:tc>
          <w:tcPr>
            <w:tcW w:w="1011" w:type="dxa"/>
            <w:tcBorders>
              <w:top w:val="single" w:sz="4" w:space="0" w:color="auto"/>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32" w:lineRule="exact"/>
              <w:ind w:right="290"/>
              <w:jc w:val="center"/>
              <w:textAlignment w:val="auto"/>
              <w:rPr>
                <w:rFonts w:ascii="Times New Roman" w:hAnsi="Times New Roman"/>
              </w:rPr>
            </w:pPr>
            <w:r w:rsidRPr="00537112">
              <w:rPr>
                <w:rFonts w:cs="Verdana"/>
                <w:b/>
                <w:bCs/>
                <w:w w:val="99"/>
                <w:sz w:val="20"/>
                <w:szCs w:val="20"/>
              </w:rPr>
              <w:t>48</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7"/>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49</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rce</w:t>
            </w:r>
            <w:r w:rsidRPr="00537112">
              <w:rPr>
                <w:rFonts w:cs="Verdana"/>
                <w:spacing w:val="3"/>
                <w:position w:val="-1"/>
                <w:sz w:val="20"/>
                <w:szCs w:val="20"/>
              </w:rPr>
              <w:t>l</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r w:rsidRPr="00537112">
              <w:rPr>
                <w:rFonts w:cs="Verdana"/>
                <w:spacing w:val="-4"/>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é</w:t>
            </w:r>
            <w:r w:rsidRPr="00537112">
              <w:rPr>
                <w:rFonts w:cs="Verdana"/>
                <w:position w:val="-1"/>
                <w:sz w:val="20"/>
                <w:szCs w:val="20"/>
              </w:rPr>
              <w:t>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50</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1"/>
                <w:position w:val="-1"/>
                <w:sz w:val="20"/>
                <w:szCs w:val="20"/>
              </w:rPr>
              <w:t>e</w:t>
            </w:r>
            <w:r w:rsidRPr="00537112">
              <w:rPr>
                <w:rFonts w:cs="Verdana"/>
                <w:spacing w:val="1"/>
                <w:position w:val="-1"/>
                <w:sz w:val="20"/>
                <w:szCs w:val="20"/>
              </w:rPr>
              <w:t>d</w:t>
            </w:r>
            <w:r w:rsidRPr="00537112">
              <w:rPr>
                <w:rFonts w:cs="Verdana"/>
                <w:spacing w:val="-1"/>
                <w:position w:val="-1"/>
                <w:sz w:val="20"/>
                <w:szCs w:val="20"/>
              </w:rPr>
              <w:t>r</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í</w:t>
            </w:r>
            <w:r w:rsidRPr="00537112">
              <w:rPr>
                <w:rFonts w:cs="Verdana"/>
                <w:position w:val="-1"/>
                <w:sz w:val="20"/>
                <w:szCs w:val="20"/>
              </w:rPr>
              <w:t>c</w:t>
            </w:r>
            <w:r w:rsidRPr="00537112">
              <w:rPr>
                <w:rFonts w:cs="Verdana"/>
                <w:spacing w:val="-4"/>
                <w:position w:val="-1"/>
                <w:sz w:val="20"/>
                <w:szCs w:val="20"/>
              </w:rPr>
              <w:t xml:space="preserve"> </w:t>
            </w:r>
            <w:r w:rsidRPr="00537112">
              <w:rPr>
                <w:rFonts w:cs="Verdana"/>
                <w:spacing w:val="-1"/>
                <w:position w:val="-1"/>
                <w:sz w:val="20"/>
                <w:szCs w:val="20"/>
              </w:rPr>
              <w:t>Her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nd</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51</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D</w:t>
            </w:r>
            <w:r w:rsidRPr="00537112">
              <w:rPr>
                <w:rFonts w:cs="Verdana"/>
                <w:spacing w:val="-1"/>
                <w:position w:val="-1"/>
                <w:sz w:val="20"/>
                <w:szCs w:val="20"/>
              </w:rPr>
              <w:t>o</w:t>
            </w:r>
            <w:r w:rsidRPr="00537112">
              <w:rPr>
                <w:rFonts w:cs="Verdana"/>
                <w:spacing w:val="1"/>
                <w:position w:val="-1"/>
                <w:sz w:val="20"/>
                <w:szCs w:val="20"/>
              </w:rPr>
              <w:t>m</w:t>
            </w:r>
            <w:r w:rsidRPr="00537112">
              <w:rPr>
                <w:rFonts w:cs="Verdana"/>
                <w:spacing w:val="3"/>
                <w:position w:val="-1"/>
                <w:sz w:val="20"/>
                <w:szCs w:val="20"/>
              </w:rPr>
              <w:t>i</w:t>
            </w:r>
            <w:r w:rsidRPr="00537112">
              <w:rPr>
                <w:rFonts w:cs="Verdana"/>
                <w:spacing w:val="1"/>
                <w:position w:val="-1"/>
                <w:sz w:val="20"/>
                <w:szCs w:val="20"/>
              </w:rPr>
              <w:t>ng</w:t>
            </w:r>
            <w:r w:rsidRPr="00537112">
              <w:rPr>
                <w:rFonts w:cs="Verdana"/>
                <w:position w:val="-1"/>
                <w:sz w:val="20"/>
                <w:szCs w:val="20"/>
              </w:rPr>
              <w:t>a</w:t>
            </w:r>
            <w:r w:rsidRPr="00537112">
              <w:rPr>
                <w:rFonts w:cs="Verdana"/>
                <w:spacing w:val="-9"/>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r w:rsidRPr="00537112">
              <w:rPr>
                <w:rFonts w:cs="Verdana"/>
                <w:spacing w:val="-6"/>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52</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1"/>
                <w:position w:val="-1"/>
                <w:sz w:val="20"/>
                <w:szCs w:val="20"/>
              </w:rPr>
              <w:t>efer</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ú</w:t>
            </w:r>
            <w:r w:rsidRPr="00537112">
              <w:rPr>
                <w:rFonts w:cs="Verdana"/>
                <w:position w:val="-1"/>
                <w:sz w:val="20"/>
                <w:szCs w:val="20"/>
              </w:rPr>
              <w:t>p</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53</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i</w:t>
            </w:r>
            <w:r w:rsidRPr="00537112">
              <w:rPr>
                <w:rFonts w:cs="Verdana"/>
                <w:spacing w:val="1"/>
                <w:position w:val="-1"/>
                <w:sz w:val="20"/>
                <w:szCs w:val="20"/>
              </w:rPr>
              <w:t>d</w:t>
            </w:r>
            <w:r w:rsidRPr="00537112">
              <w:rPr>
                <w:rFonts w:cs="Verdana"/>
                <w:spacing w:val="-1"/>
                <w:position w:val="-1"/>
                <w:sz w:val="20"/>
                <w:szCs w:val="20"/>
              </w:rPr>
              <w:t>e</w:t>
            </w:r>
            <w:r w:rsidRPr="00537112">
              <w:rPr>
                <w:rFonts w:cs="Verdana"/>
                <w:position w:val="-1"/>
                <w:sz w:val="20"/>
                <w:szCs w:val="20"/>
              </w:rPr>
              <w:t>l</w:t>
            </w:r>
            <w:r w:rsidRPr="00537112">
              <w:rPr>
                <w:rFonts w:cs="Verdana"/>
                <w:spacing w:val="-3"/>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Su</w:t>
            </w:r>
            <w:r w:rsidRPr="00537112">
              <w:rPr>
                <w:rFonts w:cs="Verdana"/>
                <w:spacing w:val="-1"/>
                <w:position w:val="-1"/>
                <w:sz w:val="20"/>
                <w:szCs w:val="20"/>
              </w:rPr>
              <w:t>c</w:t>
            </w:r>
            <w:r w:rsidRPr="00537112">
              <w:rPr>
                <w:rFonts w:cs="Verdana"/>
                <w:spacing w:val="1"/>
                <w:position w:val="-1"/>
                <w:sz w:val="20"/>
                <w:szCs w:val="20"/>
              </w:rPr>
              <w:t>u</w:t>
            </w:r>
            <w:r w:rsidRPr="00537112">
              <w:rPr>
                <w:rFonts w:cs="Verdana"/>
                <w:position w:val="-1"/>
                <w:sz w:val="20"/>
                <w:szCs w:val="20"/>
              </w:rPr>
              <w:t>p</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54</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r w:rsidRPr="00537112">
              <w:rPr>
                <w:rFonts w:cs="Verdana"/>
                <w:spacing w:val="-7"/>
                <w:position w:val="-1"/>
                <w:sz w:val="20"/>
                <w:szCs w:val="20"/>
              </w:rPr>
              <w:t xml:space="preserve"> </w:t>
            </w:r>
            <w:r w:rsidRPr="00537112">
              <w:rPr>
                <w:rFonts w:cs="Verdana"/>
                <w:position w:val="-1"/>
                <w:sz w:val="20"/>
                <w:szCs w:val="20"/>
              </w:rPr>
              <w:t>T</w:t>
            </w:r>
            <w:r w:rsidRPr="00537112">
              <w:rPr>
                <w:rFonts w:cs="Verdana"/>
                <w:spacing w:val="1"/>
                <w:position w:val="-1"/>
                <w:sz w:val="20"/>
                <w:szCs w:val="20"/>
              </w:rPr>
              <w:t>ú</w:t>
            </w:r>
            <w:r w:rsidRPr="00537112">
              <w:rPr>
                <w:rFonts w:cs="Verdana"/>
                <w:position w:val="-1"/>
                <w:sz w:val="20"/>
                <w:szCs w:val="20"/>
              </w:rPr>
              <w:t>m</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55</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And</w:t>
            </w:r>
            <w:r w:rsidRPr="00537112">
              <w:rPr>
                <w:rFonts w:cs="Verdana"/>
                <w:spacing w:val="-1"/>
                <w:position w:val="-1"/>
                <w:sz w:val="20"/>
                <w:szCs w:val="20"/>
              </w:rPr>
              <w:t>re</w:t>
            </w:r>
            <w:r w:rsidRPr="00537112">
              <w:rPr>
                <w:rFonts w:cs="Verdana"/>
                <w:position w:val="-1"/>
                <w:sz w:val="20"/>
                <w:szCs w:val="20"/>
              </w:rPr>
              <w:t>s</w:t>
            </w:r>
            <w:r w:rsidRPr="00537112">
              <w:rPr>
                <w:rFonts w:cs="Verdana"/>
                <w:spacing w:val="-8"/>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56</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nt</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g</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position w:val="-1"/>
                <w:sz w:val="20"/>
                <w:szCs w:val="20"/>
              </w:rPr>
              <w:t>y</w:t>
            </w:r>
            <w:r w:rsidRPr="00537112">
              <w:rPr>
                <w:rFonts w:cs="Verdana"/>
                <w:spacing w:val="-1"/>
                <w:position w:val="-1"/>
                <w:sz w:val="20"/>
                <w:szCs w:val="20"/>
              </w:rPr>
              <w:t>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1"/>
                <w:position w:val="-1"/>
                <w:sz w:val="20"/>
                <w:szCs w:val="20"/>
              </w:rPr>
              <w:t>m</w:t>
            </w:r>
            <w:r w:rsidRPr="00537112">
              <w:rPr>
                <w:rFonts w:cs="Verdana"/>
                <w:position w:val="-1"/>
                <w:sz w:val="20"/>
                <w:szCs w:val="20"/>
              </w:rPr>
              <w:t>án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57</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F</w:t>
            </w:r>
            <w:r w:rsidRPr="00537112">
              <w:rPr>
                <w:rFonts w:cs="Verdana"/>
                <w:spacing w:val="3"/>
                <w:position w:val="-1"/>
                <w:sz w:val="20"/>
                <w:szCs w:val="20"/>
              </w:rPr>
              <w:t>i</w:t>
            </w:r>
            <w:r w:rsidRPr="00537112">
              <w:rPr>
                <w:rFonts w:cs="Verdana"/>
                <w:spacing w:val="1"/>
                <w:position w:val="-1"/>
                <w:sz w:val="20"/>
                <w:szCs w:val="20"/>
              </w:rPr>
              <w:t>d</w:t>
            </w:r>
            <w:r w:rsidRPr="00537112">
              <w:rPr>
                <w:rFonts w:cs="Verdana"/>
                <w:spacing w:val="-1"/>
                <w:position w:val="-1"/>
                <w:sz w:val="20"/>
                <w:szCs w:val="20"/>
              </w:rPr>
              <w:t>e</w:t>
            </w:r>
            <w:r w:rsidRPr="00537112">
              <w:rPr>
                <w:rFonts w:cs="Verdana"/>
                <w:spacing w:val="3"/>
                <w:position w:val="-1"/>
                <w:sz w:val="20"/>
                <w:szCs w:val="20"/>
              </w:rPr>
              <w:t>li</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58</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Am</w:t>
            </w:r>
            <w:r w:rsidRPr="00537112">
              <w:rPr>
                <w:rFonts w:cs="Verdana"/>
                <w:spacing w:val="-1"/>
                <w:position w:val="-1"/>
                <w:sz w:val="20"/>
                <w:szCs w:val="20"/>
              </w:rPr>
              <w:t>e</w:t>
            </w:r>
            <w:r w:rsidRPr="00537112">
              <w:rPr>
                <w:rFonts w:cs="Verdana"/>
                <w:spacing w:val="3"/>
                <w:position w:val="-1"/>
                <w:sz w:val="20"/>
                <w:szCs w:val="20"/>
              </w:rPr>
              <w:t>li</w:t>
            </w:r>
            <w:r w:rsidRPr="00537112">
              <w:rPr>
                <w:rFonts w:cs="Verdana"/>
                <w:position w:val="-1"/>
                <w:sz w:val="20"/>
                <w:szCs w:val="20"/>
              </w:rPr>
              <w:t>a</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r w:rsidRPr="00537112">
              <w:rPr>
                <w:rFonts w:cs="Verdana"/>
                <w:spacing w:val="-6"/>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59</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Ang</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c</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7"/>
                <w:position w:val="-1"/>
                <w:sz w:val="20"/>
                <w:szCs w:val="20"/>
              </w:rPr>
              <w:t xml:space="preserve"> </w:t>
            </w:r>
            <w:r w:rsidRPr="00537112">
              <w:rPr>
                <w:rFonts w:cs="Verdana"/>
                <w:spacing w:val="1"/>
                <w:position w:val="-1"/>
                <w:sz w:val="20"/>
                <w:szCs w:val="20"/>
              </w:rPr>
              <w:t>V</w:t>
            </w:r>
            <w:r w:rsidRPr="00537112">
              <w:rPr>
                <w:rFonts w:cs="Verdana"/>
                <w:spacing w:val="3"/>
                <w:position w:val="-1"/>
                <w:sz w:val="20"/>
                <w:szCs w:val="20"/>
              </w:rPr>
              <w:t>il</w:t>
            </w:r>
            <w:r w:rsidRPr="00537112">
              <w:rPr>
                <w:rFonts w:cs="Verdana"/>
                <w:spacing w:val="1"/>
                <w:position w:val="-1"/>
                <w:sz w:val="20"/>
                <w:szCs w:val="20"/>
              </w:rPr>
              <w:t>m</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y</w:t>
            </w:r>
            <w:r w:rsidRPr="00537112">
              <w:rPr>
                <w:rFonts w:cs="Verdana"/>
                <w:spacing w:val="-2"/>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spacing w:val="-1"/>
                <w:position w:val="-1"/>
                <w:sz w:val="20"/>
                <w:szCs w:val="20"/>
              </w:rPr>
              <w:t>o</w:t>
            </w:r>
            <w:r w:rsidRPr="00537112">
              <w:rPr>
                <w:rFonts w:cs="Verdana"/>
                <w:spacing w:val="1"/>
                <w:position w:val="-1"/>
                <w:sz w:val="20"/>
                <w:szCs w:val="20"/>
              </w:rPr>
              <w:t>nz</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T</w:t>
            </w:r>
            <w:r w:rsidRPr="00537112">
              <w:rPr>
                <w:rFonts w:cs="Verdana"/>
                <w:spacing w:val="-1"/>
                <w:position w:val="-1"/>
                <w:sz w:val="20"/>
                <w:szCs w:val="20"/>
              </w:rPr>
              <w:t>orre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3"/>
                <w:position w:val="-1"/>
                <w:sz w:val="20"/>
                <w:szCs w:val="20"/>
              </w:rPr>
              <w:t>ili</w:t>
            </w:r>
            <w:r w:rsidRPr="00537112">
              <w:rPr>
                <w:rFonts w:cs="Verdana"/>
                <w:position w:val="-1"/>
                <w:sz w:val="20"/>
                <w:szCs w:val="20"/>
              </w:rPr>
              <w:t>án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60</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V</w:t>
            </w:r>
            <w:r w:rsidRPr="00537112">
              <w:rPr>
                <w:rFonts w:cs="Verdana"/>
                <w:spacing w:val="-1"/>
                <w:position w:val="-1"/>
                <w:sz w:val="20"/>
                <w:szCs w:val="20"/>
              </w:rPr>
              <w:t>e</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T</w:t>
            </w:r>
            <w:r w:rsidRPr="00537112">
              <w:rPr>
                <w:rFonts w:cs="Verdana"/>
                <w:spacing w:val="-1"/>
                <w:position w:val="-1"/>
                <w:sz w:val="20"/>
                <w:szCs w:val="20"/>
              </w:rPr>
              <w:t>orre</w:t>
            </w:r>
            <w:r w:rsidRPr="00537112">
              <w:rPr>
                <w:rFonts w:cs="Verdana"/>
                <w:position w:val="-1"/>
                <w:sz w:val="20"/>
                <w:szCs w:val="20"/>
              </w:rPr>
              <w:t>s</w:t>
            </w:r>
            <w:r w:rsidRPr="00537112">
              <w:rPr>
                <w:rFonts w:cs="Verdana"/>
                <w:spacing w:val="-7"/>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61</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t</w:t>
            </w:r>
            <w:r w:rsidRPr="00537112">
              <w:rPr>
                <w:rFonts w:cs="Verdana"/>
                <w:spacing w:val="-1"/>
                <w:position w:val="-1"/>
                <w:sz w:val="20"/>
                <w:szCs w:val="20"/>
              </w:rPr>
              <w:t>e</w:t>
            </w:r>
            <w:r w:rsidRPr="00537112">
              <w:rPr>
                <w:rFonts w:cs="Verdana"/>
                <w:position w:val="-1"/>
                <w:sz w:val="20"/>
                <w:szCs w:val="20"/>
              </w:rPr>
              <w:t>o</w:t>
            </w:r>
            <w:r w:rsidRPr="00537112">
              <w:rPr>
                <w:rFonts w:cs="Verdana"/>
                <w:spacing w:val="-8"/>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62</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u</w:t>
            </w:r>
            <w:r w:rsidRPr="00537112">
              <w:rPr>
                <w:rFonts w:cs="Verdana"/>
                <w:spacing w:val="-1"/>
                <w:position w:val="-1"/>
                <w:sz w:val="20"/>
                <w:szCs w:val="20"/>
              </w:rPr>
              <w:t>se</w:t>
            </w:r>
            <w:r w:rsidRPr="00537112">
              <w:rPr>
                <w:rFonts w:cs="Verdana"/>
                <w:spacing w:val="1"/>
                <w:position w:val="-1"/>
                <w:sz w:val="20"/>
                <w:szCs w:val="20"/>
              </w:rPr>
              <w:t>b</w:t>
            </w:r>
            <w:r w:rsidRPr="00537112">
              <w:rPr>
                <w:rFonts w:cs="Verdana"/>
                <w:spacing w:val="3"/>
                <w:position w:val="-1"/>
                <w:sz w:val="20"/>
                <w:szCs w:val="20"/>
              </w:rPr>
              <w:t>i</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63</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w:t>
            </w:r>
            <w:r w:rsidRPr="00537112">
              <w:rPr>
                <w:rFonts w:cs="Verdana"/>
                <w:spacing w:val="-1"/>
                <w:position w:val="-1"/>
                <w:sz w:val="20"/>
                <w:szCs w:val="20"/>
              </w:rPr>
              <w:t>os</w:t>
            </w:r>
            <w:r w:rsidRPr="00537112">
              <w:rPr>
                <w:rFonts w:cs="Verdana"/>
                <w:position w:val="-1"/>
                <w:sz w:val="20"/>
                <w:szCs w:val="20"/>
              </w:rPr>
              <w:t>é</w:t>
            </w:r>
            <w:r w:rsidRPr="00537112">
              <w:rPr>
                <w:rFonts w:cs="Verdana"/>
                <w:spacing w:val="-6"/>
                <w:position w:val="-1"/>
                <w:sz w:val="20"/>
                <w:szCs w:val="20"/>
              </w:rPr>
              <w:t xml:space="preserve"> </w:t>
            </w:r>
            <w:r w:rsidRPr="00537112">
              <w:rPr>
                <w:rFonts w:cs="Verdana"/>
                <w:spacing w:val="-1"/>
                <w:position w:val="-1"/>
                <w:sz w:val="20"/>
                <w:szCs w:val="20"/>
              </w:rPr>
              <w:t>Leó</w:t>
            </w:r>
            <w:r w:rsidRPr="00537112">
              <w:rPr>
                <w:rFonts w:cs="Verdana"/>
                <w:position w:val="-1"/>
                <w:sz w:val="20"/>
                <w:szCs w:val="20"/>
              </w:rPr>
              <w:t>n</w:t>
            </w:r>
            <w:r w:rsidRPr="00537112">
              <w:rPr>
                <w:rFonts w:cs="Verdana"/>
                <w:spacing w:val="-5"/>
                <w:position w:val="-1"/>
                <w:sz w:val="20"/>
                <w:szCs w:val="20"/>
              </w:rPr>
              <w:t xml:space="preserve"> </w:t>
            </w:r>
            <w:r w:rsidRPr="00537112">
              <w:rPr>
                <w:rFonts w:cs="Verdana"/>
                <w:spacing w:val="-1"/>
                <w:position w:val="-1"/>
                <w:sz w:val="20"/>
                <w:szCs w:val="20"/>
              </w:rPr>
              <w:t>Gr</w:t>
            </w:r>
            <w:r w:rsidRPr="00537112">
              <w:rPr>
                <w:rFonts w:cs="Verdana"/>
                <w:position w:val="-1"/>
                <w:sz w:val="20"/>
                <w:szCs w:val="20"/>
              </w:rPr>
              <w:t>ave</w:t>
            </w:r>
            <w:r w:rsidRPr="00537112">
              <w:rPr>
                <w:rFonts w:cs="Verdana"/>
                <w:spacing w:val="-8"/>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64</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r w:rsidRPr="00537112">
              <w:rPr>
                <w:rFonts w:cs="Verdana"/>
                <w:spacing w:val="-8"/>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á</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65</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Pa</w:t>
            </w:r>
            <w:r w:rsidRPr="00537112">
              <w:rPr>
                <w:rFonts w:cs="Verdana"/>
                <w:spacing w:val="1"/>
                <w:position w:val="-1"/>
                <w:sz w:val="20"/>
                <w:szCs w:val="20"/>
              </w:rPr>
              <w:t>u</w:t>
            </w:r>
            <w:r w:rsidRPr="00537112">
              <w:rPr>
                <w:rFonts w:cs="Verdana"/>
                <w:spacing w:val="3"/>
                <w:position w:val="-1"/>
                <w:sz w:val="20"/>
                <w:szCs w:val="20"/>
              </w:rPr>
              <w:t>l</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S</w:t>
            </w:r>
            <w:r w:rsidRPr="00537112">
              <w:rPr>
                <w:rFonts w:cs="Verdana"/>
                <w:spacing w:val="3"/>
                <w:position w:val="-1"/>
                <w:sz w:val="20"/>
                <w:szCs w:val="20"/>
              </w:rPr>
              <w:t>i</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t</w:t>
            </w:r>
            <w:r w:rsidRPr="00537112">
              <w:rPr>
                <w:rFonts w:cs="Verdana"/>
                <w:spacing w:val="-1"/>
                <w:position w:val="-1"/>
                <w:sz w:val="20"/>
                <w:szCs w:val="20"/>
              </w:rPr>
              <w:t>eco</w:t>
            </w:r>
            <w:r w:rsidRPr="00537112">
              <w:rPr>
                <w:rFonts w:cs="Verdana"/>
                <w:position w:val="-1"/>
                <w:sz w:val="20"/>
                <w:szCs w:val="20"/>
              </w:rPr>
              <w:t>c</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66</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Ang</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67</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rcó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68</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Gr</w:t>
            </w:r>
            <w:r w:rsidRPr="00537112">
              <w:rPr>
                <w:rFonts w:cs="Verdana"/>
                <w:position w:val="-1"/>
                <w:sz w:val="20"/>
                <w:szCs w:val="20"/>
              </w:rPr>
              <w:t>a</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M</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position w:val="-1"/>
                <w:sz w:val="20"/>
                <w:szCs w:val="20"/>
              </w:rPr>
              <w:t>e</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69</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C</w:t>
            </w:r>
            <w:r w:rsidRPr="00537112">
              <w:rPr>
                <w:rFonts w:cs="Verdana"/>
                <w:spacing w:val="3"/>
                <w:position w:val="-1"/>
                <w:sz w:val="20"/>
                <w:szCs w:val="20"/>
              </w:rPr>
              <w:t>l</w:t>
            </w:r>
            <w:r w:rsidRPr="00537112">
              <w:rPr>
                <w:rFonts w:cs="Verdana"/>
                <w:spacing w:val="-1"/>
                <w:position w:val="-1"/>
                <w:sz w:val="20"/>
                <w:szCs w:val="20"/>
              </w:rPr>
              <w:t>o</w:t>
            </w:r>
            <w:r w:rsidRPr="00537112">
              <w:rPr>
                <w:rFonts w:cs="Verdana"/>
                <w:spacing w:val="1"/>
                <w:position w:val="-1"/>
                <w:sz w:val="20"/>
                <w:szCs w:val="20"/>
              </w:rPr>
              <w:t>t</w:t>
            </w:r>
            <w:r w:rsidRPr="00537112">
              <w:rPr>
                <w:rFonts w:cs="Verdana"/>
                <w:spacing w:val="3"/>
                <w:position w:val="-1"/>
                <w:sz w:val="20"/>
                <w:szCs w:val="20"/>
              </w:rPr>
              <w:t>il</w:t>
            </w:r>
            <w:r w:rsidRPr="00537112">
              <w:rPr>
                <w:rFonts w:cs="Verdana"/>
                <w:spacing w:val="1"/>
                <w:position w:val="-1"/>
                <w:sz w:val="20"/>
                <w:szCs w:val="20"/>
              </w:rPr>
              <w:t>d</w:t>
            </w:r>
            <w:r w:rsidRPr="00537112">
              <w:rPr>
                <w:rFonts w:cs="Verdana"/>
                <w:position w:val="-1"/>
                <w:sz w:val="20"/>
                <w:szCs w:val="20"/>
              </w:rPr>
              <w:t>e</w:t>
            </w:r>
            <w:r w:rsidRPr="00537112">
              <w:rPr>
                <w:rFonts w:cs="Verdana"/>
                <w:spacing w:val="-9"/>
                <w:position w:val="-1"/>
                <w:sz w:val="20"/>
                <w:szCs w:val="20"/>
              </w:rPr>
              <w:t xml:space="preserve"> </w:t>
            </w:r>
            <w:r w:rsidRPr="00537112">
              <w:rPr>
                <w:rFonts w:cs="Verdana"/>
                <w:spacing w:val="1"/>
                <w:position w:val="-1"/>
                <w:sz w:val="20"/>
                <w:szCs w:val="20"/>
              </w:rPr>
              <w:t>F</w:t>
            </w:r>
            <w:r w:rsidRPr="00537112">
              <w:rPr>
                <w:rFonts w:cs="Verdana"/>
                <w:spacing w:val="-1"/>
                <w:position w:val="-1"/>
                <w:sz w:val="20"/>
                <w:szCs w:val="20"/>
              </w:rPr>
              <w:t>e</w:t>
            </w:r>
            <w:r w:rsidRPr="00537112">
              <w:rPr>
                <w:rFonts w:cs="Verdana"/>
                <w:spacing w:val="3"/>
                <w:position w:val="-1"/>
                <w:sz w:val="20"/>
                <w:szCs w:val="20"/>
              </w:rPr>
              <w:t>li</w:t>
            </w:r>
            <w:r w:rsidRPr="00537112">
              <w:rPr>
                <w:rFonts w:cs="Verdana"/>
                <w:spacing w:val="1"/>
                <w:position w:val="-1"/>
                <w:sz w:val="20"/>
                <w:szCs w:val="20"/>
              </w:rPr>
              <w:t>p</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rcó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position w:val="-1"/>
                <w:sz w:val="20"/>
                <w:szCs w:val="20"/>
              </w:rPr>
              <w:t>e</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70</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E</w:t>
            </w:r>
            <w:r w:rsidRPr="00537112">
              <w:rPr>
                <w:rFonts w:cs="Verdana"/>
                <w:spacing w:val="1"/>
                <w:position w:val="-1"/>
                <w:sz w:val="20"/>
                <w:szCs w:val="20"/>
              </w:rPr>
              <w:t>n</w:t>
            </w:r>
            <w:r w:rsidRPr="00537112">
              <w:rPr>
                <w:rFonts w:cs="Verdana"/>
                <w:spacing w:val="-1"/>
                <w:position w:val="-1"/>
                <w:sz w:val="20"/>
                <w:szCs w:val="20"/>
              </w:rPr>
              <w:t>r</w:t>
            </w:r>
            <w:r w:rsidRPr="00537112">
              <w:rPr>
                <w:rFonts w:cs="Verdana"/>
                <w:spacing w:val="3"/>
                <w:position w:val="-1"/>
                <w:sz w:val="20"/>
                <w:szCs w:val="20"/>
              </w:rPr>
              <w:t>i</w:t>
            </w:r>
            <w:r w:rsidRPr="00537112">
              <w:rPr>
                <w:rFonts w:cs="Verdana"/>
                <w:spacing w:val="1"/>
                <w:position w:val="-1"/>
                <w:sz w:val="20"/>
                <w:szCs w:val="20"/>
              </w:rPr>
              <w:t>qu</w:t>
            </w:r>
            <w:r w:rsidRPr="00537112">
              <w:rPr>
                <w:rFonts w:cs="Verdana"/>
                <w:spacing w:val="-1"/>
                <w:position w:val="-1"/>
                <w:sz w:val="20"/>
                <w:szCs w:val="20"/>
              </w:rPr>
              <w:t>e</w:t>
            </w:r>
            <w:r w:rsidRPr="00537112">
              <w:rPr>
                <w:rFonts w:cs="Verdana"/>
                <w:spacing w:val="1"/>
                <w:position w:val="-1"/>
                <w:sz w:val="20"/>
                <w:szCs w:val="20"/>
              </w:rPr>
              <w:t>t</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3"/>
                <w:position w:val="-1"/>
                <w:sz w:val="20"/>
                <w:szCs w:val="20"/>
              </w:rPr>
              <w:t>i</w:t>
            </w:r>
            <w:r w:rsidRPr="00537112">
              <w:rPr>
                <w:rFonts w:cs="Verdana"/>
                <w:spacing w:val="1"/>
                <w:position w:val="-1"/>
                <w:sz w:val="20"/>
                <w:szCs w:val="20"/>
              </w:rPr>
              <w:t>qu</w:t>
            </w:r>
            <w:r w:rsidRPr="00537112">
              <w:rPr>
                <w:rFonts w:cs="Verdana"/>
                <w:spacing w:val="3"/>
                <w:position w:val="-1"/>
                <w:sz w:val="20"/>
                <w:szCs w:val="20"/>
              </w:rPr>
              <w:t>i</w:t>
            </w:r>
            <w:r w:rsidRPr="00537112">
              <w:rPr>
                <w:rFonts w:cs="Verdana"/>
                <w:spacing w:val="1"/>
                <w:position w:val="-1"/>
                <w:sz w:val="20"/>
                <w:szCs w:val="20"/>
              </w:rPr>
              <w:t>t</w:t>
            </w:r>
            <w:r w:rsidRPr="00537112">
              <w:rPr>
                <w:rFonts w:cs="Verdana"/>
                <w:position w:val="-1"/>
                <w:sz w:val="20"/>
                <w:szCs w:val="20"/>
              </w:rPr>
              <w:t>o</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71</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R</w:t>
            </w:r>
            <w:r w:rsidRPr="00537112">
              <w:rPr>
                <w:rFonts w:cs="Verdana"/>
                <w:spacing w:val="-1"/>
                <w:position w:val="-1"/>
                <w:sz w:val="20"/>
                <w:szCs w:val="20"/>
              </w:rPr>
              <w:t>os</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Go</w:t>
            </w:r>
            <w:r w:rsidRPr="00537112">
              <w:rPr>
                <w:rFonts w:cs="Verdana"/>
                <w:spacing w:val="1"/>
                <w:position w:val="-1"/>
                <w:sz w:val="20"/>
                <w:szCs w:val="20"/>
              </w:rPr>
              <w:t>nz</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z</w:t>
            </w:r>
            <w:r w:rsidRPr="00537112">
              <w:rPr>
                <w:rFonts w:cs="Verdana"/>
                <w:spacing w:val="-9"/>
                <w:position w:val="-1"/>
                <w:sz w:val="20"/>
                <w:szCs w:val="20"/>
              </w:rPr>
              <w:t xml:space="preserve"> </w:t>
            </w:r>
            <w:r w:rsidRPr="00537112">
              <w:rPr>
                <w:rFonts w:cs="Verdana"/>
                <w:position w:val="-1"/>
                <w:sz w:val="20"/>
                <w:szCs w:val="20"/>
              </w:rPr>
              <w:t>T</w:t>
            </w:r>
            <w:r w:rsidRPr="00537112">
              <w:rPr>
                <w:rFonts w:cs="Verdana"/>
                <w:spacing w:val="-1"/>
                <w:position w:val="-1"/>
                <w:sz w:val="20"/>
                <w:szCs w:val="20"/>
              </w:rPr>
              <w:t>ec</w:t>
            </w:r>
            <w:r w:rsidRPr="00537112">
              <w:rPr>
                <w:rFonts w:cs="Verdana"/>
                <w:position w:val="-1"/>
                <w:sz w:val="20"/>
                <w:szCs w:val="20"/>
              </w:rPr>
              <w:t>ú</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72</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Ju</w:t>
            </w:r>
            <w:r w:rsidRPr="00537112">
              <w:rPr>
                <w:rFonts w:cs="Verdana"/>
                <w:position w:val="-1"/>
                <w:sz w:val="20"/>
                <w:szCs w:val="20"/>
              </w:rPr>
              <w:t>a</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spacing w:val="-1"/>
                <w:position w:val="-1"/>
                <w:sz w:val="20"/>
                <w:szCs w:val="20"/>
              </w:rPr>
              <w:t>Ló</w:t>
            </w:r>
            <w:r w:rsidRPr="00537112">
              <w:rPr>
                <w:rFonts w:cs="Verdana"/>
                <w:spacing w:val="1"/>
                <w:position w:val="-1"/>
                <w:sz w:val="20"/>
                <w:szCs w:val="20"/>
              </w:rPr>
              <w:t>p</w:t>
            </w:r>
            <w:r w:rsidRPr="00537112">
              <w:rPr>
                <w:rFonts w:cs="Verdana"/>
                <w:spacing w:val="-1"/>
                <w:position w:val="-1"/>
                <w:sz w:val="20"/>
                <w:szCs w:val="20"/>
              </w:rPr>
              <w:t>e</w:t>
            </w:r>
            <w:r w:rsidRPr="00537112">
              <w:rPr>
                <w:rFonts w:cs="Verdana"/>
                <w:position w:val="-1"/>
                <w:sz w:val="20"/>
                <w:szCs w:val="20"/>
              </w:rPr>
              <w:t>z</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73</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2"/>
                <w:position w:val="-1"/>
                <w:sz w:val="20"/>
                <w:szCs w:val="20"/>
              </w:rPr>
              <w:t>I</w:t>
            </w:r>
            <w:r w:rsidRPr="00537112">
              <w:rPr>
                <w:rFonts w:cs="Verdana"/>
                <w:spacing w:val="-1"/>
                <w:position w:val="-1"/>
                <w:sz w:val="20"/>
                <w:szCs w:val="20"/>
              </w:rPr>
              <w:t>s</w:t>
            </w:r>
            <w:r w:rsidRPr="00537112">
              <w:rPr>
                <w:rFonts w:cs="Verdana"/>
                <w:position w:val="-1"/>
                <w:sz w:val="20"/>
                <w:szCs w:val="20"/>
              </w:rPr>
              <w:t>a</w:t>
            </w:r>
            <w:r w:rsidRPr="00537112">
              <w:rPr>
                <w:rFonts w:cs="Verdana"/>
                <w:spacing w:val="1"/>
                <w:position w:val="-1"/>
                <w:sz w:val="20"/>
                <w:szCs w:val="20"/>
              </w:rPr>
              <w:t>b</w:t>
            </w:r>
            <w:r w:rsidRPr="00537112">
              <w:rPr>
                <w:rFonts w:cs="Verdana"/>
                <w:spacing w:val="-1"/>
                <w:position w:val="-1"/>
                <w:sz w:val="20"/>
                <w:szCs w:val="20"/>
              </w:rPr>
              <w:t>e</w:t>
            </w:r>
            <w:r w:rsidRPr="00537112">
              <w:rPr>
                <w:rFonts w:cs="Verdana"/>
                <w:position w:val="-1"/>
                <w:sz w:val="20"/>
                <w:szCs w:val="20"/>
              </w:rPr>
              <w:t>l</w:t>
            </w:r>
            <w:r w:rsidRPr="00537112">
              <w:rPr>
                <w:rFonts w:cs="Verdana"/>
                <w:spacing w:val="-4"/>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e</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74</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S</w:t>
            </w:r>
            <w:r w:rsidRPr="00537112">
              <w:rPr>
                <w:rFonts w:cs="Verdana"/>
                <w:spacing w:val="3"/>
                <w:position w:val="-1"/>
                <w:sz w:val="20"/>
                <w:szCs w:val="20"/>
              </w:rPr>
              <w:t>i</w:t>
            </w:r>
            <w:r w:rsidRPr="00537112">
              <w:rPr>
                <w:rFonts w:cs="Verdana"/>
                <w:spacing w:val="1"/>
                <w:position w:val="-1"/>
                <w:sz w:val="20"/>
                <w:szCs w:val="20"/>
              </w:rPr>
              <w:t>m</w:t>
            </w:r>
            <w:r w:rsidRPr="00537112">
              <w:rPr>
                <w:rFonts w:cs="Verdana"/>
                <w:spacing w:val="-1"/>
                <w:position w:val="-1"/>
                <w:sz w:val="20"/>
                <w:szCs w:val="20"/>
              </w:rPr>
              <w:t>o</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position w:val="-1"/>
                <w:sz w:val="20"/>
                <w:szCs w:val="20"/>
              </w:rPr>
              <w:t>Ca</w:t>
            </w:r>
            <w:r w:rsidRPr="00537112">
              <w:rPr>
                <w:rFonts w:cs="Verdana"/>
                <w:spacing w:val="1"/>
                <w:position w:val="-1"/>
                <w:sz w:val="20"/>
                <w:szCs w:val="20"/>
              </w:rPr>
              <w:t>hu</w:t>
            </w:r>
            <w:r w:rsidRPr="00537112">
              <w:rPr>
                <w:rFonts w:cs="Verdana"/>
                <w:spacing w:val="-1"/>
                <w:position w:val="-1"/>
                <w:sz w:val="20"/>
                <w:szCs w:val="20"/>
              </w:rPr>
              <w:t>e</w:t>
            </w:r>
            <w:r w:rsidRPr="00537112">
              <w:rPr>
                <w:rFonts w:cs="Verdana"/>
                <w:position w:val="-1"/>
                <w:sz w:val="20"/>
                <w:szCs w:val="20"/>
              </w:rPr>
              <w:t>c</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75</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í</w:t>
            </w:r>
            <w:r w:rsidRPr="00537112">
              <w:rPr>
                <w:rFonts w:cs="Verdana"/>
                <w:position w:val="-1"/>
                <w:sz w:val="20"/>
                <w:szCs w:val="20"/>
              </w:rPr>
              <w:t>a</w:t>
            </w:r>
            <w:r w:rsidRPr="00537112">
              <w:rPr>
                <w:rFonts w:cs="Verdana"/>
                <w:spacing w:val="-5"/>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r w:rsidRPr="00537112">
              <w:rPr>
                <w:rFonts w:cs="Verdana"/>
                <w:spacing w:val="-6"/>
                <w:position w:val="-1"/>
                <w:sz w:val="20"/>
                <w:szCs w:val="20"/>
              </w:rPr>
              <w:t xml:space="preserve"> </w:t>
            </w:r>
            <w:r w:rsidRPr="00537112">
              <w:rPr>
                <w:rFonts w:cs="Verdana"/>
                <w:position w:val="-1"/>
                <w:sz w:val="20"/>
                <w:szCs w:val="20"/>
              </w:rPr>
              <w:t>Ma</w:t>
            </w:r>
            <w:r w:rsidRPr="00537112">
              <w:rPr>
                <w:rFonts w:cs="Verdana"/>
                <w:spacing w:val="1"/>
                <w:position w:val="-1"/>
                <w:sz w:val="20"/>
                <w:szCs w:val="20"/>
              </w:rPr>
              <w:t>nu</w:t>
            </w:r>
            <w:r w:rsidRPr="00537112">
              <w:rPr>
                <w:rFonts w:cs="Verdana"/>
                <w:spacing w:val="-1"/>
                <w:position w:val="-1"/>
                <w:sz w:val="20"/>
                <w:szCs w:val="20"/>
              </w:rPr>
              <w:t>e</w:t>
            </w:r>
            <w:r w:rsidRPr="00537112">
              <w:rPr>
                <w:rFonts w:cs="Verdana"/>
                <w:position w:val="-1"/>
                <w:sz w:val="20"/>
                <w:szCs w:val="20"/>
              </w:rPr>
              <w:t>l</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76</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Ad</w:t>
            </w:r>
            <w:r w:rsidRPr="00537112">
              <w:rPr>
                <w:rFonts w:cs="Verdana"/>
                <w:spacing w:val="-1"/>
                <w:position w:val="-1"/>
                <w:sz w:val="20"/>
                <w:szCs w:val="20"/>
              </w:rPr>
              <w:t>e</w:t>
            </w:r>
            <w:r w:rsidRPr="00537112">
              <w:rPr>
                <w:rFonts w:cs="Verdana"/>
                <w:spacing w:val="3"/>
                <w:position w:val="-1"/>
                <w:sz w:val="20"/>
                <w:szCs w:val="20"/>
              </w:rPr>
              <w:t>l</w:t>
            </w:r>
            <w:r w:rsidRPr="00537112">
              <w:rPr>
                <w:rFonts w:cs="Verdana"/>
                <w:position w:val="-1"/>
                <w:sz w:val="20"/>
                <w:szCs w:val="20"/>
              </w:rPr>
              <w:t>a</w:t>
            </w:r>
            <w:r w:rsidRPr="00537112">
              <w:rPr>
                <w:rFonts w:cs="Verdana"/>
                <w:spacing w:val="-6"/>
                <w:position w:val="-1"/>
                <w:sz w:val="20"/>
                <w:szCs w:val="20"/>
              </w:rPr>
              <w:t xml:space="preserve"> </w:t>
            </w:r>
            <w:r w:rsidRPr="00537112">
              <w:rPr>
                <w:rFonts w:cs="Verdana"/>
                <w:spacing w:val="1"/>
                <w:position w:val="-1"/>
                <w:sz w:val="20"/>
                <w:szCs w:val="20"/>
              </w:rPr>
              <w:t>F</w:t>
            </w:r>
            <w:r w:rsidRPr="00537112">
              <w:rPr>
                <w:rFonts w:cs="Verdana"/>
                <w:spacing w:val="3"/>
                <w:position w:val="-1"/>
                <w:sz w:val="20"/>
                <w:szCs w:val="20"/>
              </w:rPr>
              <w:t>l</w:t>
            </w:r>
            <w:r w:rsidRPr="00537112">
              <w:rPr>
                <w:rFonts w:cs="Verdana"/>
                <w:spacing w:val="-1"/>
                <w:position w:val="-1"/>
                <w:sz w:val="20"/>
                <w:szCs w:val="20"/>
              </w:rPr>
              <w:t>ore</w:t>
            </w:r>
            <w:r w:rsidRPr="00537112">
              <w:rPr>
                <w:rFonts w:cs="Verdana"/>
                <w:spacing w:val="1"/>
                <w:position w:val="-1"/>
                <w:sz w:val="20"/>
                <w:szCs w:val="20"/>
              </w:rPr>
              <w:t>nt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í</w:t>
            </w:r>
            <w:r w:rsidRPr="00537112">
              <w:rPr>
                <w:rFonts w:cs="Verdana"/>
                <w:position w:val="-1"/>
                <w:sz w:val="20"/>
                <w:szCs w:val="20"/>
              </w:rPr>
              <w:t>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77</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spacing w:val="-1"/>
                <w:position w:val="-1"/>
                <w:sz w:val="20"/>
                <w:szCs w:val="20"/>
              </w:rPr>
              <w:t>Hec</w:t>
            </w:r>
            <w:r w:rsidRPr="00537112">
              <w:rPr>
                <w:rFonts w:cs="Verdana"/>
                <w:spacing w:val="1"/>
                <w:position w:val="-1"/>
                <w:sz w:val="20"/>
                <w:szCs w:val="20"/>
              </w:rPr>
              <w:t>t</w:t>
            </w:r>
            <w:r w:rsidRPr="00537112">
              <w:rPr>
                <w:rFonts w:cs="Verdana"/>
                <w:spacing w:val="-1"/>
                <w:position w:val="-1"/>
                <w:sz w:val="20"/>
                <w:szCs w:val="20"/>
              </w:rPr>
              <w:t>o</w:t>
            </w:r>
            <w:r w:rsidRPr="00537112">
              <w:rPr>
                <w:rFonts w:cs="Verdana"/>
                <w:position w:val="-1"/>
                <w:sz w:val="20"/>
                <w:szCs w:val="20"/>
              </w:rPr>
              <w:t>r</w:t>
            </w:r>
            <w:r w:rsidRPr="00537112">
              <w:rPr>
                <w:rFonts w:cs="Verdana"/>
                <w:spacing w:val="-9"/>
                <w:position w:val="-1"/>
                <w:sz w:val="20"/>
                <w:szCs w:val="20"/>
              </w:rPr>
              <w:t xml:space="preserve"> </w:t>
            </w:r>
            <w:r w:rsidRPr="00537112">
              <w:rPr>
                <w:rFonts w:cs="Verdana"/>
                <w:spacing w:val="1"/>
                <w:position w:val="-1"/>
                <w:sz w:val="20"/>
                <w:szCs w:val="20"/>
              </w:rPr>
              <w:t>R</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nd</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1"/>
                <w:position w:val="-1"/>
                <w:sz w:val="20"/>
                <w:szCs w:val="20"/>
              </w:rPr>
              <w:t>rc</w:t>
            </w:r>
            <w:r w:rsidRPr="00537112">
              <w:rPr>
                <w:rFonts w:cs="Verdana"/>
                <w:spacing w:val="3"/>
                <w:position w:val="-1"/>
                <w:sz w:val="20"/>
                <w:szCs w:val="20"/>
              </w:rPr>
              <w:t>i</w:t>
            </w:r>
            <w:r w:rsidRPr="00537112">
              <w:rPr>
                <w:rFonts w:cs="Verdana"/>
                <w:position w:val="-1"/>
                <w:sz w:val="20"/>
                <w:szCs w:val="20"/>
              </w:rPr>
              <w:t>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78</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a</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o</w:t>
            </w:r>
            <w:r w:rsidRPr="00537112">
              <w:rPr>
                <w:rFonts w:cs="Verdana"/>
                <w:spacing w:val="1"/>
                <w:position w:val="-1"/>
                <w:sz w:val="20"/>
                <w:szCs w:val="20"/>
              </w:rPr>
              <w:t>n</w:t>
            </w:r>
            <w:r w:rsidRPr="00537112">
              <w:rPr>
                <w:rFonts w:cs="Verdana"/>
                <w:spacing w:val="-1"/>
                <w:position w:val="-1"/>
                <w:sz w:val="20"/>
                <w:szCs w:val="20"/>
              </w:rPr>
              <w:t>ce</w:t>
            </w:r>
            <w:r w:rsidRPr="00537112">
              <w:rPr>
                <w:rFonts w:cs="Verdana"/>
                <w:spacing w:val="1"/>
                <w:position w:val="-1"/>
                <w:sz w:val="20"/>
                <w:szCs w:val="20"/>
              </w:rPr>
              <w:t>p</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ó</w:t>
            </w:r>
            <w:r w:rsidRPr="00537112">
              <w:rPr>
                <w:rFonts w:cs="Verdana"/>
                <w:position w:val="-1"/>
                <w:sz w:val="20"/>
                <w:szCs w:val="20"/>
              </w:rPr>
              <w:t>n</w:t>
            </w:r>
            <w:r w:rsidRPr="00537112">
              <w:rPr>
                <w:rFonts w:cs="Verdana"/>
                <w:spacing w:val="-11"/>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tumul</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79</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7"/>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tumul</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80</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26" w:lineRule="exact"/>
              <w:ind w:right="-20"/>
              <w:jc w:val="left"/>
              <w:textAlignment w:val="auto"/>
              <w:rPr>
                <w:rFonts w:ascii="Times New Roman" w:hAnsi="Times New Roman"/>
              </w:rPr>
            </w:pPr>
            <w:r w:rsidRPr="00537112">
              <w:rPr>
                <w:rFonts w:cs="Verdana"/>
                <w:position w:val="-1"/>
                <w:sz w:val="20"/>
                <w:szCs w:val="20"/>
              </w:rPr>
              <w:t>P</w:t>
            </w:r>
            <w:r w:rsidRPr="00537112">
              <w:rPr>
                <w:rFonts w:cs="Verdana"/>
                <w:spacing w:val="3"/>
                <w:position w:val="-1"/>
                <w:sz w:val="20"/>
                <w:szCs w:val="20"/>
              </w:rPr>
              <w:t>l</w:t>
            </w:r>
            <w:r w:rsidRPr="00537112">
              <w:rPr>
                <w:rFonts w:cs="Verdana"/>
                <w:position w:val="-1"/>
                <w:sz w:val="20"/>
                <w:szCs w:val="20"/>
              </w:rPr>
              <w:t>á</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d</w:t>
            </w:r>
            <w:r w:rsidRPr="00537112">
              <w:rPr>
                <w:rFonts w:cs="Verdana"/>
                <w:position w:val="-1"/>
                <w:sz w:val="20"/>
                <w:szCs w:val="20"/>
              </w:rPr>
              <w:t>o</w:t>
            </w:r>
            <w:r w:rsidRPr="00537112">
              <w:rPr>
                <w:rFonts w:cs="Verdana"/>
                <w:spacing w:val="-9"/>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a</w:t>
            </w:r>
            <w:r w:rsidRPr="00537112">
              <w:rPr>
                <w:rFonts w:cs="Verdana"/>
                <w:spacing w:val="-1"/>
                <w:position w:val="-1"/>
                <w:sz w:val="20"/>
                <w:szCs w:val="20"/>
              </w:rPr>
              <w:t>rcó</w:t>
            </w:r>
            <w:r w:rsidRPr="00537112">
              <w:rPr>
                <w:rFonts w:cs="Verdana"/>
                <w:position w:val="-1"/>
                <w:sz w:val="20"/>
                <w:szCs w:val="20"/>
              </w:rPr>
              <w:t>n</w:t>
            </w:r>
            <w:r w:rsidRPr="00537112">
              <w:rPr>
                <w:rFonts w:cs="Verdana"/>
                <w:spacing w:val="-7"/>
                <w:position w:val="-1"/>
                <w:sz w:val="20"/>
                <w:szCs w:val="20"/>
              </w:rPr>
              <w:t xml:space="preserve"> </w:t>
            </w:r>
            <w:r w:rsidRPr="00537112">
              <w:rPr>
                <w:rFonts w:cs="Verdana"/>
                <w:position w:val="-1"/>
                <w:sz w:val="20"/>
                <w:szCs w:val="20"/>
              </w:rPr>
              <w:t>M</w:t>
            </w:r>
            <w:r w:rsidRPr="00537112">
              <w:rPr>
                <w:rFonts w:cs="Verdana"/>
                <w:spacing w:val="-1"/>
                <w:position w:val="-1"/>
                <w:sz w:val="20"/>
                <w:szCs w:val="20"/>
              </w:rPr>
              <w:t>or</w:t>
            </w:r>
            <w:r w:rsidRPr="00537112">
              <w:rPr>
                <w:rFonts w:cs="Verdana"/>
                <w:position w:val="-1"/>
                <w:sz w:val="20"/>
                <w:szCs w:val="20"/>
              </w:rPr>
              <w:t>a</w:t>
            </w:r>
            <w:r w:rsidRPr="00537112">
              <w:rPr>
                <w:rFonts w:cs="Verdana"/>
                <w:spacing w:val="3"/>
                <w:position w:val="-1"/>
                <w:sz w:val="20"/>
                <w:szCs w:val="20"/>
              </w:rPr>
              <w:t>l</w:t>
            </w:r>
            <w:r w:rsidRPr="00537112">
              <w:rPr>
                <w:rFonts w:cs="Verdana"/>
                <w:spacing w:val="-1"/>
                <w:position w:val="-1"/>
                <w:sz w:val="20"/>
                <w:szCs w:val="20"/>
              </w:rPr>
              <w:t>e</w:t>
            </w:r>
            <w:r w:rsidRPr="00537112">
              <w:rPr>
                <w:rFonts w:cs="Verdana"/>
                <w:position w:val="-1"/>
                <w:sz w:val="20"/>
                <w:szCs w:val="20"/>
              </w:rPr>
              <w:t>s</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81</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B</w:t>
            </w:r>
            <w:r w:rsidRPr="00537112">
              <w:rPr>
                <w:rFonts w:cs="Verdana"/>
                <w:spacing w:val="1"/>
                <w:sz w:val="20"/>
                <w:szCs w:val="20"/>
              </w:rPr>
              <w:t>u</w:t>
            </w:r>
            <w:r w:rsidRPr="00537112">
              <w:rPr>
                <w:rFonts w:cs="Verdana"/>
                <w:spacing w:val="-1"/>
                <w:sz w:val="20"/>
                <w:szCs w:val="20"/>
              </w:rPr>
              <w:t>e</w:t>
            </w:r>
            <w:r w:rsidRPr="00537112">
              <w:rPr>
                <w:rFonts w:cs="Verdana"/>
                <w:spacing w:val="1"/>
                <w:sz w:val="20"/>
                <w:szCs w:val="20"/>
              </w:rPr>
              <w:t>n</w:t>
            </w:r>
            <w:r w:rsidRPr="00537112">
              <w:rPr>
                <w:rFonts w:cs="Verdana"/>
                <w:sz w:val="20"/>
                <w:szCs w:val="20"/>
              </w:rPr>
              <w:t>av</w:t>
            </w:r>
            <w:r w:rsidRPr="00537112">
              <w:rPr>
                <w:rFonts w:cs="Verdana"/>
                <w:spacing w:val="-1"/>
                <w:sz w:val="20"/>
                <w:szCs w:val="20"/>
              </w:rPr>
              <w:t>e</w:t>
            </w:r>
            <w:r w:rsidRPr="00537112">
              <w:rPr>
                <w:rFonts w:cs="Verdana"/>
                <w:spacing w:val="1"/>
                <w:sz w:val="20"/>
                <w:szCs w:val="20"/>
              </w:rPr>
              <w:t>ntu</w:t>
            </w:r>
            <w:r w:rsidRPr="00537112">
              <w:rPr>
                <w:rFonts w:cs="Verdana"/>
                <w:spacing w:val="-1"/>
                <w:sz w:val="20"/>
                <w:szCs w:val="20"/>
              </w:rPr>
              <w:t>r</w:t>
            </w:r>
            <w:r w:rsidRPr="00537112">
              <w:rPr>
                <w:rFonts w:cs="Verdana"/>
                <w:sz w:val="20"/>
                <w:szCs w:val="20"/>
              </w:rPr>
              <w:t>a</w:t>
            </w:r>
            <w:r w:rsidRPr="00537112">
              <w:rPr>
                <w:rFonts w:cs="Verdana"/>
                <w:spacing w:val="-14"/>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r w:rsidRPr="00537112">
              <w:rPr>
                <w:rFonts w:cs="Verdana"/>
                <w:spacing w:val="-5"/>
                <w:sz w:val="20"/>
                <w:szCs w:val="20"/>
              </w:rPr>
              <w:t xml:space="preserve"> </w:t>
            </w:r>
            <w:r w:rsidRPr="00537112">
              <w:rPr>
                <w:rFonts w:cs="Verdana"/>
                <w:sz w:val="20"/>
                <w:szCs w:val="20"/>
              </w:rPr>
              <w:t>Ba</w:t>
            </w:r>
            <w:r w:rsidRPr="00537112">
              <w:rPr>
                <w:rFonts w:cs="Verdana"/>
                <w:spacing w:val="-1"/>
                <w:sz w:val="20"/>
                <w:szCs w:val="20"/>
              </w:rPr>
              <w:t>c</w:t>
            </w:r>
            <w:r w:rsidRPr="00537112">
              <w:rPr>
                <w:rFonts w:cs="Verdana"/>
                <w:spacing w:val="1"/>
                <w:sz w:val="20"/>
                <w:szCs w:val="20"/>
              </w:rPr>
              <w:t>h</w:t>
            </w:r>
            <w:r w:rsidRPr="00537112">
              <w:rPr>
                <w:rFonts w:cs="Verdana"/>
                <w:sz w:val="20"/>
                <w:szCs w:val="20"/>
              </w:rPr>
              <w:t>án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82</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Agu</w:t>
            </w:r>
            <w:r w:rsidRPr="00537112">
              <w:rPr>
                <w:rFonts w:cs="Verdana"/>
                <w:spacing w:val="-1"/>
                <w:sz w:val="20"/>
                <w:szCs w:val="20"/>
              </w:rPr>
              <w:t>s</w:t>
            </w:r>
            <w:r w:rsidRPr="00537112">
              <w:rPr>
                <w:rFonts w:cs="Verdana"/>
                <w:spacing w:val="1"/>
                <w:sz w:val="20"/>
                <w:szCs w:val="20"/>
              </w:rPr>
              <w:t>t</w:t>
            </w:r>
            <w:r w:rsidRPr="00537112">
              <w:rPr>
                <w:rFonts w:cs="Verdana"/>
                <w:spacing w:val="3"/>
                <w:sz w:val="20"/>
                <w:szCs w:val="20"/>
              </w:rPr>
              <w:t>í</w:t>
            </w:r>
            <w:r w:rsidRPr="00537112">
              <w:rPr>
                <w:rFonts w:cs="Verdana"/>
                <w:sz w:val="20"/>
                <w:szCs w:val="20"/>
              </w:rPr>
              <w:t>n</w:t>
            </w:r>
            <w:r w:rsidRPr="00537112">
              <w:rPr>
                <w:rFonts w:cs="Verdana"/>
                <w:spacing w:val="-8"/>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r w:rsidRPr="00537112">
              <w:rPr>
                <w:rFonts w:cs="Verdana"/>
                <w:spacing w:val="-5"/>
                <w:sz w:val="20"/>
                <w:szCs w:val="20"/>
              </w:rPr>
              <w:t xml:space="preserve"> </w:t>
            </w:r>
            <w:r w:rsidRPr="00537112">
              <w:rPr>
                <w:rFonts w:cs="Verdana"/>
                <w:sz w:val="20"/>
                <w:szCs w:val="20"/>
              </w:rPr>
              <w:t>Ba</w:t>
            </w:r>
            <w:r w:rsidRPr="00537112">
              <w:rPr>
                <w:rFonts w:cs="Verdana"/>
                <w:spacing w:val="-1"/>
                <w:sz w:val="20"/>
                <w:szCs w:val="20"/>
              </w:rPr>
              <w:t>c</w:t>
            </w:r>
            <w:r w:rsidRPr="00537112">
              <w:rPr>
                <w:rFonts w:cs="Verdana"/>
                <w:spacing w:val="1"/>
                <w:sz w:val="20"/>
                <w:szCs w:val="20"/>
              </w:rPr>
              <w:t>h</w:t>
            </w:r>
            <w:r w:rsidRPr="00537112">
              <w:rPr>
                <w:rFonts w:cs="Verdana"/>
                <w:sz w:val="20"/>
                <w:szCs w:val="20"/>
              </w:rPr>
              <w:t>án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83</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J</w:t>
            </w:r>
            <w:r w:rsidRPr="00537112">
              <w:rPr>
                <w:rFonts w:cs="Verdana"/>
                <w:spacing w:val="-1"/>
                <w:sz w:val="20"/>
                <w:szCs w:val="20"/>
              </w:rPr>
              <w:t>os</w:t>
            </w:r>
            <w:r w:rsidRPr="00537112">
              <w:rPr>
                <w:rFonts w:cs="Verdana"/>
                <w:sz w:val="20"/>
                <w:szCs w:val="20"/>
              </w:rPr>
              <w:t>é</w:t>
            </w:r>
            <w:r w:rsidRPr="00537112">
              <w:rPr>
                <w:rFonts w:cs="Verdana"/>
                <w:spacing w:val="-6"/>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z w:val="20"/>
                <w:szCs w:val="20"/>
              </w:rPr>
              <w:t>Ma</w:t>
            </w:r>
            <w:r w:rsidRPr="00537112">
              <w:rPr>
                <w:rFonts w:cs="Verdana"/>
                <w:spacing w:val="1"/>
                <w:sz w:val="20"/>
                <w:szCs w:val="20"/>
              </w:rPr>
              <w:t>t</w:t>
            </w:r>
            <w:r w:rsidRPr="00537112">
              <w:rPr>
                <w:rFonts w:cs="Verdana"/>
                <w:spacing w:val="3"/>
                <w:sz w:val="20"/>
                <w:szCs w:val="20"/>
              </w:rPr>
              <w:t>í</w:t>
            </w:r>
            <w:r w:rsidRPr="00537112">
              <w:rPr>
                <w:rFonts w:cs="Verdana"/>
                <w:sz w:val="20"/>
                <w:szCs w:val="20"/>
              </w:rPr>
              <w:t>as</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84</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í</w:t>
            </w:r>
            <w:r w:rsidRPr="00537112">
              <w:rPr>
                <w:rFonts w:cs="Verdana"/>
                <w:sz w:val="20"/>
                <w:szCs w:val="20"/>
              </w:rPr>
              <w:t>a</w:t>
            </w:r>
            <w:r w:rsidRPr="00537112">
              <w:rPr>
                <w:rFonts w:cs="Verdana"/>
                <w:spacing w:val="-5"/>
                <w:sz w:val="20"/>
                <w:szCs w:val="20"/>
              </w:rPr>
              <w:t xml:space="preserve"> </w:t>
            </w:r>
            <w:r w:rsidRPr="00537112">
              <w:rPr>
                <w:rFonts w:cs="Verdana"/>
                <w:spacing w:val="-1"/>
                <w:sz w:val="20"/>
                <w:szCs w:val="20"/>
              </w:rPr>
              <w:t>E</w:t>
            </w:r>
            <w:r w:rsidRPr="00537112">
              <w:rPr>
                <w:rFonts w:cs="Verdana"/>
                <w:spacing w:val="3"/>
                <w:sz w:val="20"/>
                <w:szCs w:val="20"/>
              </w:rPr>
              <w:t>l</w:t>
            </w:r>
            <w:r w:rsidRPr="00537112">
              <w:rPr>
                <w:rFonts w:cs="Verdana"/>
                <w:spacing w:val="-1"/>
                <w:sz w:val="20"/>
                <w:szCs w:val="20"/>
              </w:rPr>
              <w:t>e</w:t>
            </w:r>
            <w:r w:rsidRPr="00537112">
              <w:rPr>
                <w:rFonts w:cs="Verdana"/>
                <w:spacing w:val="1"/>
                <w:sz w:val="20"/>
                <w:szCs w:val="20"/>
              </w:rPr>
              <w:t>n</w:t>
            </w:r>
            <w:r w:rsidRPr="00537112">
              <w:rPr>
                <w:rFonts w:cs="Verdana"/>
                <w:sz w:val="20"/>
                <w:szCs w:val="20"/>
              </w:rPr>
              <w:t>a</w:t>
            </w:r>
            <w:r w:rsidRPr="00537112">
              <w:rPr>
                <w:rFonts w:cs="Verdana"/>
                <w:spacing w:val="-5"/>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z w:val="20"/>
                <w:szCs w:val="20"/>
              </w:rPr>
              <w:t>Ma</w:t>
            </w:r>
            <w:r w:rsidRPr="00537112">
              <w:rPr>
                <w:rFonts w:cs="Verdana"/>
                <w:spacing w:val="1"/>
                <w:sz w:val="20"/>
                <w:szCs w:val="20"/>
              </w:rPr>
              <w:t>t</w:t>
            </w:r>
            <w:r w:rsidRPr="00537112">
              <w:rPr>
                <w:rFonts w:cs="Verdana"/>
                <w:spacing w:val="3"/>
                <w:sz w:val="20"/>
                <w:szCs w:val="20"/>
              </w:rPr>
              <w:t>í</w:t>
            </w:r>
            <w:r w:rsidRPr="00537112">
              <w:rPr>
                <w:rFonts w:cs="Verdana"/>
                <w:sz w:val="20"/>
                <w:szCs w:val="20"/>
              </w:rPr>
              <w:t>as</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85</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Pa</w:t>
            </w:r>
            <w:r w:rsidRPr="00537112">
              <w:rPr>
                <w:rFonts w:cs="Verdana"/>
                <w:spacing w:val="1"/>
                <w:sz w:val="20"/>
                <w:szCs w:val="20"/>
              </w:rPr>
              <w:t>u</w:t>
            </w:r>
            <w:r w:rsidRPr="00537112">
              <w:rPr>
                <w:rFonts w:cs="Verdana"/>
                <w:spacing w:val="3"/>
                <w:sz w:val="20"/>
                <w:szCs w:val="20"/>
              </w:rPr>
              <w:t>li</w:t>
            </w:r>
            <w:r w:rsidRPr="00537112">
              <w:rPr>
                <w:rFonts w:cs="Verdana"/>
                <w:spacing w:val="1"/>
                <w:sz w:val="20"/>
                <w:szCs w:val="20"/>
              </w:rPr>
              <w:t>n</w:t>
            </w:r>
            <w:r w:rsidRPr="00537112">
              <w:rPr>
                <w:rFonts w:cs="Verdana"/>
                <w:sz w:val="20"/>
                <w:szCs w:val="20"/>
              </w:rPr>
              <w:t>a</w:t>
            </w:r>
            <w:r w:rsidRPr="00537112">
              <w:rPr>
                <w:rFonts w:cs="Verdana"/>
                <w:spacing w:val="-7"/>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Osor</w:t>
            </w:r>
            <w:r w:rsidRPr="00537112">
              <w:rPr>
                <w:rFonts w:cs="Verdana"/>
                <w:spacing w:val="3"/>
                <w:sz w:val="20"/>
                <w:szCs w:val="20"/>
              </w:rPr>
              <w:t>io</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86</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Ca</w:t>
            </w:r>
            <w:r w:rsidRPr="00537112">
              <w:rPr>
                <w:rFonts w:cs="Verdana"/>
                <w:spacing w:val="1"/>
                <w:sz w:val="20"/>
                <w:szCs w:val="20"/>
              </w:rPr>
              <w:t>t</w:t>
            </w:r>
            <w:r w:rsidRPr="00537112">
              <w:rPr>
                <w:rFonts w:cs="Verdana"/>
                <w:sz w:val="20"/>
                <w:szCs w:val="20"/>
              </w:rPr>
              <w:t>a</w:t>
            </w:r>
            <w:r w:rsidRPr="00537112">
              <w:rPr>
                <w:rFonts w:cs="Verdana"/>
                <w:spacing w:val="3"/>
                <w:sz w:val="20"/>
                <w:szCs w:val="20"/>
              </w:rPr>
              <w:t>li</w:t>
            </w:r>
            <w:r w:rsidRPr="00537112">
              <w:rPr>
                <w:rFonts w:cs="Verdana"/>
                <w:spacing w:val="1"/>
                <w:sz w:val="20"/>
                <w:szCs w:val="20"/>
              </w:rPr>
              <w:t>n</w:t>
            </w:r>
            <w:r w:rsidRPr="00537112">
              <w:rPr>
                <w:rFonts w:cs="Verdana"/>
                <w:sz w:val="20"/>
                <w:szCs w:val="20"/>
              </w:rPr>
              <w:t>a</w:t>
            </w:r>
            <w:r w:rsidRPr="00537112">
              <w:rPr>
                <w:rFonts w:cs="Verdana"/>
                <w:spacing w:val="-8"/>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r w:rsidRPr="00537112">
              <w:rPr>
                <w:rFonts w:cs="Verdana"/>
                <w:spacing w:val="-6"/>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87</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i</w:t>
            </w:r>
            <w:r w:rsidRPr="00537112">
              <w:rPr>
                <w:rFonts w:cs="Verdana"/>
                <w:sz w:val="20"/>
                <w:szCs w:val="20"/>
              </w:rPr>
              <w:t>a</w:t>
            </w:r>
            <w:r w:rsidRPr="00537112">
              <w:rPr>
                <w:rFonts w:cs="Verdana"/>
                <w:spacing w:val="-5"/>
                <w:sz w:val="20"/>
                <w:szCs w:val="20"/>
              </w:rPr>
              <w:t xml:space="preserve"> </w:t>
            </w:r>
            <w:r w:rsidRPr="00537112">
              <w:rPr>
                <w:rFonts w:cs="Verdana"/>
                <w:spacing w:val="1"/>
                <w:sz w:val="20"/>
                <w:szCs w:val="20"/>
              </w:rPr>
              <w:t>J</w:t>
            </w:r>
            <w:r w:rsidRPr="00537112">
              <w:rPr>
                <w:rFonts w:cs="Verdana"/>
                <w:spacing w:val="-1"/>
                <w:sz w:val="20"/>
                <w:szCs w:val="20"/>
              </w:rPr>
              <w:t>es</w:t>
            </w:r>
            <w:r w:rsidRPr="00537112">
              <w:rPr>
                <w:rFonts w:cs="Verdana"/>
                <w:spacing w:val="1"/>
                <w:sz w:val="20"/>
                <w:szCs w:val="20"/>
              </w:rPr>
              <w:t>u</w:t>
            </w:r>
            <w:r w:rsidRPr="00537112">
              <w:rPr>
                <w:rFonts w:cs="Verdana"/>
                <w:sz w:val="20"/>
                <w:szCs w:val="20"/>
              </w:rPr>
              <w:t>s</w:t>
            </w:r>
            <w:r w:rsidRPr="00537112">
              <w:rPr>
                <w:rFonts w:cs="Verdana"/>
                <w:spacing w:val="-6"/>
                <w:sz w:val="20"/>
                <w:szCs w:val="20"/>
              </w:rPr>
              <w:t xml:space="preserve"> </w:t>
            </w:r>
            <w:r w:rsidRPr="00537112">
              <w:rPr>
                <w:rFonts w:cs="Verdana"/>
                <w:sz w:val="20"/>
                <w:szCs w:val="20"/>
              </w:rPr>
              <w:t>Ma</w:t>
            </w:r>
            <w:r w:rsidRPr="00537112">
              <w:rPr>
                <w:rFonts w:cs="Verdana"/>
                <w:spacing w:val="1"/>
                <w:sz w:val="20"/>
                <w:szCs w:val="20"/>
              </w:rPr>
              <w:t>t</w:t>
            </w:r>
            <w:r w:rsidRPr="00537112">
              <w:rPr>
                <w:rFonts w:cs="Verdana"/>
                <w:spacing w:val="3"/>
                <w:sz w:val="20"/>
                <w:szCs w:val="20"/>
              </w:rPr>
              <w:t>i</w:t>
            </w:r>
            <w:r w:rsidRPr="00537112">
              <w:rPr>
                <w:rFonts w:cs="Verdana"/>
                <w:sz w:val="20"/>
                <w:szCs w:val="20"/>
              </w:rPr>
              <w:t>as</w:t>
            </w:r>
            <w:r w:rsidRPr="00537112">
              <w:rPr>
                <w:rFonts w:cs="Verdana"/>
                <w:spacing w:val="-7"/>
                <w:sz w:val="20"/>
                <w:szCs w:val="20"/>
              </w:rPr>
              <w:t xml:space="preserve"> </w:t>
            </w:r>
            <w:r w:rsidRPr="00537112">
              <w:rPr>
                <w:rFonts w:cs="Verdana"/>
                <w:spacing w:val="-1"/>
                <w:sz w:val="20"/>
                <w:szCs w:val="20"/>
              </w:rPr>
              <w:t>O</w:t>
            </w:r>
            <w:r w:rsidRPr="00537112">
              <w:rPr>
                <w:rFonts w:cs="Verdana"/>
                <w:spacing w:val="1"/>
                <w:sz w:val="20"/>
                <w:szCs w:val="20"/>
              </w:rPr>
              <w:t>j</w:t>
            </w:r>
            <w:r w:rsidRPr="00537112">
              <w:rPr>
                <w:rFonts w:cs="Verdana"/>
                <w:spacing w:val="-1"/>
                <w:sz w:val="20"/>
                <w:szCs w:val="20"/>
              </w:rPr>
              <w:t>ó</w:t>
            </w:r>
            <w:r w:rsidRPr="00537112">
              <w:rPr>
                <w:rFonts w:cs="Verdana"/>
                <w:sz w:val="20"/>
                <w:szCs w:val="20"/>
              </w:rPr>
              <w:t>m</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88</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pacing w:val="1"/>
                <w:sz w:val="20"/>
                <w:szCs w:val="20"/>
              </w:rPr>
              <w:t>nt</w:t>
            </w:r>
            <w:r w:rsidRPr="00537112">
              <w:rPr>
                <w:rFonts w:cs="Verdana"/>
                <w:spacing w:val="3"/>
                <w:sz w:val="20"/>
                <w:szCs w:val="20"/>
              </w:rPr>
              <w:t>i</w:t>
            </w:r>
            <w:r w:rsidRPr="00537112">
              <w:rPr>
                <w:rFonts w:cs="Verdana"/>
                <w:spacing w:val="1"/>
                <w:sz w:val="20"/>
                <w:szCs w:val="20"/>
              </w:rPr>
              <w:t>n</w:t>
            </w:r>
            <w:r w:rsidRPr="00537112">
              <w:rPr>
                <w:rFonts w:cs="Verdana"/>
                <w:sz w:val="20"/>
                <w:szCs w:val="20"/>
              </w:rPr>
              <w:t>a</w:t>
            </w:r>
            <w:r w:rsidRPr="00537112">
              <w:rPr>
                <w:rFonts w:cs="Verdana"/>
                <w:spacing w:val="-9"/>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r w:rsidRPr="00537112">
              <w:rPr>
                <w:rFonts w:cs="Verdana"/>
                <w:spacing w:val="-6"/>
                <w:sz w:val="20"/>
                <w:szCs w:val="20"/>
              </w:rPr>
              <w:t xml:space="preserve"> </w:t>
            </w:r>
            <w:r w:rsidRPr="00537112">
              <w:rPr>
                <w:rFonts w:cs="Verdana"/>
                <w:spacing w:val="1"/>
                <w:sz w:val="20"/>
                <w:szCs w:val="20"/>
              </w:rPr>
              <w:t>S</w:t>
            </w:r>
            <w:r w:rsidRPr="00537112">
              <w:rPr>
                <w:rFonts w:cs="Verdana"/>
                <w:sz w:val="20"/>
                <w:szCs w:val="20"/>
              </w:rPr>
              <w:t>a</w:t>
            </w:r>
            <w:r w:rsidRPr="00537112">
              <w:rPr>
                <w:rFonts w:cs="Verdana"/>
                <w:spacing w:val="-1"/>
                <w:sz w:val="20"/>
                <w:szCs w:val="20"/>
              </w:rPr>
              <w:t>r</w:t>
            </w:r>
            <w:r w:rsidRPr="00537112">
              <w:rPr>
                <w:rFonts w:cs="Verdana"/>
                <w:spacing w:val="1"/>
                <w:sz w:val="20"/>
                <w:szCs w:val="20"/>
              </w:rPr>
              <w:t>p</w:t>
            </w:r>
            <w:r w:rsidRPr="00537112">
              <w:rPr>
                <w:rFonts w:cs="Verdana"/>
                <w:spacing w:val="-1"/>
                <w:sz w:val="20"/>
                <w:szCs w:val="20"/>
              </w:rPr>
              <w:t>e</w:t>
            </w:r>
            <w:r w:rsidRPr="00537112">
              <w:rPr>
                <w:rFonts w:cs="Verdana"/>
                <w:sz w:val="20"/>
                <w:szCs w:val="20"/>
              </w:rPr>
              <w:t>c</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89</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Cay</w:t>
            </w:r>
            <w:r w:rsidRPr="00537112">
              <w:rPr>
                <w:rFonts w:cs="Verdana"/>
                <w:spacing w:val="-1"/>
                <w:sz w:val="20"/>
                <w:szCs w:val="20"/>
              </w:rPr>
              <w:t>e</w:t>
            </w:r>
            <w:r w:rsidRPr="00537112">
              <w:rPr>
                <w:rFonts w:cs="Verdana"/>
                <w:spacing w:val="1"/>
                <w:sz w:val="20"/>
                <w:szCs w:val="20"/>
              </w:rPr>
              <w:t>t</w:t>
            </w:r>
            <w:r w:rsidRPr="00537112">
              <w:rPr>
                <w:rFonts w:cs="Verdana"/>
                <w:sz w:val="20"/>
                <w:szCs w:val="20"/>
              </w:rPr>
              <w:t>a</w:t>
            </w:r>
            <w:r w:rsidRPr="00537112">
              <w:rPr>
                <w:rFonts w:cs="Verdana"/>
                <w:spacing w:val="1"/>
                <w:sz w:val="20"/>
                <w:szCs w:val="20"/>
              </w:rPr>
              <w:t>n</w:t>
            </w:r>
            <w:r w:rsidRPr="00537112">
              <w:rPr>
                <w:rFonts w:cs="Verdana"/>
                <w:sz w:val="20"/>
                <w:szCs w:val="20"/>
              </w:rPr>
              <w:t>a</w:t>
            </w:r>
            <w:r w:rsidRPr="00537112">
              <w:rPr>
                <w:rFonts w:cs="Verdana"/>
                <w:spacing w:val="-9"/>
                <w:sz w:val="20"/>
                <w:szCs w:val="20"/>
              </w:rPr>
              <w:t xml:space="preserve"> </w:t>
            </w:r>
            <w:r w:rsidRPr="00537112">
              <w:rPr>
                <w:rFonts w:cs="Verdana"/>
                <w:spacing w:val="1"/>
                <w:sz w:val="20"/>
                <w:szCs w:val="20"/>
              </w:rPr>
              <w:t>Su</w:t>
            </w:r>
            <w:r w:rsidRPr="00537112">
              <w:rPr>
                <w:rFonts w:cs="Verdana"/>
                <w:spacing w:val="-1"/>
                <w:sz w:val="20"/>
                <w:szCs w:val="20"/>
              </w:rPr>
              <w:t>c</w:t>
            </w:r>
            <w:r w:rsidRPr="00537112">
              <w:rPr>
                <w:rFonts w:cs="Verdana"/>
                <w:spacing w:val="1"/>
                <w:sz w:val="20"/>
                <w:szCs w:val="20"/>
              </w:rPr>
              <w:t>u</w:t>
            </w:r>
            <w:r w:rsidRPr="00537112">
              <w:rPr>
                <w:rFonts w:cs="Verdana"/>
                <w:sz w:val="20"/>
                <w:szCs w:val="20"/>
              </w:rPr>
              <w:t>p</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90</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Z</w:t>
            </w:r>
            <w:r w:rsidRPr="00537112">
              <w:rPr>
                <w:rFonts w:cs="Verdana"/>
                <w:spacing w:val="-1"/>
                <w:sz w:val="20"/>
                <w:szCs w:val="20"/>
              </w:rPr>
              <w:t>e</w:t>
            </w:r>
            <w:r w:rsidRPr="00537112">
              <w:rPr>
                <w:rFonts w:cs="Verdana"/>
                <w:spacing w:val="1"/>
                <w:sz w:val="20"/>
                <w:szCs w:val="20"/>
              </w:rPr>
              <w:t>n</w:t>
            </w:r>
            <w:r w:rsidRPr="00537112">
              <w:rPr>
                <w:rFonts w:cs="Verdana"/>
                <w:spacing w:val="-1"/>
                <w:sz w:val="20"/>
                <w:szCs w:val="20"/>
              </w:rPr>
              <w:t>ó</w:t>
            </w:r>
            <w:r w:rsidRPr="00537112">
              <w:rPr>
                <w:rFonts w:cs="Verdana"/>
                <w:sz w:val="20"/>
                <w:szCs w:val="20"/>
              </w:rPr>
              <w:t>n</w:t>
            </w:r>
            <w:r w:rsidRPr="00537112">
              <w:rPr>
                <w:rFonts w:cs="Verdana"/>
                <w:spacing w:val="-6"/>
                <w:sz w:val="20"/>
                <w:szCs w:val="20"/>
              </w:rPr>
              <w:t xml:space="preserve"> </w:t>
            </w:r>
            <w:r w:rsidRPr="00537112">
              <w:rPr>
                <w:rFonts w:cs="Verdana"/>
                <w:spacing w:val="1"/>
                <w:sz w:val="20"/>
                <w:szCs w:val="20"/>
              </w:rPr>
              <w:t>U</w:t>
            </w:r>
            <w:r w:rsidRPr="00537112">
              <w:rPr>
                <w:rFonts w:cs="Verdana"/>
                <w:sz w:val="20"/>
                <w:szCs w:val="20"/>
              </w:rPr>
              <w:t>s</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91</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E</w:t>
            </w:r>
            <w:r w:rsidRPr="00537112">
              <w:rPr>
                <w:rFonts w:cs="Verdana"/>
                <w:spacing w:val="3"/>
                <w:sz w:val="20"/>
                <w:szCs w:val="20"/>
              </w:rPr>
              <w:t>li</w:t>
            </w:r>
            <w:r w:rsidRPr="00537112">
              <w:rPr>
                <w:rFonts w:cs="Verdana"/>
                <w:spacing w:val="1"/>
                <w:sz w:val="20"/>
                <w:szCs w:val="20"/>
              </w:rPr>
              <w:t>g</w:t>
            </w:r>
            <w:r w:rsidRPr="00537112">
              <w:rPr>
                <w:rFonts w:cs="Verdana"/>
                <w:spacing w:val="3"/>
                <w:sz w:val="20"/>
                <w:szCs w:val="20"/>
              </w:rPr>
              <w:t>i</w:t>
            </w:r>
            <w:r w:rsidRPr="00537112">
              <w:rPr>
                <w:rFonts w:cs="Verdana"/>
                <w:sz w:val="20"/>
                <w:szCs w:val="20"/>
              </w:rPr>
              <w:t>a</w:t>
            </w:r>
            <w:r w:rsidRPr="00537112">
              <w:rPr>
                <w:rFonts w:cs="Verdana"/>
                <w:spacing w:val="-5"/>
                <w:sz w:val="20"/>
                <w:szCs w:val="20"/>
              </w:rPr>
              <w:t xml:space="preserve"> </w:t>
            </w:r>
            <w:r w:rsidRPr="00537112">
              <w:rPr>
                <w:rFonts w:cs="Verdana"/>
                <w:sz w:val="20"/>
                <w:szCs w:val="20"/>
              </w:rPr>
              <w:t>C</w:t>
            </w:r>
            <w:r w:rsidRPr="00537112">
              <w:rPr>
                <w:rFonts w:cs="Verdana"/>
                <w:spacing w:val="-1"/>
                <w:sz w:val="20"/>
                <w:szCs w:val="20"/>
              </w:rPr>
              <w:t>o</w:t>
            </w:r>
            <w:r w:rsidRPr="00537112">
              <w:rPr>
                <w:rFonts w:cs="Verdana"/>
                <w:spacing w:val="3"/>
                <w:sz w:val="20"/>
                <w:szCs w:val="20"/>
              </w:rPr>
              <w:t>l</w:t>
            </w:r>
            <w:r w:rsidRPr="00537112">
              <w:rPr>
                <w:rFonts w:cs="Verdana"/>
                <w:spacing w:val="-1"/>
                <w:sz w:val="20"/>
                <w:szCs w:val="20"/>
              </w:rPr>
              <w:t>oc</w:t>
            </w:r>
            <w:r w:rsidRPr="00537112">
              <w:rPr>
                <w:rFonts w:cs="Verdana"/>
                <w:sz w:val="20"/>
                <w:szCs w:val="20"/>
              </w:rPr>
              <w:t>h</w:t>
            </w:r>
            <w:r w:rsidRPr="00537112">
              <w:rPr>
                <w:rFonts w:cs="Verdana"/>
                <w:spacing w:val="-7"/>
                <w:sz w:val="20"/>
                <w:szCs w:val="20"/>
              </w:rPr>
              <w:t xml:space="preserve"> </w:t>
            </w:r>
            <w:r w:rsidRPr="00537112">
              <w:rPr>
                <w:rFonts w:cs="Verdana"/>
                <w:spacing w:val="1"/>
                <w:sz w:val="20"/>
                <w:szCs w:val="20"/>
              </w:rPr>
              <w:t>Su</w:t>
            </w:r>
            <w:r w:rsidRPr="00537112">
              <w:rPr>
                <w:rFonts w:cs="Verdana"/>
                <w:spacing w:val="-1"/>
                <w:sz w:val="20"/>
                <w:szCs w:val="20"/>
              </w:rPr>
              <w:t>c</w:t>
            </w:r>
            <w:r w:rsidRPr="00537112">
              <w:rPr>
                <w:rFonts w:cs="Verdana"/>
                <w:spacing w:val="1"/>
                <w:sz w:val="20"/>
                <w:szCs w:val="20"/>
              </w:rPr>
              <w:t>u</w:t>
            </w:r>
            <w:r w:rsidRPr="00537112">
              <w:rPr>
                <w:rFonts w:cs="Verdana"/>
                <w:sz w:val="20"/>
                <w:szCs w:val="20"/>
              </w:rPr>
              <w:t>p</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92</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R</w:t>
            </w:r>
            <w:r w:rsidRPr="00537112">
              <w:rPr>
                <w:rFonts w:cs="Verdana"/>
                <w:spacing w:val="-1"/>
                <w:sz w:val="20"/>
                <w:szCs w:val="20"/>
              </w:rPr>
              <w:t>os</w:t>
            </w:r>
            <w:r w:rsidRPr="00537112">
              <w:rPr>
                <w:rFonts w:cs="Verdana"/>
                <w:sz w:val="20"/>
                <w:szCs w:val="20"/>
              </w:rPr>
              <w:t>a</w:t>
            </w:r>
            <w:r w:rsidRPr="00537112">
              <w:rPr>
                <w:rFonts w:cs="Verdana"/>
                <w:spacing w:val="3"/>
                <w:sz w:val="20"/>
                <w:szCs w:val="20"/>
              </w:rPr>
              <w:t>li</w:t>
            </w:r>
            <w:r w:rsidRPr="00537112">
              <w:rPr>
                <w:rFonts w:cs="Verdana"/>
                <w:sz w:val="20"/>
                <w:szCs w:val="20"/>
              </w:rPr>
              <w:t>a</w:t>
            </w:r>
            <w:r w:rsidRPr="00537112">
              <w:rPr>
                <w:rFonts w:cs="Verdana"/>
                <w:spacing w:val="-7"/>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m</w:t>
            </w:r>
            <w:r w:rsidRPr="00537112">
              <w:rPr>
                <w:rFonts w:cs="Verdana"/>
                <w:sz w:val="20"/>
                <w:szCs w:val="20"/>
              </w:rPr>
              <w:t>án</w:t>
            </w:r>
            <w:r w:rsidRPr="00537112">
              <w:rPr>
                <w:rFonts w:cs="Verdana"/>
                <w:spacing w:val="-7"/>
                <w:sz w:val="20"/>
                <w:szCs w:val="20"/>
              </w:rPr>
              <w:t xml:space="preserve"> </w:t>
            </w:r>
            <w:r w:rsidRPr="00537112">
              <w:rPr>
                <w:rFonts w:cs="Verdana"/>
                <w:sz w:val="20"/>
                <w:szCs w:val="20"/>
              </w:rPr>
              <w:t>Ba</w:t>
            </w:r>
            <w:r w:rsidRPr="00537112">
              <w:rPr>
                <w:rFonts w:cs="Verdana"/>
                <w:spacing w:val="-1"/>
                <w:sz w:val="20"/>
                <w:szCs w:val="20"/>
              </w:rPr>
              <w:t>c</w:t>
            </w:r>
            <w:r w:rsidRPr="00537112">
              <w:rPr>
                <w:rFonts w:cs="Verdana"/>
                <w:spacing w:val="1"/>
                <w:sz w:val="20"/>
                <w:szCs w:val="20"/>
              </w:rPr>
              <w:t>h</w:t>
            </w:r>
            <w:r w:rsidRPr="00537112">
              <w:rPr>
                <w:rFonts w:cs="Verdana"/>
                <w:sz w:val="20"/>
                <w:szCs w:val="20"/>
              </w:rPr>
              <w:t>an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93</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R</w:t>
            </w:r>
            <w:r w:rsidRPr="00537112">
              <w:rPr>
                <w:rFonts w:cs="Verdana"/>
                <w:sz w:val="20"/>
                <w:szCs w:val="20"/>
              </w:rPr>
              <w:t>a</w:t>
            </w:r>
            <w:r w:rsidRPr="00537112">
              <w:rPr>
                <w:rFonts w:cs="Verdana"/>
                <w:spacing w:val="-1"/>
                <w:sz w:val="20"/>
                <w:szCs w:val="20"/>
              </w:rPr>
              <w:t>f</w:t>
            </w:r>
            <w:r w:rsidRPr="00537112">
              <w:rPr>
                <w:rFonts w:cs="Verdana"/>
                <w:sz w:val="20"/>
                <w:szCs w:val="20"/>
              </w:rPr>
              <w:t>a</w:t>
            </w:r>
            <w:r w:rsidRPr="00537112">
              <w:rPr>
                <w:rFonts w:cs="Verdana"/>
                <w:spacing w:val="-1"/>
                <w:sz w:val="20"/>
                <w:szCs w:val="20"/>
              </w:rPr>
              <w:t>e</w:t>
            </w:r>
            <w:r w:rsidRPr="00537112">
              <w:rPr>
                <w:rFonts w:cs="Verdana"/>
                <w:spacing w:val="3"/>
                <w:sz w:val="20"/>
                <w:szCs w:val="20"/>
              </w:rPr>
              <w:t>l</w:t>
            </w:r>
            <w:r w:rsidRPr="00537112">
              <w:rPr>
                <w:rFonts w:cs="Verdana"/>
                <w:sz w:val="20"/>
                <w:szCs w:val="20"/>
              </w:rPr>
              <w:t>a</w:t>
            </w:r>
            <w:r w:rsidRPr="00537112">
              <w:rPr>
                <w:rFonts w:cs="Verdana"/>
                <w:spacing w:val="-7"/>
                <w:sz w:val="20"/>
                <w:szCs w:val="20"/>
              </w:rPr>
              <w:t xml:space="preserve"> </w:t>
            </w:r>
            <w:r w:rsidRPr="00537112">
              <w:rPr>
                <w:rFonts w:cs="Verdana"/>
                <w:sz w:val="20"/>
                <w:szCs w:val="20"/>
              </w:rPr>
              <w:t>C</w:t>
            </w:r>
            <w:r w:rsidRPr="00537112">
              <w:rPr>
                <w:rFonts w:cs="Verdana"/>
                <w:spacing w:val="3"/>
                <w:sz w:val="20"/>
                <w:szCs w:val="20"/>
              </w:rPr>
              <w:t>i</w:t>
            </w:r>
            <w:r w:rsidRPr="00537112">
              <w:rPr>
                <w:rFonts w:cs="Verdana"/>
                <w:spacing w:val="1"/>
                <w:sz w:val="20"/>
                <w:szCs w:val="20"/>
              </w:rPr>
              <w:t>p</w:t>
            </w:r>
            <w:r w:rsidRPr="00537112">
              <w:rPr>
                <w:rFonts w:cs="Verdana"/>
                <w:spacing w:val="-1"/>
                <w:sz w:val="20"/>
                <w:szCs w:val="20"/>
              </w:rPr>
              <w:t>r</w:t>
            </w:r>
            <w:r w:rsidRPr="00537112">
              <w:rPr>
                <w:rFonts w:cs="Verdana"/>
                <w:spacing w:val="3"/>
                <w:sz w:val="20"/>
                <w:szCs w:val="20"/>
              </w:rPr>
              <w:t>i</w:t>
            </w:r>
            <w:r w:rsidRPr="00537112">
              <w:rPr>
                <w:rFonts w:cs="Verdana"/>
                <w:sz w:val="20"/>
                <w:szCs w:val="20"/>
              </w:rPr>
              <w:t>an</w:t>
            </w:r>
            <w:r w:rsidRPr="00537112">
              <w:rPr>
                <w:rFonts w:cs="Verdana"/>
                <w:spacing w:val="-7"/>
                <w:sz w:val="20"/>
                <w:szCs w:val="20"/>
              </w:rPr>
              <w:t xml:space="preserve"> </w:t>
            </w:r>
            <w:r w:rsidRPr="00537112">
              <w:rPr>
                <w:rFonts w:cs="Verdana"/>
                <w:sz w:val="20"/>
                <w:szCs w:val="20"/>
              </w:rPr>
              <w:t>C</w:t>
            </w:r>
            <w:r w:rsidRPr="00537112">
              <w:rPr>
                <w:rFonts w:cs="Verdana"/>
                <w:spacing w:val="-1"/>
                <w:sz w:val="20"/>
                <w:szCs w:val="20"/>
              </w:rPr>
              <w:t>o</w:t>
            </w:r>
            <w:r w:rsidRPr="00537112">
              <w:rPr>
                <w:rFonts w:cs="Verdana"/>
                <w:spacing w:val="3"/>
                <w:sz w:val="20"/>
                <w:szCs w:val="20"/>
              </w:rPr>
              <w:t>l</w:t>
            </w:r>
            <w:r w:rsidRPr="00537112">
              <w:rPr>
                <w:rFonts w:cs="Verdana"/>
                <w:spacing w:val="-1"/>
                <w:sz w:val="20"/>
                <w:szCs w:val="20"/>
              </w:rPr>
              <w:t>oc</w:t>
            </w:r>
            <w:r w:rsidRPr="00537112">
              <w:rPr>
                <w:rFonts w:cs="Verdana"/>
                <w:sz w:val="20"/>
                <w:szCs w:val="20"/>
              </w:rPr>
              <w:t>h</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94</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Ant</w:t>
            </w:r>
            <w:r w:rsidRPr="00537112">
              <w:rPr>
                <w:rFonts w:cs="Verdana"/>
                <w:spacing w:val="-1"/>
                <w:sz w:val="20"/>
                <w:szCs w:val="20"/>
              </w:rPr>
              <w:t>o</w:t>
            </w:r>
            <w:r w:rsidRPr="00537112">
              <w:rPr>
                <w:rFonts w:cs="Verdana"/>
                <w:spacing w:val="1"/>
                <w:sz w:val="20"/>
                <w:szCs w:val="20"/>
              </w:rPr>
              <w:t>n</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r w:rsidRPr="00537112">
              <w:rPr>
                <w:rFonts w:cs="Verdana"/>
                <w:spacing w:val="-6"/>
                <w:sz w:val="20"/>
                <w:szCs w:val="20"/>
              </w:rPr>
              <w:t xml:space="preserve"> </w:t>
            </w:r>
            <w:r w:rsidRPr="00537112">
              <w:rPr>
                <w:rFonts w:cs="Verdana"/>
                <w:sz w:val="20"/>
                <w:szCs w:val="20"/>
              </w:rPr>
              <w:t>C</w:t>
            </w:r>
            <w:r w:rsidRPr="00537112">
              <w:rPr>
                <w:rFonts w:cs="Verdana"/>
                <w:spacing w:val="3"/>
                <w:sz w:val="20"/>
                <w:szCs w:val="20"/>
              </w:rPr>
              <w:t>i</w:t>
            </w:r>
            <w:r w:rsidRPr="00537112">
              <w:rPr>
                <w:rFonts w:cs="Verdana"/>
                <w:spacing w:val="1"/>
                <w:sz w:val="20"/>
                <w:szCs w:val="20"/>
              </w:rPr>
              <w:t>p</w:t>
            </w:r>
            <w:r w:rsidRPr="00537112">
              <w:rPr>
                <w:rFonts w:cs="Verdana"/>
                <w:spacing w:val="-1"/>
                <w:sz w:val="20"/>
                <w:szCs w:val="20"/>
              </w:rPr>
              <w:t>r</w:t>
            </w:r>
            <w:r w:rsidRPr="00537112">
              <w:rPr>
                <w:rFonts w:cs="Verdana"/>
                <w:spacing w:val="3"/>
                <w:sz w:val="20"/>
                <w:szCs w:val="20"/>
              </w:rPr>
              <w:t>i</w:t>
            </w:r>
            <w:r w:rsidRPr="00537112">
              <w:rPr>
                <w:rFonts w:cs="Verdana"/>
                <w:sz w:val="20"/>
                <w:szCs w:val="20"/>
              </w:rPr>
              <w:t>an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95</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i</w:t>
            </w:r>
            <w:r w:rsidRPr="00537112">
              <w:rPr>
                <w:rFonts w:cs="Verdana"/>
                <w:sz w:val="20"/>
                <w:szCs w:val="20"/>
              </w:rPr>
              <w:t>o</w:t>
            </w:r>
            <w:r w:rsidRPr="00537112">
              <w:rPr>
                <w:rFonts w:cs="Verdana"/>
                <w:spacing w:val="-7"/>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r w:rsidRPr="00537112">
              <w:rPr>
                <w:rFonts w:cs="Verdana"/>
                <w:spacing w:val="-6"/>
                <w:sz w:val="20"/>
                <w:szCs w:val="20"/>
              </w:rPr>
              <w:t xml:space="preserve"> </w:t>
            </w:r>
            <w:r w:rsidRPr="00537112">
              <w:rPr>
                <w:rFonts w:cs="Verdana"/>
                <w:sz w:val="20"/>
                <w:szCs w:val="20"/>
              </w:rPr>
              <w:t>C</w:t>
            </w:r>
            <w:r w:rsidRPr="00537112">
              <w:rPr>
                <w:rFonts w:cs="Verdana"/>
                <w:spacing w:val="3"/>
                <w:sz w:val="20"/>
                <w:szCs w:val="20"/>
              </w:rPr>
              <w:t>i</w:t>
            </w:r>
            <w:r w:rsidRPr="00537112">
              <w:rPr>
                <w:rFonts w:cs="Verdana"/>
                <w:spacing w:val="1"/>
                <w:sz w:val="20"/>
                <w:szCs w:val="20"/>
              </w:rPr>
              <w:t>p</w:t>
            </w:r>
            <w:r w:rsidRPr="00537112">
              <w:rPr>
                <w:rFonts w:cs="Verdana"/>
                <w:spacing w:val="-1"/>
                <w:sz w:val="20"/>
                <w:szCs w:val="20"/>
              </w:rPr>
              <w:t>r</w:t>
            </w:r>
            <w:r w:rsidRPr="00537112">
              <w:rPr>
                <w:rFonts w:cs="Verdana"/>
                <w:spacing w:val="3"/>
                <w:sz w:val="20"/>
                <w:szCs w:val="20"/>
              </w:rPr>
              <w:t>i</w:t>
            </w:r>
            <w:r w:rsidRPr="00537112">
              <w:rPr>
                <w:rFonts w:cs="Verdana"/>
                <w:sz w:val="20"/>
                <w:szCs w:val="20"/>
              </w:rPr>
              <w:t>an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96</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G</w:t>
            </w:r>
            <w:r w:rsidRPr="00537112">
              <w:rPr>
                <w:rFonts w:cs="Verdana"/>
                <w:spacing w:val="1"/>
                <w:sz w:val="20"/>
                <w:szCs w:val="20"/>
              </w:rPr>
              <w:t>u</w:t>
            </w:r>
            <w:r w:rsidRPr="00537112">
              <w:rPr>
                <w:rFonts w:cs="Verdana"/>
                <w:spacing w:val="3"/>
                <w:sz w:val="20"/>
                <w:szCs w:val="20"/>
              </w:rPr>
              <w:t>ill</w:t>
            </w:r>
            <w:r w:rsidRPr="00537112">
              <w:rPr>
                <w:rFonts w:cs="Verdana"/>
                <w:spacing w:val="-1"/>
                <w:sz w:val="20"/>
                <w:szCs w:val="20"/>
              </w:rPr>
              <w:t>er</w:t>
            </w:r>
            <w:r w:rsidRPr="00537112">
              <w:rPr>
                <w:rFonts w:cs="Verdana"/>
                <w:spacing w:val="1"/>
                <w:sz w:val="20"/>
                <w:szCs w:val="20"/>
              </w:rPr>
              <w:t>m</w:t>
            </w:r>
            <w:r w:rsidRPr="00537112">
              <w:rPr>
                <w:rFonts w:cs="Verdana"/>
                <w:sz w:val="20"/>
                <w:szCs w:val="20"/>
              </w:rPr>
              <w:t>o</w:t>
            </w:r>
            <w:r w:rsidRPr="00537112">
              <w:rPr>
                <w:rFonts w:cs="Verdana"/>
                <w:spacing w:val="-12"/>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r w:rsidRPr="00537112">
              <w:rPr>
                <w:rFonts w:cs="Verdana"/>
                <w:spacing w:val="-9"/>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m</w:t>
            </w:r>
            <w:r w:rsidRPr="00537112">
              <w:rPr>
                <w:rFonts w:cs="Verdana"/>
                <w:sz w:val="20"/>
                <w:szCs w:val="20"/>
              </w:rPr>
              <w:t>án</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97</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May</w:t>
            </w:r>
            <w:r w:rsidRPr="00537112">
              <w:rPr>
                <w:rFonts w:cs="Verdana"/>
                <w:spacing w:val="-1"/>
                <w:sz w:val="20"/>
                <w:szCs w:val="20"/>
              </w:rPr>
              <w:t>r</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Jud</w:t>
            </w:r>
            <w:r w:rsidRPr="00537112">
              <w:rPr>
                <w:rFonts w:cs="Verdana"/>
                <w:spacing w:val="3"/>
                <w:sz w:val="20"/>
                <w:szCs w:val="20"/>
              </w:rPr>
              <w:t>i</w:t>
            </w:r>
            <w:r w:rsidRPr="00537112">
              <w:rPr>
                <w:rFonts w:cs="Verdana"/>
                <w:spacing w:val="1"/>
                <w:sz w:val="20"/>
                <w:szCs w:val="20"/>
              </w:rPr>
              <w:t>t</w:t>
            </w:r>
            <w:r w:rsidRPr="00537112">
              <w:rPr>
                <w:rFonts w:cs="Verdana"/>
                <w:sz w:val="20"/>
                <w:szCs w:val="20"/>
              </w:rPr>
              <w:t>h</w:t>
            </w:r>
            <w:r w:rsidRPr="00537112">
              <w:rPr>
                <w:rFonts w:cs="Verdana"/>
                <w:spacing w:val="-6"/>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á</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r w:rsidRPr="00537112">
              <w:rPr>
                <w:rFonts w:cs="Verdana"/>
                <w:spacing w:val="-9"/>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98</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F</w:t>
            </w:r>
            <w:r w:rsidRPr="00537112">
              <w:rPr>
                <w:rFonts w:cs="Verdana"/>
                <w:spacing w:val="-1"/>
                <w:sz w:val="20"/>
                <w:szCs w:val="20"/>
              </w:rPr>
              <w:t>r</w:t>
            </w:r>
            <w:r w:rsidRPr="00537112">
              <w:rPr>
                <w:rFonts w:cs="Verdana"/>
                <w:sz w:val="20"/>
                <w:szCs w:val="20"/>
              </w:rPr>
              <w:t>a</w:t>
            </w:r>
            <w:r w:rsidRPr="00537112">
              <w:rPr>
                <w:rFonts w:cs="Verdana"/>
                <w:spacing w:val="1"/>
                <w:sz w:val="20"/>
                <w:szCs w:val="20"/>
              </w:rPr>
              <w:t>n</w:t>
            </w:r>
            <w:r w:rsidRPr="00537112">
              <w:rPr>
                <w:rFonts w:cs="Verdana"/>
                <w:spacing w:val="-1"/>
                <w:sz w:val="20"/>
                <w:szCs w:val="20"/>
              </w:rPr>
              <w:t>c</w:t>
            </w:r>
            <w:r w:rsidRPr="00537112">
              <w:rPr>
                <w:rFonts w:cs="Verdana"/>
                <w:spacing w:val="3"/>
                <w:sz w:val="20"/>
                <w:szCs w:val="20"/>
              </w:rPr>
              <w:t>i</w:t>
            </w:r>
            <w:r w:rsidRPr="00537112">
              <w:rPr>
                <w:rFonts w:cs="Verdana"/>
                <w:spacing w:val="-1"/>
                <w:sz w:val="20"/>
                <w:szCs w:val="20"/>
              </w:rPr>
              <w:t>sc</w:t>
            </w:r>
            <w:r w:rsidRPr="00537112">
              <w:rPr>
                <w:rFonts w:cs="Verdana"/>
                <w:sz w:val="20"/>
                <w:szCs w:val="20"/>
              </w:rPr>
              <w:t>a</w:t>
            </w:r>
            <w:r w:rsidRPr="00537112">
              <w:rPr>
                <w:rFonts w:cs="Verdana"/>
                <w:spacing w:val="-9"/>
                <w:sz w:val="20"/>
                <w:szCs w:val="20"/>
              </w:rPr>
              <w:t xml:space="preserve"> </w:t>
            </w:r>
            <w:r w:rsidRPr="00537112">
              <w:rPr>
                <w:rFonts w:cs="Verdana"/>
                <w:spacing w:val="-2"/>
                <w:sz w:val="20"/>
                <w:szCs w:val="20"/>
              </w:rPr>
              <w:t>I</w:t>
            </w:r>
            <w:r w:rsidRPr="00537112">
              <w:rPr>
                <w:rFonts w:cs="Verdana"/>
                <w:spacing w:val="1"/>
                <w:sz w:val="20"/>
                <w:szCs w:val="20"/>
              </w:rPr>
              <w:t>b</w:t>
            </w:r>
            <w:r w:rsidRPr="00537112">
              <w:rPr>
                <w:rFonts w:cs="Verdana"/>
                <w:spacing w:val="-1"/>
                <w:sz w:val="20"/>
                <w:szCs w:val="20"/>
              </w:rPr>
              <w:t>o</w:t>
            </w:r>
            <w:r w:rsidRPr="00537112">
              <w:rPr>
                <w:rFonts w:cs="Verdana"/>
                <w:sz w:val="20"/>
                <w:szCs w:val="20"/>
              </w:rPr>
              <w:t>y</w:t>
            </w:r>
          </w:p>
        </w:tc>
      </w:tr>
      <w:tr w:rsidR="00537112" w:rsidRPr="00537112" w:rsidTr="00630EEC">
        <w:trPr>
          <w:trHeight w:hRule="exact" w:val="247"/>
        </w:trPr>
        <w:tc>
          <w:tcPr>
            <w:tcW w:w="1011"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90"/>
              <w:jc w:val="center"/>
              <w:textAlignment w:val="auto"/>
              <w:rPr>
                <w:rFonts w:ascii="Times New Roman" w:hAnsi="Times New Roman"/>
              </w:rPr>
            </w:pPr>
            <w:r w:rsidRPr="00537112">
              <w:rPr>
                <w:rFonts w:cs="Verdana"/>
                <w:b/>
                <w:bCs/>
                <w:w w:val="99"/>
                <w:sz w:val="20"/>
                <w:szCs w:val="20"/>
              </w:rPr>
              <w:t>99</w:t>
            </w:r>
          </w:p>
        </w:tc>
        <w:tc>
          <w:tcPr>
            <w:tcW w:w="5503"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Ca</w:t>
            </w:r>
            <w:r w:rsidRPr="00537112">
              <w:rPr>
                <w:rFonts w:cs="Verdana"/>
                <w:spacing w:val="1"/>
                <w:sz w:val="20"/>
                <w:szCs w:val="20"/>
              </w:rPr>
              <w:t>t</w:t>
            </w:r>
            <w:r w:rsidRPr="00537112">
              <w:rPr>
                <w:rFonts w:cs="Verdana"/>
                <w:sz w:val="20"/>
                <w:szCs w:val="20"/>
              </w:rPr>
              <w:t>a</w:t>
            </w:r>
            <w:r w:rsidRPr="00537112">
              <w:rPr>
                <w:rFonts w:cs="Verdana"/>
                <w:spacing w:val="-1"/>
                <w:sz w:val="20"/>
                <w:szCs w:val="20"/>
              </w:rPr>
              <w:t>r</w:t>
            </w:r>
            <w:r w:rsidRPr="00537112">
              <w:rPr>
                <w:rFonts w:cs="Verdana"/>
                <w:spacing w:val="3"/>
                <w:sz w:val="20"/>
                <w:szCs w:val="20"/>
              </w:rPr>
              <w:t>i</w:t>
            </w:r>
            <w:r w:rsidRPr="00537112">
              <w:rPr>
                <w:rFonts w:cs="Verdana"/>
                <w:spacing w:val="1"/>
                <w:sz w:val="20"/>
                <w:szCs w:val="20"/>
              </w:rPr>
              <w:t>n</w:t>
            </w:r>
            <w:r w:rsidRPr="00537112">
              <w:rPr>
                <w:rFonts w:cs="Verdana"/>
                <w:sz w:val="20"/>
                <w:szCs w:val="20"/>
              </w:rPr>
              <w:t>o</w:t>
            </w:r>
            <w:r w:rsidRPr="00537112">
              <w:rPr>
                <w:rFonts w:cs="Verdana"/>
                <w:spacing w:val="-10"/>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r>
    </w:tbl>
    <w:p w:rsidR="00537112" w:rsidRPr="00537112" w:rsidRDefault="00537112" w:rsidP="00537112">
      <w:pPr>
        <w:autoSpaceDE w:val="0"/>
        <w:autoSpaceDN w:val="0"/>
        <w:spacing w:line="240" w:lineRule="auto"/>
        <w:jc w:val="left"/>
        <w:textAlignment w:val="auto"/>
        <w:rPr>
          <w:rFonts w:ascii="Times New Roman" w:hAnsi="Times New Roman"/>
        </w:rPr>
        <w:sectPr w:rsidR="00537112" w:rsidRPr="00537112">
          <w:headerReference w:type="default" r:id="rId24"/>
          <w:pgSz w:w="12260" w:h="15840"/>
          <w:pgMar w:top="1340" w:right="1720" w:bottom="280" w:left="980" w:header="0" w:footer="0" w:gutter="0"/>
          <w:cols w:space="720"/>
          <w:noEndnote/>
        </w:sectPr>
      </w:pPr>
    </w:p>
    <w:p w:rsidR="00537112" w:rsidRPr="00537112" w:rsidRDefault="00537112" w:rsidP="00537112">
      <w:pPr>
        <w:autoSpaceDE w:val="0"/>
        <w:autoSpaceDN w:val="0"/>
        <w:spacing w:before="9" w:line="80" w:lineRule="exact"/>
        <w:jc w:val="left"/>
        <w:textAlignment w:val="auto"/>
        <w:rPr>
          <w:rFonts w:ascii="Times New Roman" w:hAnsi="Times New Roman"/>
          <w:sz w:val="8"/>
          <w:szCs w:val="8"/>
        </w:rPr>
      </w:pPr>
    </w:p>
    <w:tbl>
      <w:tblPr>
        <w:tblpPr w:leftFromText="141" w:rightFromText="141" w:vertAnchor="page" w:horzAnchor="page" w:tblpX="1052" w:tblpY="1240"/>
        <w:tblW w:w="0" w:type="auto"/>
        <w:tblLayout w:type="fixed"/>
        <w:tblCellMar>
          <w:left w:w="0" w:type="dxa"/>
          <w:right w:w="0" w:type="dxa"/>
        </w:tblCellMar>
        <w:tblLook w:val="0000" w:firstRow="0" w:lastRow="0" w:firstColumn="0" w:lastColumn="0" w:noHBand="0" w:noVBand="0"/>
      </w:tblPr>
      <w:tblGrid>
        <w:gridCol w:w="1019"/>
        <w:gridCol w:w="5545"/>
      </w:tblGrid>
      <w:tr w:rsidR="00537112" w:rsidRPr="00537112" w:rsidTr="00630EEC">
        <w:trPr>
          <w:trHeight w:hRule="exact" w:val="274"/>
        </w:trPr>
        <w:tc>
          <w:tcPr>
            <w:tcW w:w="1019" w:type="dxa"/>
            <w:tcBorders>
              <w:top w:val="single" w:sz="4" w:space="0" w:color="auto"/>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32" w:lineRule="exact"/>
              <w:ind w:right="-20"/>
              <w:jc w:val="left"/>
              <w:textAlignment w:val="auto"/>
              <w:rPr>
                <w:rFonts w:ascii="Times New Roman" w:hAnsi="Times New Roman"/>
              </w:rPr>
            </w:pPr>
            <w:r w:rsidRPr="00537112">
              <w:rPr>
                <w:rFonts w:cs="Verdana"/>
                <w:b/>
                <w:bCs/>
                <w:sz w:val="20"/>
                <w:szCs w:val="20"/>
              </w:rPr>
              <w:t>100</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D</w:t>
            </w:r>
            <w:r w:rsidRPr="00537112">
              <w:rPr>
                <w:rFonts w:cs="Verdana"/>
                <w:spacing w:val="3"/>
                <w:sz w:val="20"/>
                <w:szCs w:val="20"/>
              </w:rPr>
              <w:t>i</w:t>
            </w:r>
            <w:r w:rsidRPr="00537112">
              <w:rPr>
                <w:rFonts w:cs="Verdana"/>
                <w:spacing w:val="-1"/>
                <w:sz w:val="20"/>
                <w:szCs w:val="20"/>
              </w:rPr>
              <w:t>o</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c</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r w:rsidRPr="00537112">
              <w:rPr>
                <w:rFonts w:cs="Verdana"/>
                <w:spacing w:val="-5"/>
                <w:sz w:val="20"/>
                <w:szCs w:val="20"/>
              </w:rPr>
              <w:t xml:space="preserve"> </w:t>
            </w:r>
            <w:r w:rsidRPr="00537112">
              <w:rPr>
                <w:rFonts w:cs="Verdana"/>
                <w:spacing w:val="-2"/>
                <w:sz w:val="20"/>
                <w:szCs w:val="20"/>
              </w:rPr>
              <w:t>I</w:t>
            </w:r>
            <w:r w:rsidRPr="00537112">
              <w:rPr>
                <w:rFonts w:cs="Verdana"/>
                <w:spacing w:val="1"/>
                <w:sz w:val="20"/>
                <w:szCs w:val="20"/>
              </w:rPr>
              <w:t>b</w:t>
            </w:r>
            <w:r w:rsidRPr="00537112">
              <w:rPr>
                <w:rFonts w:cs="Verdana"/>
                <w:spacing w:val="-1"/>
                <w:sz w:val="20"/>
                <w:szCs w:val="20"/>
              </w:rPr>
              <w:t>oy</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101</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V</w:t>
            </w:r>
            <w:r w:rsidRPr="00537112">
              <w:rPr>
                <w:rFonts w:cs="Verdana"/>
                <w:spacing w:val="3"/>
                <w:sz w:val="20"/>
                <w:szCs w:val="20"/>
              </w:rPr>
              <w:t>i</w:t>
            </w:r>
            <w:r w:rsidRPr="00537112">
              <w:rPr>
                <w:rFonts w:cs="Verdana"/>
                <w:spacing w:val="1"/>
                <w:sz w:val="20"/>
                <w:szCs w:val="20"/>
              </w:rPr>
              <w:t>d</w:t>
            </w:r>
            <w:r w:rsidRPr="00537112">
              <w:rPr>
                <w:rFonts w:cs="Verdana"/>
                <w:sz w:val="20"/>
                <w:szCs w:val="20"/>
              </w:rPr>
              <w:t>al</w:t>
            </w:r>
            <w:r w:rsidRPr="00537112">
              <w:rPr>
                <w:rFonts w:cs="Verdana"/>
                <w:spacing w:val="-3"/>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r w:rsidRPr="00537112">
              <w:rPr>
                <w:rFonts w:cs="Verdana"/>
                <w:spacing w:val="-5"/>
                <w:sz w:val="20"/>
                <w:szCs w:val="20"/>
              </w:rPr>
              <w:t xml:space="preserve"> </w:t>
            </w:r>
            <w:r w:rsidRPr="00537112">
              <w:rPr>
                <w:rFonts w:cs="Verdana"/>
                <w:spacing w:val="-2"/>
                <w:sz w:val="20"/>
                <w:szCs w:val="20"/>
              </w:rPr>
              <w:t>I</w:t>
            </w:r>
            <w:r w:rsidRPr="00537112">
              <w:rPr>
                <w:rFonts w:cs="Verdana"/>
                <w:spacing w:val="1"/>
                <w:sz w:val="20"/>
                <w:szCs w:val="20"/>
              </w:rPr>
              <w:t>b</w:t>
            </w:r>
            <w:r w:rsidRPr="00537112">
              <w:rPr>
                <w:rFonts w:cs="Verdana"/>
                <w:spacing w:val="-1"/>
                <w:sz w:val="20"/>
                <w:szCs w:val="20"/>
              </w:rPr>
              <w:t>oy</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102</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A</w:t>
            </w:r>
            <w:r w:rsidRPr="00537112">
              <w:rPr>
                <w:rFonts w:cs="Verdana"/>
                <w:spacing w:val="3"/>
                <w:sz w:val="20"/>
                <w:szCs w:val="20"/>
              </w:rPr>
              <w:t>l</w:t>
            </w:r>
            <w:r w:rsidRPr="00537112">
              <w:rPr>
                <w:rFonts w:cs="Verdana"/>
                <w:spacing w:val="-1"/>
                <w:sz w:val="20"/>
                <w:szCs w:val="20"/>
              </w:rPr>
              <w:t>fo</w:t>
            </w:r>
            <w:r w:rsidRPr="00537112">
              <w:rPr>
                <w:rFonts w:cs="Verdana"/>
                <w:spacing w:val="1"/>
                <w:sz w:val="20"/>
                <w:szCs w:val="20"/>
              </w:rPr>
              <w:t>n</w:t>
            </w:r>
            <w:r w:rsidRPr="00537112">
              <w:rPr>
                <w:rFonts w:cs="Verdana"/>
                <w:spacing w:val="-1"/>
                <w:sz w:val="20"/>
                <w:szCs w:val="20"/>
              </w:rPr>
              <w:t>s</w:t>
            </w:r>
            <w:r w:rsidRPr="00537112">
              <w:rPr>
                <w:rFonts w:cs="Verdana"/>
                <w:sz w:val="20"/>
                <w:szCs w:val="20"/>
              </w:rPr>
              <w:t>o</w:t>
            </w:r>
            <w:r w:rsidRPr="00537112">
              <w:rPr>
                <w:rFonts w:cs="Verdana"/>
                <w:spacing w:val="-9"/>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r w:rsidRPr="00537112">
              <w:rPr>
                <w:rFonts w:cs="Verdana"/>
                <w:spacing w:val="64"/>
                <w:sz w:val="20"/>
                <w:szCs w:val="20"/>
              </w:rPr>
              <w:t xml:space="preserve"> </w:t>
            </w:r>
            <w:r w:rsidRPr="00537112">
              <w:rPr>
                <w:rFonts w:cs="Verdana"/>
                <w:spacing w:val="1"/>
                <w:sz w:val="20"/>
                <w:szCs w:val="20"/>
              </w:rPr>
              <w:t>(</w:t>
            </w:r>
            <w:r w:rsidRPr="00537112">
              <w:rPr>
                <w:rFonts w:cs="Verdana"/>
                <w:spacing w:val="-1"/>
                <w:sz w:val="20"/>
                <w:szCs w:val="20"/>
              </w:rPr>
              <w:t>f</w:t>
            </w:r>
            <w:r w:rsidRPr="00537112">
              <w:rPr>
                <w:rFonts w:cs="Verdana"/>
                <w:sz w:val="20"/>
                <w:szCs w:val="20"/>
              </w:rPr>
              <w:t>a</w:t>
            </w:r>
            <w:r w:rsidRPr="00537112">
              <w:rPr>
                <w:rFonts w:cs="Verdana"/>
                <w:spacing w:val="3"/>
                <w:sz w:val="20"/>
                <w:szCs w:val="20"/>
              </w:rPr>
              <w:t>ll</w:t>
            </w:r>
            <w:r w:rsidRPr="00537112">
              <w:rPr>
                <w:rFonts w:cs="Verdana"/>
                <w:spacing w:val="-1"/>
                <w:sz w:val="20"/>
                <w:szCs w:val="20"/>
              </w:rPr>
              <w:t>ec</w:t>
            </w:r>
            <w:r w:rsidRPr="00537112">
              <w:rPr>
                <w:rFonts w:cs="Verdana"/>
                <w:spacing w:val="3"/>
                <w:sz w:val="20"/>
                <w:szCs w:val="20"/>
              </w:rPr>
              <w:t>i</w:t>
            </w:r>
            <w:r w:rsidRPr="00537112">
              <w:rPr>
                <w:rFonts w:cs="Verdana"/>
                <w:spacing w:val="1"/>
                <w:sz w:val="20"/>
                <w:szCs w:val="20"/>
              </w:rPr>
              <w:t>d</w:t>
            </w:r>
            <w:r w:rsidRPr="00537112">
              <w:rPr>
                <w:rFonts w:cs="Verdana"/>
                <w:spacing w:val="-1"/>
                <w:sz w:val="20"/>
                <w:szCs w:val="20"/>
              </w:rPr>
              <w:t>o</w:t>
            </w:r>
            <w:r w:rsidRPr="00537112">
              <w:rPr>
                <w:rFonts w:cs="Verdana"/>
                <w:sz w:val="20"/>
                <w:szCs w:val="20"/>
              </w:rPr>
              <w:t>)</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103</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rc</w:t>
            </w:r>
            <w:r w:rsidRPr="00537112">
              <w:rPr>
                <w:rFonts w:cs="Verdana"/>
                <w:sz w:val="20"/>
                <w:szCs w:val="20"/>
              </w:rPr>
              <w:t>o</w:t>
            </w:r>
            <w:r w:rsidRPr="00537112">
              <w:rPr>
                <w:rFonts w:cs="Verdana"/>
                <w:spacing w:val="-8"/>
                <w:sz w:val="20"/>
                <w:szCs w:val="20"/>
              </w:rPr>
              <w:t xml:space="preserve"> </w:t>
            </w:r>
            <w:r w:rsidRPr="00537112">
              <w:rPr>
                <w:rFonts w:cs="Verdana"/>
                <w:spacing w:val="1"/>
                <w:sz w:val="20"/>
                <w:szCs w:val="20"/>
              </w:rPr>
              <w:t>Ant</w:t>
            </w:r>
            <w:r w:rsidRPr="00537112">
              <w:rPr>
                <w:rFonts w:cs="Verdana"/>
                <w:spacing w:val="-1"/>
                <w:sz w:val="20"/>
                <w:szCs w:val="20"/>
              </w:rPr>
              <w:t>o</w:t>
            </w:r>
            <w:r w:rsidRPr="00537112">
              <w:rPr>
                <w:rFonts w:cs="Verdana"/>
                <w:spacing w:val="1"/>
                <w:sz w:val="20"/>
                <w:szCs w:val="20"/>
              </w:rPr>
              <w:t>n</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z w:val="20"/>
                <w:szCs w:val="20"/>
              </w:rPr>
              <w:t>C</w:t>
            </w:r>
            <w:r w:rsidRPr="00537112">
              <w:rPr>
                <w:rFonts w:cs="Verdana"/>
                <w:spacing w:val="-1"/>
                <w:sz w:val="20"/>
                <w:szCs w:val="20"/>
              </w:rPr>
              <w:t>r</w:t>
            </w:r>
            <w:r w:rsidRPr="00537112">
              <w:rPr>
                <w:rFonts w:cs="Verdana"/>
                <w:spacing w:val="1"/>
                <w:sz w:val="20"/>
                <w:szCs w:val="20"/>
              </w:rPr>
              <w:t>u</w:t>
            </w:r>
            <w:r w:rsidRPr="00537112">
              <w:rPr>
                <w:rFonts w:cs="Verdana"/>
                <w:sz w:val="20"/>
                <w:szCs w:val="20"/>
              </w:rPr>
              <w:t>z</w:t>
            </w:r>
            <w:r w:rsidRPr="00537112">
              <w:rPr>
                <w:rFonts w:cs="Verdana"/>
                <w:spacing w:val="-5"/>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s</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104</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F</w:t>
            </w:r>
            <w:r w:rsidRPr="00537112">
              <w:rPr>
                <w:rFonts w:cs="Verdana"/>
                <w:spacing w:val="-1"/>
                <w:sz w:val="20"/>
                <w:szCs w:val="20"/>
              </w:rPr>
              <w:t>er</w:t>
            </w:r>
            <w:r w:rsidRPr="00537112">
              <w:rPr>
                <w:rFonts w:cs="Verdana"/>
                <w:spacing w:val="1"/>
                <w:sz w:val="20"/>
                <w:szCs w:val="20"/>
              </w:rPr>
              <w:t>n</w:t>
            </w:r>
            <w:r w:rsidRPr="00537112">
              <w:rPr>
                <w:rFonts w:cs="Verdana"/>
                <w:sz w:val="20"/>
                <w:szCs w:val="20"/>
              </w:rPr>
              <w:t>a</w:t>
            </w:r>
            <w:r w:rsidRPr="00537112">
              <w:rPr>
                <w:rFonts w:cs="Verdana"/>
                <w:spacing w:val="1"/>
                <w:sz w:val="20"/>
                <w:szCs w:val="20"/>
              </w:rPr>
              <w:t>nd</w:t>
            </w:r>
            <w:r w:rsidRPr="00537112">
              <w:rPr>
                <w:rFonts w:cs="Verdana"/>
                <w:sz w:val="20"/>
                <w:szCs w:val="20"/>
              </w:rPr>
              <w:t>o</w:t>
            </w:r>
            <w:r w:rsidRPr="00537112">
              <w:rPr>
                <w:rFonts w:cs="Verdana"/>
                <w:spacing w:val="-11"/>
                <w:sz w:val="20"/>
                <w:szCs w:val="20"/>
              </w:rPr>
              <w:t xml:space="preserve"> </w:t>
            </w:r>
            <w:r w:rsidRPr="00537112">
              <w:rPr>
                <w:rFonts w:cs="Verdana"/>
                <w:sz w:val="20"/>
                <w:szCs w:val="20"/>
              </w:rPr>
              <w:t>C</w:t>
            </w:r>
            <w:r w:rsidRPr="00537112">
              <w:rPr>
                <w:rFonts w:cs="Verdana"/>
                <w:spacing w:val="-1"/>
                <w:sz w:val="20"/>
                <w:szCs w:val="20"/>
              </w:rPr>
              <w:t>r</w:t>
            </w:r>
            <w:r w:rsidRPr="00537112">
              <w:rPr>
                <w:rFonts w:cs="Verdana"/>
                <w:spacing w:val="1"/>
                <w:sz w:val="20"/>
                <w:szCs w:val="20"/>
              </w:rPr>
              <w:t>u</w:t>
            </w:r>
            <w:r w:rsidRPr="00537112">
              <w:rPr>
                <w:rFonts w:cs="Verdana"/>
                <w:sz w:val="20"/>
                <w:szCs w:val="20"/>
              </w:rPr>
              <w:t>z</w:t>
            </w:r>
            <w:r w:rsidRPr="00537112">
              <w:rPr>
                <w:rFonts w:cs="Verdana"/>
                <w:spacing w:val="-5"/>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s</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105</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S</w:t>
            </w:r>
            <w:r w:rsidRPr="00537112">
              <w:rPr>
                <w:rFonts w:cs="Verdana"/>
                <w:spacing w:val="3"/>
                <w:sz w:val="20"/>
                <w:szCs w:val="20"/>
              </w:rPr>
              <w:t>i</w:t>
            </w:r>
            <w:r w:rsidRPr="00537112">
              <w:rPr>
                <w:rFonts w:cs="Verdana"/>
                <w:spacing w:val="1"/>
                <w:sz w:val="20"/>
                <w:szCs w:val="20"/>
              </w:rPr>
              <w:t>m</w:t>
            </w:r>
            <w:r w:rsidRPr="00537112">
              <w:rPr>
                <w:rFonts w:cs="Verdana"/>
                <w:spacing w:val="-1"/>
                <w:sz w:val="20"/>
                <w:szCs w:val="20"/>
              </w:rPr>
              <w:t>eó</w:t>
            </w:r>
            <w:r w:rsidRPr="00537112">
              <w:rPr>
                <w:rFonts w:cs="Verdana"/>
                <w:sz w:val="20"/>
                <w:szCs w:val="20"/>
              </w:rPr>
              <w:t>n</w:t>
            </w:r>
            <w:r w:rsidRPr="00537112">
              <w:rPr>
                <w:rFonts w:cs="Verdana"/>
                <w:spacing w:val="-8"/>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r w:rsidRPr="00537112">
              <w:rPr>
                <w:rFonts w:cs="Verdana"/>
                <w:spacing w:val="-9"/>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106</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B</w:t>
            </w:r>
            <w:r w:rsidRPr="00537112">
              <w:rPr>
                <w:rFonts w:cs="Verdana"/>
                <w:spacing w:val="-1"/>
                <w:sz w:val="20"/>
                <w:szCs w:val="20"/>
              </w:rPr>
              <w:t>er</w:t>
            </w:r>
            <w:r w:rsidRPr="00537112">
              <w:rPr>
                <w:rFonts w:cs="Verdana"/>
                <w:spacing w:val="1"/>
                <w:sz w:val="20"/>
                <w:szCs w:val="20"/>
              </w:rPr>
              <w:t>n</w:t>
            </w:r>
            <w:r w:rsidRPr="00537112">
              <w:rPr>
                <w:rFonts w:cs="Verdana"/>
                <w:sz w:val="20"/>
                <w:szCs w:val="20"/>
              </w:rPr>
              <w:t>a</w:t>
            </w:r>
            <w:r w:rsidRPr="00537112">
              <w:rPr>
                <w:rFonts w:cs="Verdana"/>
                <w:spacing w:val="-1"/>
                <w:sz w:val="20"/>
                <w:szCs w:val="20"/>
              </w:rPr>
              <w:t>r</w:t>
            </w:r>
            <w:r w:rsidRPr="00537112">
              <w:rPr>
                <w:rFonts w:cs="Verdana"/>
                <w:spacing w:val="1"/>
                <w:sz w:val="20"/>
                <w:szCs w:val="20"/>
              </w:rPr>
              <w:t>d</w:t>
            </w:r>
            <w:r w:rsidRPr="00537112">
              <w:rPr>
                <w:rFonts w:cs="Verdana"/>
                <w:sz w:val="20"/>
                <w:szCs w:val="20"/>
              </w:rPr>
              <w:t>a</w:t>
            </w:r>
            <w:r w:rsidRPr="00537112">
              <w:rPr>
                <w:rFonts w:cs="Verdana"/>
                <w:spacing w:val="-9"/>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r w:rsidRPr="00537112">
              <w:rPr>
                <w:rFonts w:cs="Verdana"/>
                <w:spacing w:val="-5"/>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m</w:t>
            </w:r>
            <w:r w:rsidRPr="00537112">
              <w:rPr>
                <w:rFonts w:cs="Verdana"/>
                <w:sz w:val="20"/>
                <w:szCs w:val="20"/>
              </w:rPr>
              <w:t>án</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107</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R</w:t>
            </w:r>
            <w:r w:rsidRPr="00537112">
              <w:rPr>
                <w:rFonts w:cs="Verdana"/>
                <w:spacing w:val="-1"/>
                <w:sz w:val="20"/>
                <w:szCs w:val="20"/>
              </w:rPr>
              <w:t>os</w:t>
            </w:r>
            <w:r w:rsidRPr="00537112">
              <w:rPr>
                <w:rFonts w:cs="Verdana"/>
                <w:sz w:val="20"/>
                <w:szCs w:val="20"/>
              </w:rPr>
              <w:t>a</w:t>
            </w:r>
            <w:r w:rsidRPr="00537112">
              <w:rPr>
                <w:rFonts w:cs="Verdana"/>
                <w:spacing w:val="3"/>
                <w:sz w:val="20"/>
                <w:szCs w:val="20"/>
              </w:rPr>
              <w:t>li</w:t>
            </w:r>
            <w:r w:rsidRPr="00537112">
              <w:rPr>
                <w:rFonts w:cs="Verdana"/>
                <w:spacing w:val="1"/>
                <w:sz w:val="20"/>
                <w:szCs w:val="20"/>
              </w:rPr>
              <w:t>n</w:t>
            </w:r>
            <w:r w:rsidRPr="00537112">
              <w:rPr>
                <w:rFonts w:cs="Verdana"/>
                <w:sz w:val="20"/>
                <w:szCs w:val="20"/>
              </w:rPr>
              <w:t>a</w:t>
            </w:r>
            <w:r w:rsidRPr="00537112">
              <w:rPr>
                <w:rFonts w:cs="Verdana"/>
                <w:spacing w:val="-8"/>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r w:rsidRPr="00537112">
              <w:rPr>
                <w:rFonts w:cs="Verdana"/>
                <w:spacing w:val="-5"/>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m</w:t>
            </w:r>
            <w:r w:rsidRPr="00537112">
              <w:rPr>
                <w:rFonts w:cs="Verdana"/>
                <w:sz w:val="20"/>
                <w:szCs w:val="20"/>
              </w:rPr>
              <w:t>án</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108</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í</w:t>
            </w:r>
            <w:r w:rsidRPr="00537112">
              <w:rPr>
                <w:rFonts w:cs="Verdana"/>
                <w:sz w:val="20"/>
                <w:szCs w:val="20"/>
              </w:rPr>
              <w:t>a</w:t>
            </w:r>
            <w:r w:rsidRPr="00537112">
              <w:rPr>
                <w:rFonts w:cs="Verdana"/>
                <w:spacing w:val="-5"/>
                <w:sz w:val="20"/>
                <w:szCs w:val="20"/>
              </w:rPr>
              <w:t xml:space="preserve"> </w:t>
            </w:r>
            <w:r w:rsidRPr="00537112">
              <w:rPr>
                <w:rFonts w:cs="Verdana"/>
                <w:spacing w:val="-1"/>
                <w:sz w:val="20"/>
                <w:szCs w:val="20"/>
              </w:rPr>
              <w:t>E</w:t>
            </w:r>
            <w:r w:rsidRPr="00537112">
              <w:rPr>
                <w:rFonts w:cs="Verdana"/>
                <w:spacing w:val="3"/>
                <w:sz w:val="20"/>
                <w:szCs w:val="20"/>
              </w:rPr>
              <w:t>l</w:t>
            </w:r>
            <w:r w:rsidRPr="00537112">
              <w:rPr>
                <w:rFonts w:cs="Verdana"/>
                <w:spacing w:val="-1"/>
                <w:sz w:val="20"/>
                <w:szCs w:val="20"/>
              </w:rPr>
              <w:t>e</w:t>
            </w:r>
            <w:r w:rsidRPr="00537112">
              <w:rPr>
                <w:rFonts w:cs="Verdana"/>
                <w:spacing w:val="1"/>
                <w:sz w:val="20"/>
                <w:szCs w:val="20"/>
              </w:rPr>
              <w:t>n</w:t>
            </w:r>
            <w:r w:rsidRPr="00537112">
              <w:rPr>
                <w:rFonts w:cs="Verdana"/>
                <w:sz w:val="20"/>
                <w:szCs w:val="20"/>
              </w:rPr>
              <w:t>a</w:t>
            </w:r>
            <w:r w:rsidRPr="00537112">
              <w:rPr>
                <w:rFonts w:cs="Verdana"/>
                <w:spacing w:val="-5"/>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r w:rsidRPr="00537112">
              <w:rPr>
                <w:rFonts w:cs="Verdana"/>
                <w:spacing w:val="-5"/>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m</w:t>
            </w:r>
            <w:r w:rsidRPr="00537112">
              <w:rPr>
                <w:rFonts w:cs="Verdana"/>
                <w:sz w:val="20"/>
                <w:szCs w:val="20"/>
              </w:rPr>
              <w:t>án</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109</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V</w:t>
            </w:r>
            <w:r w:rsidRPr="00537112">
              <w:rPr>
                <w:rFonts w:cs="Verdana"/>
                <w:spacing w:val="3"/>
                <w:sz w:val="20"/>
                <w:szCs w:val="20"/>
              </w:rPr>
              <w:t>i</w:t>
            </w:r>
            <w:r w:rsidRPr="00537112">
              <w:rPr>
                <w:rFonts w:cs="Verdana"/>
                <w:spacing w:val="-1"/>
                <w:sz w:val="20"/>
                <w:szCs w:val="20"/>
              </w:rPr>
              <w:t>ce</w:t>
            </w:r>
            <w:r w:rsidRPr="00537112">
              <w:rPr>
                <w:rFonts w:cs="Verdana"/>
                <w:spacing w:val="1"/>
                <w:sz w:val="20"/>
                <w:szCs w:val="20"/>
              </w:rPr>
              <w:t>nt</w:t>
            </w:r>
            <w:r w:rsidRPr="00537112">
              <w:rPr>
                <w:rFonts w:cs="Verdana"/>
                <w:sz w:val="20"/>
                <w:szCs w:val="20"/>
              </w:rPr>
              <w:t>a</w:t>
            </w:r>
            <w:r w:rsidRPr="00537112">
              <w:rPr>
                <w:rFonts w:cs="Verdana"/>
                <w:spacing w:val="-7"/>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a</w:t>
            </w:r>
            <w:r w:rsidRPr="00537112">
              <w:rPr>
                <w:rFonts w:cs="Verdana"/>
                <w:spacing w:val="-6"/>
                <w:sz w:val="20"/>
                <w:szCs w:val="20"/>
              </w:rPr>
              <w:t xml:space="preserve"> </w:t>
            </w:r>
            <w:r w:rsidRPr="00537112">
              <w:rPr>
                <w:rFonts w:cs="Verdana"/>
                <w:spacing w:val="-2"/>
                <w:sz w:val="20"/>
                <w:szCs w:val="20"/>
              </w:rPr>
              <w:t>I</w:t>
            </w:r>
            <w:r w:rsidRPr="00537112">
              <w:rPr>
                <w:rFonts w:cs="Verdana"/>
                <w:sz w:val="20"/>
                <w:szCs w:val="20"/>
              </w:rPr>
              <w:t>x</w:t>
            </w:r>
            <w:r w:rsidRPr="00537112">
              <w:rPr>
                <w:rFonts w:cs="Verdana"/>
                <w:spacing w:val="1"/>
                <w:sz w:val="20"/>
                <w:szCs w:val="20"/>
              </w:rPr>
              <w:t>t</w:t>
            </w:r>
            <w:r w:rsidRPr="00537112">
              <w:rPr>
                <w:rFonts w:cs="Verdana"/>
                <w:spacing w:val="-1"/>
                <w:sz w:val="20"/>
                <w:szCs w:val="20"/>
              </w:rPr>
              <w:t>eco</w:t>
            </w:r>
            <w:r w:rsidRPr="00537112">
              <w:rPr>
                <w:rFonts w:cs="Verdana"/>
                <w:sz w:val="20"/>
                <w:szCs w:val="20"/>
              </w:rPr>
              <w:t>c</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110</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M</w:t>
            </w:r>
            <w:r w:rsidRPr="00537112">
              <w:rPr>
                <w:rFonts w:cs="Verdana"/>
                <w:spacing w:val="-1"/>
                <w:sz w:val="20"/>
                <w:szCs w:val="20"/>
              </w:rPr>
              <w:t>erce</w:t>
            </w:r>
            <w:r w:rsidRPr="00537112">
              <w:rPr>
                <w:rFonts w:cs="Verdana"/>
                <w:spacing w:val="1"/>
                <w:sz w:val="20"/>
                <w:szCs w:val="20"/>
              </w:rPr>
              <w:t>d</w:t>
            </w:r>
            <w:r w:rsidRPr="00537112">
              <w:rPr>
                <w:rFonts w:cs="Verdana"/>
                <w:spacing w:val="-1"/>
                <w:sz w:val="20"/>
                <w:szCs w:val="20"/>
              </w:rPr>
              <w:t>e</w:t>
            </w:r>
            <w:r w:rsidRPr="00537112">
              <w:rPr>
                <w:rFonts w:cs="Verdana"/>
                <w:sz w:val="20"/>
                <w:szCs w:val="20"/>
              </w:rPr>
              <w:t>s</w:t>
            </w:r>
            <w:r w:rsidRPr="00537112">
              <w:rPr>
                <w:rFonts w:cs="Verdana"/>
                <w:spacing w:val="-10"/>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d</w:t>
            </w:r>
            <w:r w:rsidRPr="00537112">
              <w:rPr>
                <w:rFonts w:cs="Verdana"/>
                <w:sz w:val="20"/>
                <w:szCs w:val="20"/>
              </w:rPr>
              <w:t>e</w:t>
            </w:r>
            <w:r w:rsidRPr="00537112">
              <w:rPr>
                <w:rFonts w:cs="Verdana"/>
                <w:spacing w:val="-4"/>
                <w:sz w:val="20"/>
                <w:szCs w:val="20"/>
              </w:rPr>
              <w:t xml:space="preserve"> </w:t>
            </w:r>
            <w:r w:rsidRPr="00537112">
              <w:rPr>
                <w:rFonts w:cs="Verdana"/>
                <w:spacing w:val="1"/>
                <w:sz w:val="20"/>
                <w:szCs w:val="20"/>
              </w:rPr>
              <w:t>p</w:t>
            </w:r>
            <w:r w:rsidRPr="00537112">
              <w:rPr>
                <w:rFonts w:cs="Verdana"/>
                <w:sz w:val="20"/>
                <w:szCs w:val="20"/>
              </w:rPr>
              <w:t>az</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111</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Ca</w:t>
            </w:r>
            <w:r w:rsidRPr="00537112">
              <w:rPr>
                <w:rFonts w:cs="Verdana"/>
                <w:spacing w:val="-1"/>
                <w:sz w:val="20"/>
                <w:szCs w:val="20"/>
              </w:rPr>
              <w:t>r</w:t>
            </w:r>
            <w:r w:rsidRPr="00537112">
              <w:rPr>
                <w:rFonts w:cs="Verdana"/>
                <w:spacing w:val="3"/>
                <w:sz w:val="20"/>
                <w:szCs w:val="20"/>
              </w:rPr>
              <w:t>l</w:t>
            </w:r>
            <w:r w:rsidRPr="00537112">
              <w:rPr>
                <w:rFonts w:cs="Verdana"/>
                <w:spacing w:val="-1"/>
                <w:sz w:val="20"/>
                <w:szCs w:val="20"/>
              </w:rPr>
              <w:t>o</w:t>
            </w:r>
            <w:r w:rsidRPr="00537112">
              <w:rPr>
                <w:rFonts w:cs="Verdana"/>
                <w:sz w:val="20"/>
                <w:szCs w:val="20"/>
              </w:rPr>
              <w:t>s</w:t>
            </w:r>
            <w:r w:rsidRPr="00537112">
              <w:rPr>
                <w:rFonts w:cs="Verdana"/>
                <w:spacing w:val="-7"/>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z w:val="20"/>
                <w:szCs w:val="20"/>
              </w:rPr>
              <w:t>a</w:t>
            </w:r>
            <w:r w:rsidRPr="00537112">
              <w:rPr>
                <w:rFonts w:cs="Verdana"/>
                <w:spacing w:val="1"/>
                <w:sz w:val="20"/>
                <w:szCs w:val="20"/>
              </w:rPr>
              <w:t>p</w:t>
            </w:r>
            <w:r w:rsidRPr="00537112">
              <w:rPr>
                <w:rFonts w:cs="Verdana"/>
                <w:spacing w:val="-1"/>
                <w:sz w:val="20"/>
                <w:szCs w:val="20"/>
              </w:rPr>
              <w:t>o</w:t>
            </w:r>
            <w:r w:rsidRPr="00537112">
              <w:rPr>
                <w:rFonts w:cs="Verdana"/>
                <w:sz w:val="20"/>
                <w:szCs w:val="20"/>
              </w:rPr>
              <w:t>t</w:t>
            </w:r>
            <w:r w:rsidRPr="00537112">
              <w:rPr>
                <w:rFonts w:cs="Verdana"/>
                <w:spacing w:val="-7"/>
                <w:sz w:val="20"/>
                <w:szCs w:val="20"/>
              </w:rPr>
              <w:t xml:space="preserve"> </w:t>
            </w:r>
            <w:r w:rsidRPr="00537112">
              <w:rPr>
                <w:rFonts w:cs="Verdana"/>
                <w:spacing w:val="-1"/>
                <w:sz w:val="20"/>
                <w:szCs w:val="20"/>
              </w:rPr>
              <w:t>G</w:t>
            </w:r>
            <w:r w:rsidRPr="00537112">
              <w:rPr>
                <w:rFonts w:cs="Verdana"/>
                <w:spacing w:val="1"/>
                <w:sz w:val="20"/>
                <w:szCs w:val="20"/>
              </w:rPr>
              <w:t>uzm</w:t>
            </w:r>
            <w:r w:rsidRPr="00537112">
              <w:rPr>
                <w:rFonts w:cs="Verdana"/>
                <w:sz w:val="20"/>
                <w:szCs w:val="20"/>
              </w:rPr>
              <w:t>án</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112</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S</w:t>
            </w:r>
            <w:r w:rsidRPr="00537112">
              <w:rPr>
                <w:rFonts w:cs="Verdana"/>
                <w:spacing w:val="3"/>
                <w:sz w:val="20"/>
                <w:szCs w:val="20"/>
              </w:rPr>
              <w:t>i</w:t>
            </w:r>
            <w:r w:rsidRPr="00537112">
              <w:rPr>
                <w:rFonts w:cs="Verdana"/>
                <w:spacing w:val="1"/>
                <w:sz w:val="20"/>
                <w:szCs w:val="20"/>
              </w:rPr>
              <w:t>m</w:t>
            </w:r>
            <w:r w:rsidRPr="00537112">
              <w:rPr>
                <w:rFonts w:cs="Verdana"/>
                <w:spacing w:val="-1"/>
                <w:sz w:val="20"/>
                <w:szCs w:val="20"/>
              </w:rPr>
              <w:t>eo</w:t>
            </w:r>
            <w:r w:rsidRPr="00537112">
              <w:rPr>
                <w:rFonts w:cs="Verdana"/>
                <w:sz w:val="20"/>
                <w:szCs w:val="20"/>
              </w:rPr>
              <w:t>n</w:t>
            </w:r>
            <w:r w:rsidRPr="00537112">
              <w:rPr>
                <w:rFonts w:cs="Verdana"/>
                <w:spacing w:val="-8"/>
                <w:sz w:val="20"/>
                <w:szCs w:val="20"/>
              </w:rPr>
              <w:t xml:space="preserve"> </w:t>
            </w:r>
            <w:r w:rsidRPr="00537112">
              <w:rPr>
                <w:rFonts w:cs="Verdana"/>
                <w:spacing w:val="1"/>
                <w:sz w:val="20"/>
                <w:szCs w:val="20"/>
              </w:rPr>
              <w:t>Ju</w:t>
            </w:r>
            <w:r w:rsidRPr="00537112">
              <w:rPr>
                <w:rFonts w:cs="Verdana"/>
                <w:sz w:val="20"/>
                <w:szCs w:val="20"/>
              </w:rPr>
              <w:t>a</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Us</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113</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C</w:t>
            </w:r>
            <w:r w:rsidRPr="00537112">
              <w:rPr>
                <w:rFonts w:cs="Verdana"/>
                <w:spacing w:val="-1"/>
                <w:sz w:val="20"/>
                <w:szCs w:val="20"/>
              </w:rPr>
              <w:t>efer</w:t>
            </w:r>
            <w:r w:rsidRPr="00537112">
              <w:rPr>
                <w:rFonts w:cs="Verdana"/>
                <w:spacing w:val="3"/>
                <w:sz w:val="20"/>
                <w:szCs w:val="20"/>
              </w:rPr>
              <w:t>i</w:t>
            </w:r>
            <w:r w:rsidRPr="00537112">
              <w:rPr>
                <w:rFonts w:cs="Verdana"/>
                <w:spacing w:val="1"/>
                <w:sz w:val="20"/>
                <w:szCs w:val="20"/>
              </w:rPr>
              <w:t>n</w:t>
            </w:r>
            <w:r w:rsidRPr="00537112">
              <w:rPr>
                <w:rFonts w:cs="Verdana"/>
                <w:sz w:val="20"/>
                <w:szCs w:val="20"/>
              </w:rPr>
              <w:t>a</w:t>
            </w:r>
            <w:r w:rsidRPr="00537112">
              <w:rPr>
                <w:rFonts w:cs="Verdana"/>
                <w:spacing w:val="-8"/>
                <w:sz w:val="20"/>
                <w:szCs w:val="20"/>
              </w:rPr>
              <w:t xml:space="preserve"> </w:t>
            </w:r>
            <w:r w:rsidRPr="00537112">
              <w:rPr>
                <w:rFonts w:cs="Verdana"/>
                <w:sz w:val="20"/>
                <w:szCs w:val="20"/>
              </w:rPr>
              <w:t>Ca</w:t>
            </w:r>
            <w:r w:rsidRPr="00537112">
              <w:rPr>
                <w:rFonts w:cs="Verdana"/>
                <w:spacing w:val="-1"/>
                <w:sz w:val="20"/>
                <w:szCs w:val="20"/>
              </w:rPr>
              <w:t>c</w:t>
            </w:r>
            <w:r w:rsidRPr="00537112">
              <w:rPr>
                <w:rFonts w:cs="Verdana"/>
                <w:spacing w:val="1"/>
                <w:sz w:val="20"/>
                <w:szCs w:val="20"/>
              </w:rPr>
              <w:t>hu</w:t>
            </w:r>
            <w:r w:rsidRPr="00537112">
              <w:rPr>
                <w:rFonts w:cs="Verdana"/>
                <w:spacing w:val="-1"/>
                <w:sz w:val="20"/>
                <w:szCs w:val="20"/>
              </w:rPr>
              <w:t>e</w:t>
            </w:r>
            <w:r w:rsidRPr="00537112">
              <w:rPr>
                <w:rFonts w:cs="Verdana"/>
                <w:sz w:val="20"/>
                <w:szCs w:val="20"/>
              </w:rPr>
              <w:t>c</w:t>
            </w:r>
            <w:r w:rsidRPr="00537112">
              <w:rPr>
                <w:rFonts w:cs="Verdana"/>
                <w:spacing w:val="-9"/>
                <w:sz w:val="20"/>
                <w:szCs w:val="20"/>
              </w:rPr>
              <w:t xml:space="preserve"> </w:t>
            </w:r>
            <w:r w:rsidRPr="00537112">
              <w:rPr>
                <w:rFonts w:cs="Verdana"/>
                <w:spacing w:val="1"/>
                <w:sz w:val="20"/>
                <w:szCs w:val="20"/>
              </w:rPr>
              <w:t>J</w:t>
            </w:r>
            <w:r w:rsidRPr="00537112">
              <w:rPr>
                <w:rFonts w:cs="Verdana"/>
                <w:spacing w:val="-1"/>
                <w:sz w:val="20"/>
                <w:szCs w:val="20"/>
              </w:rPr>
              <w:t>eró</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m</w:t>
            </w:r>
            <w:r w:rsidRPr="00537112">
              <w:rPr>
                <w:rFonts w:cs="Verdana"/>
                <w:sz w:val="20"/>
                <w:szCs w:val="20"/>
              </w:rPr>
              <w:t>o</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114</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T</w:t>
            </w:r>
            <w:r w:rsidRPr="00537112">
              <w:rPr>
                <w:rFonts w:cs="Verdana"/>
                <w:spacing w:val="-1"/>
                <w:sz w:val="20"/>
                <w:szCs w:val="20"/>
              </w:rPr>
              <w:t>or</w:t>
            </w:r>
            <w:r w:rsidRPr="00537112">
              <w:rPr>
                <w:rFonts w:cs="Verdana"/>
                <w:spacing w:val="3"/>
                <w:sz w:val="20"/>
                <w:szCs w:val="20"/>
              </w:rPr>
              <w:t>i</w:t>
            </w:r>
            <w:r w:rsidRPr="00537112">
              <w:rPr>
                <w:rFonts w:cs="Verdana"/>
                <w:spacing w:val="1"/>
                <w:sz w:val="20"/>
                <w:szCs w:val="20"/>
              </w:rPr>
              <w:t>b</w:t>
            </w:r>
            <w:r w:rsidRPr="00537112">
              <w:rPr>
                <w:rFonts w:cs="Verdana"/>
                <w:spacing w:val="3"/>
                <w:sz w:val="20"/>
                <w:szCs w:val="20"/>
              </w:rPr>
              <w:t>i</w:t>
            </w:r>
            <w:r w:rsidRPr="00537112">
              <w:rPr>
                <w:rFonts w:cs="Verdana"/>
                <w:sz w:val="20"/>
                <w:szCs w:val="20"/>
              </w:rPr>
              <w:t>o</w:t>
            </w:r>
            <w:r w:rsidRPr="00537112">
              <w:rPr>
                <w:rFonts w:cs="Verdana"/>
                <w:spacing w:val="-9"/>
                <w:sz w:val="20"/>
                <w:szCs w:val="20"/>
              </w:rPr>
              <w:t xml:space="preserve"> </w:t>
            </w:r>
            <w:r w:rsidRPr="00537112">
              <w:rPr>
                <w:rFonts w:cs="Verdana"/>
                <w:sz w:val="20"/>
                <w:szCs w:val="20"/>
              </w:rPr>
              <w:t>C</w:t>
            </w:r>
            <w:r w:rsidRPr="00537112">
              <w:rPr>
                <w:rFonts w:cs="Verdana"/>
                <w:spacing w:val="1"/>
                <w:sz w:val="20"/>
                <w:szCs w:val="20"/>
              </w:rPr>
              <w:t>h</w:t>
            </w:r>
            <w:r w:rsidRPr="00537112">
              <w:rPr>
                <w:rFonts w:cs="Verdana"/>
                <w:spacing w:val="-1"/>
                <w:sz w:val="20"/>
                <w:szCs w:val="20"/>
              </w:rPr>
              <w:t>e</w:t>
            </w:r>
            <w:r w:rsidRPr="00537112">
              <w:rPr>
                <w:rFonts w:cs="Verdana"/>
                <w:sz w:val="20"/>
                <w:szCs w:val="20"/>
              </w:rPr>
              <w:t>n</w:t>
            </w:r>
            <w:r w:rsidRPr="00537112">
              <w:rPr>
                <w:rFonts w:cs="Verdana"/>
                <w:spacing w:val="-5"/>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115</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i</w:t>
            </w:r>
            <w:r w:rsidRPr="00537112">
              <w:rPr>
                <w:rFonts w:cs="Verdana"/>
                <w:sz w:val="20"/>
                <w:szCs w:val="20"/>
              </w:rPr>
              <w:t>a</w:t>
            </w:r>
            <w:r w:rsidRPr="00537112">
              <w:rPr>
                <w:rFonts w:cs="Verdana"/>
                <w:spacing w:val="-5"/>
                <w:sz w:val="20"/>
                <w:szCs w:val="20"/>
              </w:rPr>
              <w:t xml:space="preserve"> </w:t>
            </w:r>
            <w:r w:rsidRPr="00537112">
              <w:rPr>
                <w:rFonts w:cs="Verdana"/>
                <w:spacing w:val="1"/>
                <w:sz w:val="20"/>
                <w:szCs w:val="20"/>
              </w:rPr>
              <w:t>J</w:t>
            </w:r>
            <w:r w:rsidRPr="00537112">
              <w:rPr>
                <w:rFonts w:cs="Verdana"/>
                <w:spacing w:val="-1"/>
                <w:sz w:val="20"/>
                <w:szCs w:val="20"/>
              </w:rPr>
              <w:t>es</w:t>
            </w:r>
            <w:r w:rsidRPr="00537112">
              <w:rPr>
                <w:rFonts w:cs="Verdana"/>
                <w:spacing w:val="1"/>
                <w:sz w:val="20"/>
                <w:szCs w:val="20"/>
              </w:rPr>
              <w:t>u</w:t>
            </w:r>
            <w:r w:rsidRPr="00537112">
              <w:rPr>
                <w:rFonts w:cs="Verdana"/>
                <w:sz w:val="20"/>
                <w:szCs w:val="20"/>
              </w:rPr>
              <w:t>s</w:t>
            </w:r>
            <w:r w:rsidRPr="00537112">
              <w:rPr>
                <w:rFonts w:cs="Verdana"/>
                <w:spacing w:val="-6"/>
                <w:sz w:val="20"/>
                <w:szCs w:val="20"/>
              </w:rPr>
              <w:t xml:space="preserve"> </w:t>
            </w:r>
            <w:r w:rsidRPr="00537112">
              <w:rPr>
                <w:rFonts w:cs="Verdana"/>
                <w:sz w:val="20"/>
                <w:szCs w:val="20"/>
              </w:rPr>
              <w:t>Ma</w:t>
            </w:r>
            <w:r w:rsidRPr="00537112">
              <w:rPr>
                <w:rFonts w:cs="Verdana"/>
                <w:spacing w:val="1"/>
                <w:sz w:val="20"/>
                <w:szCs w:val="20"/>
              </w:rPr>
              <w:t>t</w:t>
            </w:r>
            <w:r w:rsidRPr="00537112">
              <w:rPr>
                <w:rFonts w:cs="Verdana"/>
                <w:spacing w:val="3"/>
                <w:sz w:val="20"/>
                <w:szCs w:val="20"/>
              </w:rPr>
              <w:t>i</w:t>
            </w:r>
            <w:r w:rsidRPr="00537112">
              <w:rPr>
                <w:rFonts w:cs="Verdana"/>
                <w:sz w:val="20"/>
                <w:szCs w:val="20"/>
              </w:rPr>
              <w:t>as</w:t>
            </w:r>
            <w:r w:rsidRPr="00537112">
              <w:rPr>
                <w:rFonts w:cs="Verdana"/>
                <w:spacing w:val="-7"/>
                <w:sz w:val="20"/>
                <w:szCs w:val="20"/>
              </w:rPr>
              <w:t xml:space="preserve"> </w:t>
            </w:r>
            <w:r w:rsidRPr="00537112">
              <w:rPr>
                <w:rFonts w:cs="Verdana"/>
                <w:spacing w:val="-1"/>
                <w:sz w:val="20"/>
                <w:szCs w:val="20"/>
              </w:rPr>
              <w:t>O</w:t>
            </w:r>
            <w:r w:rsidRPr="00537112">
              <w:rPr>
                <w:rFonts w:cs="Verdana"/>
                <w:spacing w:val="1"/>
                <w:sz w:val="20"/>
                <w:szCs w:val="20"/>
              </w:rPr>
              <w:t>j</w:t>
            </w:r>
            <w:r w:rsidRPr="00537112">
              <w:rPr>
                <w:rFonts w:cs="Verdana"/>
                <w:spacing w:val="-1"/>
                <w:sz w:val="20"/>
                <w:szCs w:val="20"/>
              </w:rPr>
              <w:t>ó</w:t>
            </w:r>
            <w:r w:rsidRPr="00537112">
              <w:rPr>
                <w:rFonts w:cs="Verdana"/>
                <w:sz w:val="20"/>
                <w:szCs w:val="20"/>
              </w:rPr>
              <w:t>m</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116</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P</w:t>
            </w:r>
            <w:r w:rsidRPr="00537112">
              <w:rPr>
                <w:rFonts w:cs="Verdana"/>
                <w:spacing w:val="-1"/>
                <w:sz w:val="20"/>
                <w:szCs w:val="20"/>
              </w:rPr>
              <w:t>e</w:t>
            </w:r>
            <w:r w:rsidRPr="00537112">
              <w:rPr>
                <w:rFonts w:cs="Verdana"/>
                <w:spacing w:val="1"/>
                <w:sz w:val="20"/>
                <w:szCs w:val="20"/>
              </w:rPr>
              <w:t>d</w:t>
            </w:r>
            <w:r w:rsidRPr="00537112">
              <w:rPr>
                <w:rFonts w:cs="Verdana"/>
                <w:spacing w:val="-1"/>
                <w:sz w:val="20"/>
                <w:szCs w:val="20"/>
              </w:rPr>
              <w:t>r</w:t>
            </w:r>
            <w:r w:rsidRPr="00537112">
              <w:rPr>
                <w:rFonts w:cs="Verdana"/>
                <w:sz w:val="20"/>
                <w:szCs w:val="20"/>
              </w:rPr>
              <w:t>o</w:t>
            </w:r>
            <w:r w:rsidRPr="00537112">
              <w:rPr>
                <w:rFonts w:cs="Verdana"/>
                <w:spacing w:val="-8"/>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117</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Ma</w:t>
            </w:r>
            <w:r w:rsidRPr="00537112">
              <w:rPr>
                <w:rFonts w:cs="Verdana"/>
                <w:spacing w:val="-1"/>
                <w:sz w:val="20"/>
                <w:szCs w:val="20"/>
              </w:rPr>
              <w:t>rce</w:t>
            </w:r>
            <w:r w:rsidRPr="00537112">
              <w:rPr>
                <w:rFonts w:cs="Verdana"/>
                <w:spacing w:val="3"/>
                <w:sz w:val="20"/>
                <w:szCs w:val="20"/>
              </w:rPr>
              <w:t>l</w:t>
            </w:r>
            <w:r w:rsidRPr="00537112">
              <w:rPr>
                <w:rFonts w:cs="Verdana"/>
                <w:sz w:val="20"/>
                <w:szCs w:val="20"/>
              </w:rPr>
              <w:t>a</w:t>
            </w:r>
            <w:r w:rsidRPr="00537112">
              <w:rPr>
                <w:rFonts w:cs="Verdana"/>
                <w:spacing w:val="-8"/>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r w:rsidRPr="00537112">
              <w:rPr>
                <w:rFonts w:cs="Verdana"/>
                <w:spacing w:val="-6"/>
                <w:sz w:val="20"/>
                <w:szCs w:val="20"/>
              </w:rPr>
              <w:t xml:space="preserve"> </w:t>
            </w:r>
            <w:r w:rsidRPr="00537112">
              <w:rPr>
                <w:rFonts w:cs="Verdana"/>
                <w:spacing w:val="-1"/>
                <w:sz w:val="20"/>
                <w:szCs w:val="20"/>
              </w:rPr>
              <w:t>Ló</w:t>
            </w:r>
            <w:r w:rsidRPr="00537112">
              <w:rPr>
                <w:rFonts w:cs="Verdana"/>
                <w:spacing w:val="1"/>
                <w:sz w:val="20"/>
                <w:szCs w:val="20"/>
              </w:rPr>
              <w:t>p</w:t>
            </w:r>
            <w:r w:rsidRPr="00537112">
              <w:rPr>
                <w:rFonts w:cs="Verdana"/>
                <w:spacing w:val="-1"/>
                <w:sz w:val="20"/>
                <w:szCs w:val="20"/>
              </w:rPr>
              <w:t>e</w:t>
            </w:r>
            <w:r w:rsidRPr="00537112">
              <w:rPr>
                <w:rFonts w:cs="Verdana"/>
                <w:sz w:val="20"/>
                <w:szCs w:val="20"/>
              </w:rPr>
              <w:t>z</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118</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R</w:t>
            </w:r>
            <w:r w:rsidRPr="00537112">
              <w:rPr>
                <w:rFonts w:cs="Verdana"/>
                <w:spacing w:val="-1"/>
                <w:sz w:val="20"/>
                <w:szCs w:val="20"/>
              </w:rPr>
              <w:t>os</w:t>
            </w:r>
            <w:r w:rsidRPr="00537112">
              <w:rPr>
                <w:rFonts w:cs="Verdana"/>
                <w:sz w:val="20"/>
                <w:szCs w:val="20"/>
              </w:rPr>
              <w:t>a</w:t>
            </w:r>
            <w:r w:rsidRPr="00537112">
              <w:rPr>
                <w:rFonts w:cs="Verdana"/>
                <w:spacing w:val="3"/>
                <w:sz w:val="20"/>
                <w:szCs w:val="20"/>
              </w:rPr>
              <w:t>lí</w:t>
            </w:r>
            <w:r w:rsidRPr="00537112">
              <w:rPr>
                <w:rFonts w:cs="Verdana"/>
                <w:spacing w:val="1"/>
                <w:sz w:val="20"/>
                <w:szCs w:val="20"/>
              </w:rPr>
              <w:t>nd</w:t>
            </w:r>
            <w:r w:rsidRPr="00537112">
              <w:rPr>
                <w:rFonts w:cs="Verdana"/>
                <w:sz w:val="20"/>
                <w:szCs w:val="20"/>
              </w:rPr>
              <w:t>a</w:t>
            </w:r>
            <w:r w:rsidRPr="00537112">
              <w:rPr>
                <w:rFonts w:cs="Verdana"/>
                <w:spacing w:val="-10"/>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tumul</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119</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R</w:t>
            </w:r>
            <w:r w:rsidRPr="00537112">
              <w:rPr>
                <w:rFonts w:cs="Verdana"/>
                <w:sz w:val="20"/>
                <w:szCs w:val="20"/>
              </w:rPr>
              <w:t>a</w:t>
            </w:r>
            <w:r w:rsidRPr="00537112">
              <w:rPr>
                <w:rFonts w:cs="Verdana"/>
                <w:spacing w:val="1"/>
                <w:sz w:val="20"/>
                <w:szCs w:val="20"/>
              </w:rPr>
              <w:t>ú</w:t>
            </w:r>
            <w:r w:rsidRPr="00537112">
              <w:rPr>
                <w:rFonts w:cs="Verdana"/>
                <w:sz w:val="20"/>
                <w:szCs w:val="20"/>
              </w:rPr>
              <w:t>l</w:t>
            </w:r>
            <w:r w:rsidRPr="00537112">
              <w:rPr>
                <w:rFonts w:cs="Verdana"/>
                <w:spacing w:val="-2"/>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tumul</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120</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Ca</w:t>
            </w:r>
            <w:r w:rsidRPr="00537112">
              <w:rPr>
                <w:rFonts w:cs="Verdana"/>
                <w:spacing w:val="-1"/>
                <w:sz w:val="20"/>
                <w:szCs w:val="20"/>
              </w:rPr>
              <w:t>r</w:t>
            </w:r>
            <w:r w:rsidRPr="00537112">
              <w:rPr>
                <w:rFonts w:cs="Verdana"/>
                <w:spacing w:val="3"/>
                <w:sz w:val="20"/>
                <w:szCs w:val="20"/>
              </w:rPr>
              <w:t>l</w:t>
            </w:r>
            <w:r w:rsidRPr="00537112">
              <w:rPr>
                <w:rFonts w:cs="Verdana"/>
                <w:spacing w:val="-1"/>
                <w:sz w:val="20"/>
                <w:szCs w:val="20"/>
              </w:rPr>
              <w:t>o</w:t>
            </w:r>
            <w:r w:rsidRPr="00537112">
              <w:rPr>
                <w:rFonts w:cs="Verdana"/>
                <w:sz w:val="20"/>
                <w:szCs w:val="20"/>
              </w:rPr>
              <w:t>s</w:t>
            </w:r>
            <w:r w:rsidRPr="00537112">
              <w:rPr>
                <w:rFonts w:cs="Verdana"/>
                <w:spacing w:val="-7"/>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tumul</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121</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C</w:t>
            </w:r>
            <w:r w:rsidRPr="00537112">
              <w:rPr>
                <w:rFonts w:cs="Verdana"/>
                <w:spacing w:val="3"/>
                <w:sz w:val="20"/>
                <w:szCs w:val="20"/>
              </w:rPr>
              <w:t>l</w:t>
            </w:r>
            <w:r w:rsidRPr="00537112">
              <w:rPr>
                <w:rFonts w:cs="Verdana"/>
                <w:sz w:val="20"/>
                <w:szCs w:val="20"/>
              </w:rPr>
              <w:t>a</w:t>
            </w:r>
            <w:r w:rsidRPr="00537112">
              <w:rPr>
                <w:rFonts w:cs="Verdana"/>
                <w:spacing w:val="-1"/>
                <w:sz w:val="20"/>
                <w:szCs w:val="20"/>
              </w:rPr>
              <w:t>r</w:t>
            </w:r>
            <w:r w:rsidRPr="00537112">
              <w:rPr>
                <w:rFonts w:cs="Verdana"/>
                <w:sz w:val="20"/>
                <w:szCs w:val="20"/>
              </w:rPr>
              <w:t>a</w:t>
            </w:r>
            <w:r w:rsidRPr="00537112">
              <w:rPr>
                <w:rFonts w:cs="Verdana"/>
                <w:spacing w:val="-5"/>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122</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E</w:t>
            </w:r>
            <w:r w:rsidRPr="00537112">
              <w:rPr>
                <w:rFonts w:cs="Verdana"/>
                <w:spacing w:val="1"/>
                <w:sz w:val="20"/>
                <w:szCs w:val="20"/>
              </w:rPr>
              <w:t>m</w:t>
            </w:r>
            <w:r w:rsidRPr="00537112">
              <w:rPr>
                <w:rFonts w:cs="Verdana"/>
                <w:spacing w:val="3"/>
                <w:sz w:val="20"/>
                <w:szCs w:val="20"/>
              </w:rPr>
              <w:t>ili</w:t>
            </w:r>
            <w:r w:rsidRPr="00537112">
              <w:rPr>
                <w:rFonts w:cs="Verdana"/>
                <w:sz w:val="20"/>
                <w:szCs w:val="20"/>
              </w:rPr>
              <w:t>a</w:t>
            </w:r>
            <w:r w:rsidRPr="00537112">
              <w:rPr>
                <w:rFonts w:cs="Verdana"/>
                <w:spacing w:val="1"/>
                <w:sz w:val="20"/>
                <w:szCs w:val="20"/>
              </w:rPr>
              <w:t>n</w:t>
            </w:r>
            <w:r w:rsidRPr="00537112">
              <w:rPr>
                <w:rFonts w:cs="Verdana"/>
                <w:sz w:val="20"/>
                <w:szCs w:val="20"/>
              </w:rPr>
              <w:t>a</w:t>
            </w:r>
            <w:r w:rsidRPr="00537112">
              <w:rPr>
                <w:rFonts w:cs="Verdana"/>
                <w:spacing w:val="-9"/>
                <w:sz w:val="20"/>
                <w:szCs w:val="20"/>
              </w:rPr>
              <w:t xml:space="preserve"> </w:t>
            </w:r>
            <w:r w:rsidRPr="00537112">
              <w:rPr>
                <w:rFonts w:cs="Verdana"/>
                <w:spacing w:val="-1"/>
                <w:sz w:val="20"/>
                <w:szCs w:val="20"/>
              </w:rPr>
              <w:t>Ló</w:t>
            </w:r>
            <w:r w:rsidRPr="00537112">
              <w:rPr>
                <w:rFonts w:cs="Verdana"/>
                <w:spacing w:val="1"/>
                <w:sz w:val="20"/>
                <w:szCs w:val="20"/>
              </w:rPr>
              <w:t>p</w:t>
            </w:r>
            <w:r w:rsidRPr="00537112">
              <w:rPr>
                <w:rFonts w:cs="Verdana"/>
                <w:spacing w:val="-1"/>
                <w:sz w:val="20"/>
                <w:szCs w:val="20"/>
              </w:rPr>
              <w:t>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123</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Pa</w:t>
            </w:r>
            <w:r w:rsidRPr="00537112">
              <w:rPr>
                <w:rFonts w:cs="Verdana"/>
                <w:spacing w:val="1"/>
                <w:sz w:val="20"/>
                <w:szCs w:val="20"/>
              </w:rPr>
              <w:t>t</w:t>
            </w:r>
            <w:r w:rsidRPr="00537112">
              <w:rPr>
                <w:rFonts w:cs="Verdana"/>
                <w:spacing w:val="-1"/>
                <w:sz w:val="20"/>
                <w:szCs w:val="20"/>
              </w:rPr>
              <w:t>roc</w:t>
            </w:r>
            <w:r w:rsidRPr="00537112">
              <w:rPr>
                <w:rFonts w:cs="Verdana"/>
                <w:spacing w:val="3"/>
                <w:sz w:val="20"/>
                <w:szCs w:val="20"/>
              </w:rPr>
              <w:t>i</w:t>
            </w:r>
            <w:r w:rsidRPr="00537112">
              <w:rPr>
                <w:rFonts w:cs="Verdana"/>
                <w:spacing w:val="1"/>
                <w:sz w:val="20"/>
                <w:szCs w:val="20"/>
              </w:rPr>
              <w:t>n</w:t>
            </w:r>
            <w:r w:rsidRPr="00537112">
              <w:rPr>
                <w:rFonts w:cs="Verdana"/>
                <w:spacing w:val="3"/>
                <w:sz w:val="20"/>
                <w:szCs w:val="20"/>
              </w:rPr>
              <w:t>i</w:t>
            </w:r>
            <w:r w:rsidRPr="00537112">
              <w:rPr>
                <w:rFonts w:cs="Verdana"/>
                <w:sz w:val="20"/>
                <w:szCs w:val="20"/>
              </w:rPr>
              <w:t>a</w:t>
            </w:r>
            <w:r w:rsidRPr="00537112">
              <w:rPr>
                <w:rFonts w:cs="Verdana"/>
                <w:spacing w:val="-10"/>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59"/>
                <w:sz w:val="20"/>
                <w:szCs w:val="20"/>
              </w:rPr>
              <w:t xml:space="preserve"> </w:t>
            </w:r>
            <w:r w:rsidRPr="00537112">
              <w:rPr>
                <w:rFonts w:cs="Verdana"/>
                <w:sz w:val="20"/>
                <w:szCs w:val="20"/>
              </w:rPr>
              <w:t>Ca</w:t>
            </w:r>
            <w:r w:rsidRPr="00537112">
              <w:rPr>
                <w:rFonts w:cs="Verdana"/>
                <w:spacing w:val="1"/>
                <w:sz w:val="20"/>
                <w:szCs w:val="20"/>
              </w:rPr>
              <w:t>m</w:t>
            </w:r>
            <w:r w:rsidRPr="00537112">
              <w:rPr>
                <w:rFonts w:cs="Verdana"/>
                <w:sz w:val="20"/>
                <w:szCs w:val="20"/>
              </w:rPr>
              <w:t>o</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124</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z w:val="20"/>
                <w:szCs w:val="20"/>
              </w:rPr>
              <w:t>T</w:t>
            </w:r>
            <w:r w:rsidRPr="00537112">
              <w:rPr>
                <w:rFonts w:cs="Verdana"/>
                <w:spacing w:val="-1"/>
                <w:sz w:val="20"/>
                <w:szCs w:val="20"/>
              </w:rPr>
              <w:t>or</w:t>
            </w:r>
            <w:r w:rsidRPr="00537112">
              <w:rPr>
                <w:rFonts w:cs="Verdana"/>
                <w:spacing w:val="3"/>
                <w:sz w:val="20"/>
                <w:szCs w:val="20"/>
              </w:rPr>
              <w:t>i</w:t>
            </w:r>
            <w:r w:rsidRPr="00537112">
              <w:rPr>
                <w:rFonts w:cs="Verdana"/>
                <w:spacing w:val="1"/>
                <w:sz w:val="20"/>
                <w:szCs w:val="20"/>
              </w:rPr>
              <w:t>b</w:t>
            </w:r>
            <w:r w:rsidRPr="00537112">
              <w:rPr>
                <w:rFonts w:cs="Verdana"/>
                <w:spacing w:val="3"/>
                <w:sz w:val="20"/>
                <w:szCs w:val="20"/>
              </w:rPr>
              <w:t>i</w:t>
            </w:r>
            <w:r w:rsidRPr="00537112">
              <w:rPr>
                <w:rFonts w:cs="Verdana"/>
                <w:sz w:val="20"/>
                <w:szCs w:val="20"/>
              </w:rPr>
              <w:t>a</w:t>
            </w:r>
            <w:r w:rsidRPr="00537112">
              <w:rPr>
                <w:rFonts w:cs="Verdana"/>
                <w:spacing w:val="-7"/>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125</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V</w:t>
            </w:r>
            <w:r w:rsidRPr="00537112">
              <w:rPr>
                <w:rFonts w:cs="Verdana"/>
                <w:spacing w:val="3"/>
                <w:sz w:val="20"/>
                <w:szCs w:val="20"/>
              </w:rPr>
              <w:t>i</w:t>
            </w:r>
            <w:r w:rsidRPr="00537112">
              <w:rPr>
                <w:rFonts w:cs="Verdana"/>
                <w:spacing w:val="-1"/>
                <w:sz w:val="20"/>
                <w:szCs w:val="20"/>
              </w:rPr>
              <w:t>c</w:t>
            </w:r>
            <w:r w:rsidRPr="00537112">
              <w:rPr>
                <w:rFonts w:cs="Verdana"/>
                <w:spacing w:val="1"/>
                <w:sz w:val="20"/>
                <w:szCs w:val="20"/>
              </w:rPr>
              <w:t>t</w:t>
            </w:r>
            <w:r w:rsidRPr="00537112">
              <w:rPr>
                <w:rFonts w:cs="Verdana"/>
                <w:spacing w:val="-1"/>
                <w:sz w:val="20"/>
                <w:szCs w:val="20"/>
              </w:rPr>
              <w:t>o</w:t>
            </w:r>
            <w:r w:rsidRPr="00537112">
              <w:rPr>
                <w:rFonts w:cs="Verdana"/>
                <w:sz w:val="20"/>
                <w:szCs w:val="20"/>
              </w:rPr>
              <w:t>r</w:t>
            </w:r>
            <w:r w:rsidRPr="00537112">
              <w:rPr>
                <w:rFonts w:cs="Verdana"/>
                <w:spacing w:val="-8"/>
                <w:sz w:val="20"/>
                <w:szCs w:val="20"/>
              </w:rPr>
              <w:t xml:space="preserve"> </w:t>
            </w:r>
            <w:r w:rsidRPr="00537112">
              <w:rPr>
                <w:rFonts w:cs="Verdana"/>
                <w:sz w:val="20"/>
                <w:szCs w:val="20"/>
              </w:rPr>
              <w:t>C</w:t>
            </w:r>
            <w:r w:rsidRPr="00537112">
              <w:rPr>
                <w:rFonts w:cs="Verdana"/>
                <w:spacing w:val="1"/>
                <w:sz w:val="20"/>
                <w:szCs w:val="20"/>
              </w:rPr>
              <w:t>uqu</w:t>
            </w:r>
            <w:r w:rsidRPr="00537112">
              <w:rPr>
                <w:rFonts w:cs="Verdana"/>
                <w:spacing w:val="-1"/>
                <w:sz w:val="20"/>
                <w:szCs w:val="20"/>
              </w:rPr>
              <w:t>e</w:t>
            </w:r>
            <w:r w:rsidRPr="00537112">
              <w:rPr>
                <w:rFonts w:cs="Verdana"/>
                <w:sz w:val="20"/>
                <w:szCs w:val="20"/>
              </w:rPr>
              <w:t>j</w:t>
            </w:r>
            <w:r w:rsidRPr="00537112">
              <w:rPr>
                <w:rFonts w:cs="Verdana"/>
                <w:spacing w:val="-7"/>
                <w:sz w:val="20"/>
                <w:szCs w:val="20"/>
              </w:rPr>
              <w:t xml:space="preserve"> </w:t>
            </w:r>
            <w:r w:rsidRPr="00537112">
              <w:rPr>
                <w:rFonts w:cs="Verdana"/>
                <w:sz w:val="20"/>
                <w:szCs w:val="20"/>
              </w:rPr>
              <w:t>M</w:t>
            </w:r>
            <w:r w:rsidRPr="00537112">
              <w:rPr>
                <w:rFonts w:cs="Verdana"/>
                <w:spacing w:val="-1"/>
                <w:sz w:val="20"/>
                <w:szCs w:val="20"/>
              </w:rPr>
              <w:t>ore</w:t>
            </w:r>
            <w:r w:rsidRPr="00537112">
              <w:rPr>
                <w:rFonts w:cs="Verdana"/>
                <w:spacing w:val="1"/>
                <w:sz w:val="20"/>
                <w:szCs w:val="20"/>
              </w:rPr>
              <w:t>nt</w:t>
            </w:r>
            <w:r w:rsidRPr="00537112">
              <w:rPr>
                <w:rFonts w:cs="Verdana"/>
                <w:sz w:val="20"/>
                <w:szCs w:val="20"/>
              </w:rPr>
              <w:t>e</w:t>
            </w:r>
          </w:p>
        </w:tc>
      </w:tr>
      <w:tr w:rsidR="00537112" w:rsidRPr="00537112" w:rsidTr="00630EEC">
        <w:trPr>
          <w:trHeight w:hRule="exact" w:val="274"/>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ascii="Times New Roman" w:hAnsi="Times New Roman"/>
              </w:rPr>
            </w:pPr>
            <w:r w:rsidRPr="00537112">
              <w:rPr>
                <w:rFonts w:cs="Verdana"/>
                <w:b/>
                <w:bCs/>
                <w:sz w:val="20"/>
                <w:szCs w:val="20"/>
              </w:rPr>
              <w:t>126</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ascii="Times New Roman" w:hAnsi="Times New Roman"/>
              </w:rPr>
            </w:pPr>
            <w:r w:rsidRPr="00537112">
              <w:rPr>
                <w:rFonts w:cs="Verdana"/>
                <w:spacing w:val="-1"/>
                <w:sz w:val="20"/>
                <w:szCs w:val="20"/>
              </w:rPr>
              <w:t>Gre</w:t>
            </w:r>
            <w:r w:rsidRPr="00537112">
              <w:rPr>
                <w:rFonts w:cs="Verdana"/>
                <w:spacing w:val="1"/>
                <w:sz w:val="20"/>
                <w:szCs w:val="20"/>
              </w:rPr>
              <w:t>g</w:t>
            </w:r>
            <w:r w:rsidRPr="00537112">
              <w:rPr>
                <w:rFonts w:cs="Verdana"/>
                <w:spacing w:val="-1"/>
                <w:sz w:val="20"/>
                <w:szCs w:val="20"/>
              </w:rPr>
              <w:t>or</w:t>
            </w:r>
            <w:r w:rsidRPr="00537112">
              <w:rPr>
                <w:rFonts w:cs="Verdana"/>
                <w:spacing w:val="3"/>
                <w:sz w:val="20"/>
                <w:szCs w:val="20"/>
              </w:rPr>
              <w:t>i</w:t>
            </w:r>
            <w:r w:rsidRPr="00537112">
              <w:rPr>
                <w:rFonts w:cs="Verdana"/>
                <w:sz w:val="20"/>
                <w:szCs w:val="20"/>
              </w:rPr>
              <w:t>a</w:t>
            </w:r>
            <w:r w:rsidRPr="00537112">
              <w:rPr>
                <w:rFonts w:cs="Verdana"/>
                <w:spacing w:val="-9"/>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127</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position w:val="-1"/>
                <w:sz w:val="20"/>
                <w:szCs w:val="20"/>
              </w:rPr>
              <w:t>Ma</w:t>
            </w:r>
            <w:r w:rsidRPr="00537112">
              <w:rPr>
                <w:rFonts w:cs="Verdana"/>
                <w:spacing w:val="-1"/>
                <w:position w:val="-1"/>
                <w:sz w:val="20"/>
                <w:szCs w:val="20"/>
              </w:rPr>
              <w:t>c</w:t>
            </w:r>
            <w:r w:rsidRPr="00537112">
              <w:rPr>
                <w:rFonts w:cs="Verdana"/>
                <w:position w:val="-1"/>
                <w:sz w:val="20"/>
                <w:szCs w:val="20"/>
              </w:rPr>
              <w:t>a</w:t>
            </w:r>
            <w:r w:rsidRPr="00537112">
              <w:rPr>
                <w:rFonts w:cs="Verdana"/>
                <w:spacing w:val="-1"/>
                <w:position w:val="-1"/>
                <w:sz w:val="20"/>
                <w:szCs w:val="20"/>
              </w:rPr>
              <w:t>r</w:t>
            </w:r>
            <w:r w:rsidRPr="00537112">
              <w:rPr>
                <w:rFonts w:cs="Verdana"/>
                <w:spacing w:val="3"/>
                <w:position w:val="-1"/>
                <w:sz w:val="20"/>
                <w:szCs w:val="20"/>
              </w:rPr>
              <w:t>i</w:t>
            </w:r>
            <w:r w:rsidRPr="00537112">
              <w:rPr>
                <w:rFonts w:cs="Verdana"/>
                <w:position w:val="-1"/>
                <w:sz w:val="20"/>
                <w:szCs w:val="20"/>
              </w:rPr>
              <w:t>o</w:t>
            </w:r>
            <w:r w:rsidRPr="00537112">
              <w:rPr>
                <w:rFonts w:cs="Verdana"/>
                <w:spacing w:val="-10"/>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128</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b/>
                <w:position w:val="-1"/>
                <w:sz w:val="20"/>
                <w:szCs w:val="20"/>
              </w:rPr>
            </w:pPr>
            <w:r w:rsidRPr="00537112">
              <w:rPr>
                <w:rFonts w:cs="Verdana"/>
                <w:spacing w:val="1"/>
                <w:sz w:val="20"/>
                <w:szCs w:val="20"/>
              </w:rPr>
              <w:t>J</w:t>
            </w:r>
            <w:r w:rsidRPr="00537112">
              <w:rPr>
                <w:rFonts w:cs="Verdana"/>
                <w:spacing w:val="-1"/>
                <w:sz w:val="20"/>
                <w:szCs w:val="20"/>
              </w:rPr>
              <w:t>eró</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m</w:t>
            </w:r>
            <w:r w:rsidRPr="00537112">
              <w:rPr>
                <w:rFonts w:cs="Verdana"/>
                <w:sz w:val="20"/>
                <w:szCs w:val="20"/>
              </w:rPr>
              <w:t>o</w:t>
            </w:r>
            <w:r w:rsidRPr="00537112">
              <w:rPr>
                <w:rFonts w:cs="Verdana"/>
                <w:spacing w:val="-11"/>
                <w:sz w:val="20"/>
                <w:szCs w:val="20"/>
              </w:rPr>
              <w:t xml:space="preserve"> </w:t>
            </w:r>
            <w:r w:rsidRPr="00537112">
              <w:rPr>
                <w:rFonts w:cs="Verdana"/>
                <w:spacing w:val="-2"/>
                <w:sz w:val="20"/>
                <w:szCs w:val="20"/>
              </w:rPr>
              <w:t>I</w:t>
            </w:r>
            <w:r w:rsidRPr="00537112">
              <w:rPr>
                <w:rFonts w:cs="Verdana"/>
                <w:sz w:val="20"/>
                <w:szCs w:val="20"/>
              </w:rPr>
              <w:t>x</w:t>
            </w:r>
            <w:r w:rsidRPr="00537112">
              <w:rPr>
                <w:rFonts w:cs="Verdana"/>
                <w:spacing w:val="1"/>
                <w:sz w:val="20"/>
                <w:szCs w:val="20"/>
              </w:rPr>
              <w:t>p</w:t>
            </w:r>
            <w:r w:rsidRPr="00537112">
              <w:rPr>
                <w:rFonts w:cs="Verdana"/>
                <w:sz w:val="20"/>
                <w:szCs w:val="20"/>
              </w:rPr>
              <w:t>a</w:t>
            </w:r>
            <w:r w:rsidRPr="00537112">
              <w:rPr>
                <w:rFonts w:cs="Verdana"/>
                <w:spacing w:val="1"/>
                <w:sz w:val="20"/>
                <w:szCs w:val="20"/>
              </w:rPr>
              <w:t>t</w:t>
            </w:r>
            <w:r w:rsidRPr="00537112">
              <w:rPr>
                <w:rFonts w:cs="Verdana"/>
                <w:sz w:val="20"/>
                <w:szCs w:val="20"/>
              </w:rPr>
              <w:t>á</w:t>
            </w:r>
            <w:r w:rsidRPr="00537112">
              <w:rPr>
                <w:rFonts w:cs="Verdana"/>
                <w:spacing w:val="-6"/>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129</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pacing w:val="1"/>
                <w:sz w:val="20"/>
                <w:szCs w:val="20"/>
              </w:rPr>
              <w:t>F</w:t>
            </w:r>
            <w:r w:rsidRPr="00537112">
              <w:rPr>
                <w:rFonts w:cs="Verdana"/>
                <w:spacing w:val="3"/>
                <w:sz w:val="20"/>
                <w:szCs w:val="20"/>
              </w:rPr>
              <w:t>i</w:t>
            </w:r>
            <w:r w:rsidRPr="00537112">
              <w:rPr>
                <w:rFonts w:cs="Verdana"/>
                <w:spacing w:val="1"/>
                <w:sz w:val="20"/>
                <w:szCs w:val="20"/>
              </w:rPr>
              <w:t>d</w:t>
            </w:r>
            <w:r w:rsidRPr="00537112">
              <w:rPr>
                <w:rFonts w:cs="Verdana"/>
                <w:spacing w:val="-1"/>
                <w:sz w:val="20"/>
                <w:szCs w:val="20"/>
              </w:rPr>
              <w:t>e</w:t>
            </w:r>
            <w:r w:rsidRPr="00537112">
              <w:rPr>
                <w:rFonts w:cs="Verdana"/>
                <w:sz w:val="20"/>
                <w:szCs w:val="20"/>
              </w:rPr>
              <w:t>l</w:t>
            </w:r>
            <w:r w:rsidRPr="00537112">
              <w:rPr>
                <w:rFonts w:cs="Verdana"/>
                <w:spacing w:val="-3"/>
                <w:sz w:val="20"/>
                <w:szCs w:val="20"/>
              </w:rPr>
              <w:t xml:space="preserve"> </w:t>
            </w:r>
            <w:r w:rsidRPr="00537112">
              <w:rPr>
                <w:rFonts w:cs="Verdana"/>
                <w:sz w:val="20"/>
                <w:szCs w:val="20"/>
              </w:rPr>
              <w:t>Ma</w:t>
            </w:r>
            <w:r w:rsidRPr="00537112">
              <w:rPr>
                <w:rFonts w:cs="Verdana"/>
                <w:spacing w:val="1"/>
                <w:sz w:val="20"/>
                <w:szCs w:val="20"/>
              </w:rPr>
              <w:t>nu</w:t>
            </w:r>
            <w:r w:rsidRPr="00537112">
              <w:rPr>
                <w:rFonts w:cs="Verdana"/>
                <w:spacing w:val="-1"/>
                <w:sz w:val="20"/>
                <w:szCs w:val="20"/>
              </w:rPr>
              <w:t>e</w:t>
            </w:r>
            <w:r w:rsidRPr="00537112">
              <w:rPr>
                <w:rFonts w:cs="Verdana"/>
                <w:sz w:val="20"/>
                <w:szCs w:val="20"/>
              </w:rPr>
              <w:t>l</w:t>
            </w:r>
            <w:r w:rsidRPr="00537112">
              <w:rPr>
                <w:rFonts w:cs="Verdana"/>
                <w:spacing w:val="-5"/>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130</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z w:val="20"/>
                <w:szCs w:val="20"/>
              </w:rPr>
              <w:t>Ma</w:t>
            </w:r>
            <w:r w:rsidRPr="00537112">
              <w:rPr>
                <w:rFonts w:cs="Verdana"/>
                <w:spacing w:val="-1"/>
                <w:sz w:val="20"/>
                <w:szCs w:val="20"/>
              </w:rPr>
              <w:t>rce</w:t>
            </w:r>
            <w:r w:rsidRPr="00537112">
              <w:rPr>
                <w:rFonts w:cs="Verdana"/>
                <w:spacing w:val="3"/>
                <w:sz w:val="20"/>
                <w:szCs w:val="20"/>
              </w:rPr>
              <w:t>li</w:t>
            </w:r>
            <w:r w:rsidRPr="00537112">
              <w:rPr>
                <w:rFonts w:cs="Verdana"/>
                <w:spacing w:val="1"/>
                <w:sz w:val="20"/>
                <w:szCs w:val="20"/>
              </w:rPr>
              <w:t>n</w:t>
            </w:r>
            <w:r w:rsidRPr="00537112">
              <w:rPr>
                <w:rFonts w:cs="Verdana"/>
                <w:sz w:val="20"/>
                <w:szCs w:val="20"/>
              </w:rPr>
              <w:t>o</w:t>
            </w:r>
            <w:r w:rsidRPr="00537112">
              <w:rPr>
                <w:rFonts w:cs="Verdana"/>
                <w:spacing w:val="-12"/>
                <w:sz w:val="20"/>
                <w:szCs w:val="20"/>
              </w:rPr>
              <w:t xml:space="preserve"> </w:t>
            </w:r>
            <w:r w:rsidRPr="00537112">
              <w:rPr>
                <w:rFonts w:cs="Verdana"/>
                <w:spacing w:val="-1"/>
                <w:sz w:val="20"/>
                <w:szCs w:val="20"/>
              </w:rPr>
              <w:t>E</w:t>
            </w:r>
            <w:r w:rsidRPr="00537112">
              <w:rPr>
                <w:rFonts w:cs="Verdana"/>
                <w:spacing w:val="1"/>
                <w:sz w:val="20"/>
                <w:szCs w:val="20"/>
              </w:rPr>
              <w:t>ug</w:t>
            </w:r>
            <w:r w:rsidRPr="00537112">
              <w:rPr>
                <w:rFonts w:cs="Verdana"/>
                <w:spacing w:val="-1"/>
                <w:sz w:val="20"/>
                <w:szCs w:val="20"/>
              </w:rPr>
              <w:t>e</w:t>
            </w:r>
            <w:r w:rsidRPr="00537112">
              <w:rPr>
                <w:rFonts w:cs="Verdana"/>
                <w:spacing w:val="1"/>
                <w:sz w:val="20"/>
                <w:szCs w:val="20"/>
              </w:rPr>
              <w:t>n</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z w:val="20"/>
                <w:szCs w:val="20"/>
              </w:rPr>
              <w:t>M</w:t>
            </w:r>
            <w:r w:rsidRPr="00537112">
              <w:rPr>
                <w:rFonts w:cs="Verdana"/>
                <w:spacing w:val="-1"/>
                <w:sz w:val="20"/>
                <w:szCs w:val="20"/>
              </w:rPr>
              <w:t>or</w:t>
            </w:r>
            <w:r w:rsidRPr="00537112">
              <w:rPr>
                <w:rFonts w:cs="Verdana"/>
                <w:sz w:val="20"/>
                <w:szCs w:val="20"/>
              </w:rPr>
              <w:t>a</w:t>
            </w:r>
            <w:r w:rsidRPr="00537112">
              <w:rPr>
                <w:rFonts w:cs="Verdana"/>
                <w:spacing w:val="3"/>
                <w:sz w:val="20"/>
                <w:szCs w:val="20"/>
              </w:rPr>
              <w:t>l</w:t>
            </w:r>
            <w:r w:rsidRPr="00537112">
              <w:rPr>
                <w:rFonts w:cs="Verdana"/>
                <w:spacing w:val="-1"/>
                <w:sz w:val="20"/>
                <w:szCs w:val="20"/>
              </w:rPr>
              <w:t>es</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131</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z w:val="20"/>
                <w:szCs w:val="20"/>
              </w:rPr>
            </w:pPr>
            <w:r w:rsidRPr="00537112">
              <w:rPr>
                <w:rFonts w:cs="Verdana"/>
                <w:spacing w:val="1"/>
                <w:sz w:val="20"/>
                <w:szCs w:val="20"/>
              </w:rPr>
              <w:t>Ju</w:t>
            </w:r>
            <w:r w:rsidRPr="00537112">
              <w:rPr>
                <w:rFonts w:cs="Verdana"/>
                <w:sz w:val="20"/>
                <w:szCs w:val="20"/>
              </w:rPr>
              <w:t>an</w:t>
            </w:r>
            <w:r w:rsidRPr="00537112">
              <w:rPr>
                <w:rFonts w:cs="Verdana"/>
                <w:spacing w:val="-5"/>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d</w:t>
            </w:r>
            <w:r w:rsidRPr="00537112">
              <w:rPr>
                <w:rFonts w:cs="Verdana"/>
                <w:sz w:val="20"/>
                <w:szCs w:val="20"/>
              </w:rPr>
              <w:t>e</w:t>
            </w:r>
            <w:r w:rsidRPr="00537112">
              <w:rPr>
                <w:rFonts w:cs="Verdana"/>
                <w:spacing w:val="-4"/>
                <w:sz w:val="20"/>
                <w:szCs w:val="20"/>
              </w:rPr>
              <w:t xml:space="preserve"> </w:t>
            </w:r>
            <w:r w:rsidRPr="00537112">
              <w:rPr>
                <w:rFonts w:cs="Verdana"/>
                <w:sz w:val="20"/>
                <w:szCs w:val="20"/>
              </w:rPr>
              <w:t>Páz</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132</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pacing w:val="1"/>
                <w:sz w:val="20"/>
                <w:szCs w:val="20"/>
              </w:rPr>
              <w:t>S</w:t>
            </w:r>
            <w:r w:rsidRPr="00537112">
              <w:rPr>
                <w:rFonts w:cs="Verdana"/>
                <w:spacing w:val="-1"/>
                <w:sz w:val="20"/>
                <w:szCs w:val="20"/>
              </w:rPr>
              <w:t>er</w:t>
            </w:r>
            <w:r w:rsidRPr="00537112">
              <w:rPr>
                <w:rFonts w:cs="Verdana"/>
                <w:sz w:val="20"/>
                <w:szCs w:val="20"/>
              </w:rPr>
              <w:t>a</w:t>
            </w:r>
            <w:r w:rsidRPr="00537112">
              <w:rPr>
                <w:rFonts w:cs="Verdana"/>
                <w:spacing w:val="1"/>
                <w:sz w:val="20"/>
                <w:szCs w:val="20"/>
              </w:rPr>
              <w:t>p</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r w:rsidRPr="00537112">
              <w:rPr>
                <w:rFonts w:cs="Verdana"/>
                <w:spacing w:val="-5"/>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133</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pacing w:val="1"/>
                <w:sz w:val="20"/>
                <w:szCs w:val="20"/>
              </w:rPr>
              <w:t>Celestino Ixtecoc</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134</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pacing w:val="1"/>
                <w:sz w:val="20"/>
                <w:szCs w:val="20"/>
              </w:rPr>
              <w:t>R</w:t>
            </w:r>
            <w:r w:rsidRPr="00537112">
              <w:rPr>
                <w:rFonts w:cs="Verdana"/>
                <w:sz w:val="20"/>
                <w:szCs w:val="20"/>
              </w:rPr>
              <w:t>a</w:t>
            </w:r>
            <w:r w:rsidRPr="00537112">
              <w:rPr>
                <w:rFonts w:cs="Verdana"/>
                <w:spacing w:val="1"/>
                <w:sz w:val="20"/>
                <w:szCs w:val="20"/>
              </w:rPr>
              <w:t>m</w:t>
            </w:r>
            <w:r w:rsidRPr="00537112">
              <w:rPr>
                <w:rFonts w:cs="Verdana"/>
                <w:spacing w:val="-1"/>
                <w:sz w:val="20"/>
                <w:szCs w:val="20"/>
              </w:rPr>
              <w:t>o</w:t>
            </w:r>
            <w:r w:rsidRPr="00537112">
              <w:rPr>
                <w:rFonts w:cs="Verdana"/>
                <w:sz w:val="20"/>
                <w:szCs w:val="20"/>
              </w:rPr>
              <w:t>n</w:t>
            </w:r>
            <w:r w:rsidRPr="00537112">
              <w:rPr>
                <w:rFonts w:cs="Verdana"/>
                <w:spacing w:val="-7"/>
                <w:sz w:val="20"/>
                <w:szCs w:val="20"/>
              </w:rPr>
              <w:t xml:space="preserve"> </w:t>
            </w:r>
            <w:r w:rsidRPr="00537112">
              <w:rPr>
                <w:rFonts w:cs="Verdana"/>
                <w:sz w:val="20"/>
                <w:szCs w:val="20"/>
              </w:rPr>
              <w:t>Ca</w:t>
            </w:r>
            <w:r w:rsidRPr="00537112">
              <w:rPr>
                <w:rFonts w:cs="Verdana"/>
                <w:spacing w:val="3"/>
                <w:sz w:val="20"/>
                <w:szCs w:val="20"/>
              </w:rPr>
              <w:t>l</w:t>
            </w:r>
            <w:r w:rsidRPr="00537112">
              <w:rPr>
                <w:rFonts w:cs="Verdana"/>
                <w:sz w:val="20"/>
                <w:szCs w:val="20"/>
              </w:rPr>
              <w:t>at</w:t>
            </w:r>
            <w:r w:rsidRPr="00537112">
              <w:rPr>
                <w:rFonts w:cs="Verdana"/>
                <w:spacing w:val="-5"/>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135</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pacing w:val="1"/>
                <w:sz w:val="20"/>
                <w:szCs w:val="20"/>
              </w:rPr>
              <w:t>Francisco Sic Cuxum</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136</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pacing w:val="1"/>
                <w:sz w:val="20"/>
                <w:szCs w:val="20"/>
              </w:rPr>
              <w:t>A</w:t>
            </w:r>
            <w:r w:rsidRPr="00537112">
              <w:rPr>
                <w:rFonts w:cs="Verdana"/>
                <w:spacing w:val="3"/>
                <w:sz w:val="20"/>
                <w:szCs w:val="20"/>
              </w:rPr>
              <w:t>l</w:t>
            </w:r>
            <w:r w:rsidRPr="00537112">
              <w:rPr>
                <w:rFonts w:cs="Verdana"/>
                <w:spacing w:val="1"/>
                <w:sz w:val="20"/>
                <w:szCs w:val="20"/>
              </w:rPr>
              <w:t>b</w:t>
            </w:r>
            <w:r w:rsidRPr="00537112">
              <w:rPr>
                <w:rFonts w:cs="Verdana"/>
                <w:spacing w:val="-1"/>
                <w:sz w:val="20"/>
                <w:szCs w:val="20"/>
              </w:rPr>
              <w:t>er</w:t>
            </w:r>
            <w:r w:rsidRPr="00537112">
              <w:rPr>
                <w:rFonts w:cs="Verdana"/>
                <w:spacing w:val="1"/>
                <w:sz w:val="20"/>
                <w:szCs w:val="20"/>
              </w:rPr>
              <w:t>t</w:t>
            </w:r>
            <w:r w:rsidRPr="00537112">
              <w:rPr>
                <w:rFonts w:cs="Verdana"/>
                <w:sz w:val="20"/>
                <w:szCs w:val="20"/>
              </w:rPr>
              <w:t>o</w:t>
            </w:r>
            <w:r w:rsidRPr="00537112">
              <w:rPr>
                <w:rFonts w:cs="Verdana"/>
                <w:spacing w:val="-9"/>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r w:rsidRPr="00537112">
              <w:rPr>
                <w:rFonts w:cs="Verdana"/>
                <w:spacing w:val="-6"/>
                <w:sz w:val="20"/>
                <w:szCs w:val="20"/>
              </w:rPr>
              <w:t xml:space="preserve"> </w:t>
            </w:r>
            <w:r w:rsidRPr="00537112">
              <w:rPr>
                <w:rFonts w:cs="Verdana"/>
                <w:spacing w:val="1"/>
                <w:sz w:val="20"/>
                <w:szCs w:val="20"/>
              </w:rPr>
              <w:t>R</w:t>
            </w:r>
            <w:r w:rsidRPr="00537112">
              <w:rPr>
                <w:rFonts w:cs="Verdana"/>
                <w:spacing w:val="-1"/>
                <w:sz w:val="20"/>
                <w:szCs w:val="20"/>
              </w:rPr>
              <w:t>e</w:t>
            </w:r>
            <w:r w:rsidRPr="00537112">
              <w:rPr>
                <w:rFonts w:cs="Verdana"/>
                <w:sz w:val="20"/>
                <w:szCs w:val="20"/>
              </w:rPr>
              <w:t>y</w:t>
            </w:r>
            <w:r w:rsidRPr="00537112">
              <w:rPr>
                <w:rFonts w:cs="Verdana"/>
                <w:spacing w:val="-1"/>
                <w:sz w:val="20"/>
                <w:szCs w:val="20"/>
              </w:rPr>
              <w:t>e</w:t>
            </w:r>
            <w:r w:rsidRPr="00537112">
              <w:rPr>
                <w:rFonts w:cs="Verdana"/>
                <w:sz w:val="20"/>
                <w:szCs w:val="20"/>
              </w:rPr>
              <w:t>s</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137</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pacing w:val="1"/>
                <w:sz w:val="20"/>
                <w:szCs w:val="20"/>
              </w:rPr>
              <w:t>S</w:t>
            </w:r>
            <w:r w:rsidRPr="00537112">
              <w:rPr>
                <w:rFonts w:cs="Verdana"/>
                <w:spacing w:val="-1"/>
                <w:sz w:val="20"/>
                <w:szCs w:val="20"/>
              </w:rPr>
              <w:t>ec</w:t>
            </w:r>
            <w:r w:rsidRPr="00537112">
              <w:rPr>
                <w:rFonts w:cs="Verdana"/>
                <w:spacing w:val="1"/>
                <w:sz w:val="20"/>
                <w:szCs w:val="20"/>
              </w:rPr>
              <w:t>und</w:t>
            </w:r>
            <w:r w:rsidRPr="00537112">
              <w:rPr>
                <w:rFonts w:cs="Verdana"/>
                <w:spacing w:val="3"/>
                <w:sz w:val="20"/>
                <w:szCs w:val="20"/>
              </w:rPr>
              <w:t>i</w:t>
            </w:r>
            <w:r w:rsidRPr="00537112">
              <w:rPr>
                <w:rFonts w:cs="Verdana"/>
                <w:spacing w:val="1"/>
                <w:sz w:val="20"/>
                <w:szCs w:val="20"/>
              </w:rPr>
              <w:t>n</w:t>
            </w:r>
            <w:r w:rsidRPr="00537112">
              <w:rPr>
                <w:rFonts w:cs="Verdana"/>
                <w:sz w:val="20"/>
                <w:szCs w:val="20"/>
              </w:rPr>
              <w:t>o</w:t>
            </w:r>
            <w:r w:rsidRPr="00537112">
              <w:rPr>
                <w:rFonts w:cs="Verdana"/>
                <w:spacing w:val="-12"/>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138</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pacing w:val="1"/>
                <w:sz w:val="20"/>
                <w:szCs w:val="20"/>
              </w:rPr>
              <w:t>V</w:t>
            </w:r>
            <w:r w:rsidRPr="00537112">
              <w:rPr>
                <w:rFonts w:cs="Verdana"/>
                <w:spacing w:val="3"/>
                <w:sz w:val="20"/>
                <w:szCs w:val="20"/>
              </w:rPr>
              <w:t>i</w:t>
            </w:r>
            <w:r w:rsidRPr="00537112">
              <w:rPr>
                <w:rFonts w:cs="Verdana"/>
                <w:spacing w:val="-1"/>
                <w:sz w:val="20"/>
                <w:szCs w:val="20"/>
              </w:rPr>
              <w:t>ce</w:t>
            </w:r>
            <w:r w:rsidRPr="00537112">
              <w:rPr>
                <w:rFonts w:cs="Verdana"/>
                <w:spacing w:val="1"/>
                <w:sz w:val="20"/>
                <w:szCs w:val="20"/>
              </w:rPr>
              <w:t>nt</w:t>
            </w:r>
            <w:r w:rsidRPr="00537112">
              <w:rPr>
                <w:rFonts w:cs="Verdana"/>
                <w:sz w:val="20"/>
                <w:szCs w:val="20"/>
              </w:rPr>
              <w:t>e</w:t>
            </w:r>
            <w:r w:rsidRPr="00537112">
              <w:rPr>
                <w:rFonts w:cs="Verdana"/>
                <w:spacing w:val="-9"/>
                <w:sz w:val="20"/>
                <w:szCs w:val="20"/>
              </w:rPr>
              <w:t xml:space="preserve"> </w:t>
            </w:r>
            <w:r w:rsidRPr="00537112">
              <w:rPr>
                <w:rFonts w:cs="Verdana"/>
                <w:spacing w:val="1"/>
                <w:sz w:val="20"/>
                <w:szCs w:val="20"/>
              </w:rPr>
              <w:t>d</w:t>
            </w:r>
            <w:r w:rsidRPr="00537112">
              <w:rPr>
                <w:rFonts w:cs="Verdana"/>
                <w:sz w:val="20"/>
                <w:szCs w:val="20"/>
              </w:rPr>
              <w:t>e</w:t>
            </w:r>
            <w:r w:rsidRPr="00537112">
              <w:rPr>
                <w:rFonts w:cs="Verdana"/>
                <w:spacing w:val="-4"/>
                <w:sz w:val="20"/>
                <w:szCs w:val="20"/>
              </w:rPr>
              <w:t xml:space="preserve"> </w:t>
            </w:r>
            <w:r w:rsidRPr="00537112">
              <w:rPr>
                <w:rFonts w:cs="Verdana"/>
                <w:sz w:val="20"/>
                <w:szCs w:val="20"/>
              </w:rPr>
              <w:t>Paz</w:t>
            </w:r>
            <w:r w:rsidRPr="00537112">
              <w:rPr>
                <w:rFonts w:cs="Verdana"/>
                <w:spacing w:val="-3"/>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139</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z w:val="20"/>
                <w:szCs w:val="20"/>
              </w:rPr>
              <w:t>Ma</w:t>
            </w:r>
            <w:r w:rsidRPr="00537112">
              <w:rPr>
                <w:rFonts w:cs="Verdana"/>
                <w:spacing w:val="-1"/>
                <w:sz w:val="20"/>
                <w:szCs w:val="20"/>
              </w:rPr>
              <w:t>r</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o</w:t>
            </w:r>
            <w:r w:rsidRPr="00537112">
              <w:rPr>
                <w:rFonts w:cs="Verdana"/>
                <w:spacing w:val="-10"/>
                <w:sz w:val="20"/>
                <w:szCs w:val="20"/>
              </w:rPr>
              <w:t xml:space="preserve"> </w:t>
            </w:r>
            <w:r w:rsidRPr="00537112">
              <w:rPr>
                <w:rFonts w:cs="Verdana"/>
                <w:sz w:val="20"/>
                <w:szCs w:val="20"/>
              </w:rPr>
              <w:t>D</w:t>
            </w:r>
            <w:r w:rsidRPr="00537112">
              <w:rPr>
                <w:rFonts w:cs="Verdana"/>
                <w:spacing w:val="3"/>
                <w:sz w:val="20"/>
                <w:szCs w:val="20"/>
              </w:rPr>
              <w:t>í</w:t>
            </w:r>
            <w:r w:rsidRPr="00537112">
              <w:rPr>
                <w:rFonts w:cs="Verdana"/>
                <w:sz w:val="20"/>
                <w:szCs w:val="20"/>
              </w:rPr>
              <w:t>az</w:t>
            </w:r>
            <w:r w:rsidRPr="00537112">
              <w:rPr>
                <w:rFonts w:cs="Verdana"/>
                <w:spacing w:val="-4"/>
                <w:sz w:val="20"/>
                <w:szCs w:val="20"/>
              </w:rPr>
              <w:t xml:space="preserve"> </w:t>
            </w:r>
            <w:r w:rsidRPr="00537112">
              <w:rPr>
                <w:rFonts w:cs="Verdana"/>
                <w:sz w:val="20"/>
                <w:szCs w:val="20"/>
              </w:rPr>
              <w:t>T</w:t>
            </w:r>
            <w:r w:rsidRPr="00537112">
              <w:rPr>
                <w:rFonts w:cs="Verdana"/>
                <w:spacing w:val="-1"/>
                <w:sz w:val="20"/>
                <w:szCs w:val="20"/>
              </w:rPr>
              <w:t>o</w:t>
            </w:r>
            <w:r w:rsidRPr="00537112">
              <w:rPr>
                <w:rFonts w:cs="Verdana"/>
                <w:spacing w:val="3"/>
                <w:sz w:val="20"/>
                <w:szCs w:val="20"/>
              </w:rPr>
              <w:t>l</w:t>
            </w:r>
            <w:r w:rsidRPr="00537112">
              <w:rPr>
                <w:rFonts w:cs="Verdana"/>
                <w:spacing w:val="-1"/>
                <w:sz w:val="20"/>
                <w:szCs w:val="20"/>
              </w:rPr>
              <w:t>o</w:t>
            </w:r>
            <w:r w:rsidRPr="00537112">
              <w:rPr>
                <w:rFonts w:cs="Verdana"/>
                <w:sz w:val="20"/>
                <w:szCs w:val="20"/>
              </w:rPr>
              <w:t>m</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140</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z w:val="20"/>
                <w:szCs w:val="20"/>
              </w:rPr>
            </w:pPr>
            <w:r w:rsidRPr="00537112">
              <w:rPr>
                <w:rFonts w:cs="Verdana"/>
                <w:spacing w:val="1"/>
                <w:sz w:val="20"/>
                <w:szCs w:val="20"/>
              </w:rPr>
              <w:t>And</w:t>
            </w:r>
            <w:r w:rsidRPr="00537112">
              <w:rPr>
                <w:rFonts w:cs="Verdana"/>
                <w:spacing w:val="-1"/>
                <w:sz w:val="20"/>
                <w:szCs w:val="20"/>
              </w:rPr>
              <w:t>ré</w:t>
            </w:r>
            <w:r w:rsidRPr="00537112">
              <w:rPr>
                <w:rFonts w:cs="Verdana"/>
                <w:sz w:val="20"/>
                <w:szCs w:val="20"/>
              </w:rPr>
              <w:t>s</w:t>
            </w:r>
            <w:r w:rsidRPr="00537112">
              <w:rPr>
                <w:rFonts w:cs="Verdana"/>
                <w:spacing w:val="-8"/>
                <w:sz w:val="20"/>
                <w:szCs w:val="20"/>
              </w:rPr>
              <w:t xml:space="preserve"> </w:t>
            </w:r>
            <w:r w:rsidRPr="00537112">
              <w:rPr>
                <w:rFonts w:cs="Verdana"/>
                <w:spacing w:val="-2"/>
                <w:sz w:val="20"/>
                <w:szCs w:val="20"/>
              </w:rPr>
              <w:t>I</w:t>
            </w:r>
            <w:r w:rsidRPr="00537112">
              <w:rPr>
                <w:rFonts w:cs="Verdana"/>
                <w:sz w:val="20"/>
                <w:szCs w:val="20"/>
              </w:rPr>
              <w:t>x</w:t>
            </w:r>
            <w:r w:rsidRPr="00537112">
              <w:rPr>
                <w:rFonts w:cs="Verdana"/>
                <w:spacing w:val="1"/>
                <w:sz w:val="20"/>
                <w:szCs w:val="20"/>
              </w:rPr>
              <w:t>t</w:t>
            </w:r>
            <w:r w:rsidRPr="00537112">
              <w:rPr>
                <w:rFonts w:cs="Verdana"/>
                <w:spacing w:val="-1"/>
                <w:sz w:val="20"/>
                <w:szCs w:val="20"/>
              </w:rPr>
              <w:t>eco</w:t>
            </w:r>
            <w:r w:rsidRPr="00537112">
              <w:rPr>
                <w:rFonts w:cs="Verdana"/>
                <w:sz w:val="20"/>
                <w:szCs w:val="20"/>
              </w:rPr>
              <w:t>c</w:t>
            </w:r>
            <w:r w:rsidRPr="00537112">
              <w:rPr>
                <w:rFonts w:cs="Verdana"/>
                <w:spacing w:val="-8"/>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w:t>
            </w:r>
            <w:r w:rsidRPr="00537112">
              <w:rPr>
                <w:rFonts w:cs="Verdana"/>
                <w:sz w:val="20"/>
                <w:szCs w:val="20"/>
              </w:rPr>
              <w:t>l</w:t>
            </w:r>
          </w:p>
        </w:tc>
      </w:tr>
      <w:tr w:rsidR="00537112" w:rsidRPr="00537112" w:rsidTr="00630EEC">
        <w:trPr>
          <w:trHeight w:hRule="exact" w:val="319"/>
        </w:trPr>
        <w:tc>
          <w:tcPr>
            <w:tcW w:w="1019" w:type="dxa"/>
            <w:tcBorders>
              <w:top w:val="single" w:sz="8" w:space="0" w:color="000000"/>
              <w:left w:val="single" w:sz="8" w:space="0" w:color="000000"/>
              <w:bottom w:val="single" w:sz="4" w:space="0" w:color="auto"/>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141</w:t>
            </w:r>
          </w:p>
        </w:tc>
        <w:tc>
          <w:tcPr>
            <w:tcW w:w="5545" w:type="dxa"/>
            <w:tcBorders>
              <w:top w:val="single" w:sz="8" w:space="0" w:color="000000"/>
              <w:left w:val="single" w:sz="8" w:space="0" w:color="000000"/>
              <w:bottom w:val="single" w:sz="4" w:space="0" w:color="auto"/>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z w:val="20"/>
                <w:szCs w:val="20"/>
              </w:rPr>
              <w:t>B</w:t>
            </w:r>
            <w:r w:rsidRPr="00537112">
              <w:rPr>
                <w:rFonts w:cs="Verdana"/>
                <w:spacing w:val="-1"/>
                <w:sz w:val="20"/>
                <w:szCs w:val="20"/>
              </w:rPr>
              <w:t>er</w:t>
            </w:r>
            <w:r w:rsidRPr="00537112">
              <w:rPr>
                <w:rFonts w:cs="Verdana"/>
                <w:spacing w:val="1"/>
                <w:sz w:val="20"/>
                <w:szCs w:val="20"/>
              </w:rPr>
              <w:t>n</w:t>
            </w:r>
            <w:r w:rsidRPr="00537112">
              <w:rPr>
                <w:rFonts w:cs="Verdana"/>
                <w:sz w:val="20"/>
                <w:szCs w:val="20"/>
              </w:rPr>
              <w:t>a</w:t>
            </w:r>
            <w:r w:rsidRPr="00537112">
              <w:rPr>
                <w:rFonts w:cs="Verdana"/>
                <w:spacing w:val="-1"/>
                <w:sz w:val="20"/>
                <w:szCs w:val="20"/>
              </w:rPr>
              <w:t>r</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m</w:t>
            </w:r>
            <w:r w:rsidRPr="00537112">
              <w:rPr>
                <w:rFonts w:cs="Verdana"/>
                <w:sz w:val="20"/>
                <w:szCs w:val="20"/>
              </w:rPr>
              <w:t>an</w:t>
            </w:r>
            <w:r w:rsidRPr="00537112">
              <w:rPr>
                <w:rFonts w:cs="Verdana"/>
                <w:spacing w:val="-7"/>
                <w:sz w:val="20"/>
                <w:szCs w:val="20"/>
              </w:rPr>
              <w:t xml:space="preserve"> </w:t>
            </w:r>
            <w:r w:rsidRPr="00537112">
              <w:rPr>
                <w:rFonts w:cs="Verdana"/>
                <w:spacing w:val="-2"/>
                <w:sz w:val="20"/>
                <w:szCs w:val="20"/>
              </w:rPr>
              <w:t>I</w:t>
            </w:r>
            <w:r w:rsidRPr="00537112">
              <w:rPr>
                <w:rFonts w:cs="Verdana"/>
                <w:sz w:val="20"/>
                <w:szCs w:val="20"/>
              </w:rPr>
              <w:t>v</w:t>
            </w:r>
            <w:r w:rsidRPr="00537112">
              <w:rPr>
                <w:rFonts w:cs="Verdana"/>
                <w:spacing w:val="-1"/>
                <w:sz w:val="20"/>
                <w:szCs w:val="20"/>
              </w:rPr>
              <w:t>oy</w:t>
            </w:r>
          </w:p>
        </w:tc>
      </w:tr>
    </w:tbl>
    <w:p w:rsidR="00537112" w:rsidRPr="00537112" w:rsidRDefault="00537112" w:rsidP="00537112">
      <w:pPr>
        <w:widowControl/>
        <w:adjustRightInd/>
        <w:spacing w:after="200" w:line="276" w:lineRule="auto"/>
        <w:jc w:val="left"/>
        <w:textAlignment w:val="auto"/>
        <w:rPr>
          <w:rFonts w:ascii="Calibri" w:hAnsi="Calibri"/>
          <w:sz w:val="22"/>
          <w:szCs w:val="22"/>
        </w:rPr>
      </w:pPr>
      <w:r w:rsidRPr="00537112">
        <w:rPr>
          <w:rFonts w:ascii="Calibri" w:hAnsi="Calibri"/>
          <w:sz w:val="22"/>
          <w:szCs w:val="22"/>
        </w:rPr>
        <w:br w:type="page"/>
      </w:r>
    </w:p>
    <w:tbl>
      <w:tblPr>
        <w:tblpPr w:leftFromText="141" w:rightFromText="141" w:vertAnchor="page" w:horzAnchor="page" w:tblpX="1052" w:tblpY="1240"/>
        <w:tblW w:w="0" w:type="auto"/>
        <w:tblLayout w:type="fixed"/>
        <w:tblCellMar>
          <w:left w:w="0" w:type="dxa"/>
          <w:right w:w="0" w:type="dxa"/>
        </w:tblCellMar>
        <w:tblLook w:val="0000" w:firstRow="0" w:lastRow="0" w:firstColumn="0" w:lastColumn="0" w:noHBand="0" w:noVBand="0"/>
      </w:tblPr>
      <w:tblGrid>
        <w:gridCol w:w="1019"/>
        <w:gridCol w:w="5545"/>
      </w:tblGrid>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lastRenderedPageBreak/>
              <w:t>142</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z w:val="20"/>
                <w:szCs w:val="20"/>
              </w:rPr>
            </w:pPr>
            <w:r w:rsidRPr="00537112">
              <w:rPr>
                <w:rFonts w:cs="Verdana"/>
                <w:sz w:val="20"/>
                <w:szCs w:val="20"/>
              </w:rPr>
              <w:t>T</w:t>
            </w:r>
            <w:r w:rsidRPr="00537112">
              <w:rPr>
                <w:rFonts w:cs="Verdana"/>
                <w:spacing w:val="-1"/>
                <w:sz w:val="20"/>
                <w:szCs w:val="20"/>
              </w:rPr>
              <w:t>o</w:t>
            </w:r>
            <w:r w:rsidRPr="00537112">
              <w:rPr>
                <w:rFonts w:cs="Verdana"/>
                <w:spacing w:val="1"/>
                <w:sz w:val="20"/>
                <w:szCs w:val="20"/>
              </w:rPr>
              <w:t>m</w:t>
            </w:r>
            <w:r w:rsidRPr="00537112">
              <w:rPr>
                <w:rFonts w:cs="Verdana"/>
                <w:sz w:val="20"/>
                <w:szCs w:val="20"/>
              </w:rPr>
              <w:t>ás</w:t>
            </w:r>
            <w:r w:rsidRPr="00537112">
              <w:rPr>
                <w:rFonts w:cs="Verdana"/>
                <w:spacing w:val="-8"/>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1"/>
                <w:sz w:val="20"/>
                <w:szCs w:val="20"/>
              </w:rPr>
              <w:t>rc</w:t>
            </w:r>
            <w:r w:rsidRPr="00537112">
              <w:rPr>
                <w:rFonts w:cs="Verdana"/>
                <w:spacing w:val="3"/>
                <w:sz w:val="20"/>
                <w:szCs w:val="20"/>
              </w:rPr>
              <w:t>í</w:t>
            </w:r>
            <w:r w:rsidRPr="00537112">
              <w:rPr>
                <w:rFonts w:cs="Verdana"/>
                <w:sz w:val="20"/>
                <w:szCs w:val="20"/>
              </w:rPr>
              <w:t>a</w:t>
            </w:r>
            <w:r w:rsidRPr="00537112">
              <w:rPr>
                <w:rFonts w:cs="Verdana"/>
                <w:spacing w:val="-6"/>
                <w:sz w:val="20"/>
                <w:szCs w:val="20"/>
              </w:rPr>
              <w:t xml:space="preserve"> </w:t>
            </w:r>
            <w:r w:rsidRPr="00537112">
              <w:rPr>
                <w:rFonts w:cs="Verdana"/>
                <w:spacing w:val="1"/>
                <w:sz w:val="20"/>
                <w:szCs w:val="20"/>
              </w:rPr>
              <w:t>R</w:t>
            </w:r>
            <w:r w:rsidRPr="00537112">
              <w:rPr>
                <w:rFonts w:cs="Verdana"/>
                <w:spacing w:val="-1"/>
                <w:sz w:val="20"/>
                <w:szCs w:val="20"/>
              </w:rPr>
              <w:t>e</w:t>
            </w:r>
            <w:r w:rsidRPr="00537112">
              <w:rPr>
                <w:rFonts w:cs="Verdana"/>
                <w:sz w:val="20"/>
                <w:szCs w:val="20"/>
              </w:rPr>
              <w:t>y</w:t>
            </w:r>
            <w:r w:rsidRPr="00537112">
              <w:rPr>
                <w:rFonts w:cs="Verdana"/>
                <w:spacing w:val="-1"/>
                <w:sz w:val="20"/>
                <w:szCs w:val="20"/>
              </w:rPr>
              <w:t>e</w:t>
            </w:r>
            <w:r w:rsidRPr="00537112">
              <w:rPr>
                <w:rFonts w:cs="Verdana"/>
                <w:sz w:val="20"/>
                <w:szCs w:val="20"/>
              </w:rPr>
              <w:t>s</w:t>
            </w:r>
          </w:p>
        </w:tc>
      </w:tr>
      <w:tr w:rsidR="00537112" w:rsidRPr="00537112" w:rsidTr="00630EEC">
        <w:trPr>
          <w:trHeight w:hRule="exact" w:val="319"/>
        </w:trPr>
        <w:tc>
          <w:tcPr>
            <w:tcW w:w="1019" w:type="dxa"/>
            <w:tcBorders>
              <w:top w:val="single" w:sz="8" w:space="0" w:color="000000"/>
              <w:left w:val="single" w:sz="8" w:space="0" w:color="000000"/>
              <w:bottom w:val="single" w:sz="4" w:space="0" w:color="auto"/>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143</w:t>
            </w:r>
          </w:p>
        </w:tc>
        <w:tc>
          <w:tcPr>
            <w:tcW w:w="5545" w:type="dxa"/>
            <w:tcBorders>
              <w:top w:val="single" w:sz="8" w:space="0" w:color="000000"/>
              <w:left w:val="single" w:sz="8" w:space="0" w:color="000000"/>
              <w:bottom w:val="single" w:sz="4" w:space="0" w:color="auto"/>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position w:val="-1"/>
                <w:sz w:val="20"/>
                <w:szCs w:val="20"/>
              </w:rPr>
              <w:t>B</w:t>
            </w:r>
            <w:r w:rsidRPr="00537112">
              <w:rPr>
                <w:rFonts w:cs="Verdana"/>
                <w:spacing w:val="-1"/>
                <w:position w:val="-1"/>
                <w:sz w:val="20"/>
                <w:szCs w:val="20"/>
              </w:rPr>
              <w:t>er</w:t>
            </w:r>
            <w:r w:rsidRPr="00537112">
              <w:rPr>
                <w:rFonts w:cs="Verdana"/>
                <w:spacing w:val="1"/>
                <w:position w:val="-1"/>
                <w:sz w:val="20"/>
                <w:szCs w:val="20"/>
              </w:rPr>
              <w:t>n</w:t>
            </w:r>
            <w:r w:rsidRPr="00537112">
              <w:rPr>
                <w:rFonts w:cs="Verdana"/>
                <w:position w:val="-1"/>
                <w:sz w:val="20"/>
                <w:szCs w:val="20"/>
              </w:rPr>
              <w:t>a</w:t>
            </w:r>
            <w:r w:rsidRPr="00537112">
              <w:rPr>
                <w:rFonts w:cs="Verdana"/>
                <w:spacing w:val="-1"/>
                <w:position w:val="-1"/>
                <w:sz w:val="20"/>
                <w:szCs w:val="20"/>
              </w:rPr>
              <w:t>r</w:t>
            </w:r>
            <w:r w:rsidRPr="00537112">
              <w:rPr>
                <w:rFonts w:cs="Verdana"/>
                <w:spacing w:val="1"/>
                <w:position w:val="-1"/>
                <w:sz w:val="20"/>
                <w:szCs w:val="20"/>
              </w:rPr>
              <w:t>d</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o</w:t>
            </w:r>
            <w:r w:rsidRPr="00537112">
              <w:rPr>
                <w:rFonts w:cs="Verdana"/>
                <w:spacing w:val="-13"/>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spacing w:val="1"/>
                <w:position w:val="-1"/>
                <w:sz w:val="20"/>
                <w:szCs w:val="20"/>
              </w:rPr>
              <w:t>A</w:t>
            </w:r>
            <w:r w:rsidRPr="00537112">
              <w:rPr>
                <w:rFonts w:cs="Verdana"/>
                <w:spacing w:val="3"/>
                <w:position w:val="-1"/>
                <w:sz w:val="20"/>
                <w:szCs w:val="20"/>
              </w:rPr>
              <w:t>l</w:t>
            </w:r>
            <w:r w:rsidRPr="00537112">
              <w:rPr>
                <w:rFonts w:cs="Verdana"/>
                <w:position w:val="-1"/>
                <w:sz w:val="20"/>
                <w:szCs w:val="20"/>
              </w:rPr>
              <w:t>va</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d</w:t>
            </w:r>
            <w:r w:rsidRPr="00537112">
              <w:rPr>
                <w:rFonts w:cs="Verdana"/>
                <w:position w:val="-1"/>
                <w:sz w:val="20"/>
                <w:szCs w:val="20"/>
              </w:rPr>
              <w:t>o</w:t>
            </w:r>
          </w:p>
        </w:tc>
      </w:tr>
      <w:tr w:rsidR="00537112" w:rsidRPr="00537112" w:rsidTr="00630EEC">
        <w:trPr>
          <w:trHeight w:hRule="exact" w:val="319"/>
        </w:trPr>
        <w:tc>
          <w:tcPr>
            <w:tcW w:w="1019" w:type="dxa"/>
            <w:tcBorders>
              <w:top w:val="single" w:sz="8" w:space="0" w:color="000000"/>
              <w:left w:val="single" w:sz="8" w:space="0" w:color="000000"/>
              <w:bottom w:val="single" w:sz="4" w:space="0" w:color="auto"/>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144</w:t>
            </w:r>
          </w:p>
        </w:tc>
        <w:tc>
          <w:tcPr>
            <w:tcW w:w="5545" w:type="dxa"/>
            <w:tcBorders>
              <w:top w:val="single" w:sz="8" w:space="0" w:color="000000"/>
              <w:left w:val="single" w:sz="8" w:space="0" w:color="000000"/>
              <w:bottom w:val="single" w:sz="4" w:space="0" w:color="auto"/>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pacing w:val="1"/>
                <w:sz w:val="20"/>
                <w:szCs w:val="20"/>
              </w:rPr>
              <w:t>Juan Chen Galiego</w:t>
            </w:r>
          </w:p>
        </w:tc>
      </w:tr>
      <w:tr w:rsidR="00537112" w:rsidRPr="00537112" w:rsidTr="00630EEC">
        <w:trPr>
          <w:trHeight w:hRule="exact" w:val="319"/>
        </w:trPr>
        <w:tc>
          <w:tcPr>
            <w:tcW w:w="1019" w:type="dxa"/>
            <w:tcBorders>
              <w:top w:val="single" w:sz="8" w:space="0" w:color="000000"/>
              <w:left w:val="single" w:sz="8" w:space="0" w:color="000000"/>
              <w:bottom w:val="single" w:sz="4" w:space="0" w:color="auto"/>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145</w:t>
            </w:r>
          </w:p>
        </w:tc>
        <w:tc>
          <w:tcPr>
            <w:tcW w:w="5545" w:type="dxa"/>
            <w:tcBorders>
              <w:top w:val="single" w:sz="8" w:space="0" w:color="000000"/>
              <w:left w:val="single" w:sz="8" w:space="0" w:color="000000"/>
              <w:bottom w:val="single" w:sz="4" w:space="0" w:color="auto"/>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z w:val="20"/>
                <w:szCs w:val="20"/>
              </w:rPr>
              <w:t>N</w:t>
            </w:r>
            <w:r w:rsidRPr="00537112">
              <w:rPr>
                <w:rFonts w:cs="Verdana"/>
                <w:spacing w:val="3"/>
                <w:sz w:val="20"/>
                <w:szCs w:val="20"/>
              </w:rPr>
              <w:t>i</w:t>
            </w:r>
            <w:r w:rsidRPr="00537112">
              <w:rPr>
                <w:rFonts w:cs="Verdana"/>
                <w:spacing w:val="-1"/>
                <w:sz w:val="20"/>
                <w:szCs w:val="20"/>
              </w:rPr>
              <w:t>co</w:t>
            </w:r>
            <w:r w:rsidRPr="00537112">
              <w:rPr>
                <w:rFonts w:cs="Verdana"/>
                <w:spacing w:val="3"/>
                <w:sz w:val="20"/>
                <w:szCs w:val="20"/>
              </w:rPr>
              <w:t>l</w:t>
            </w:r>
            <w:r w:rsidRPr="00537112">
              <w:rPr>
                <w:rFonts w:cs="Verdana"/>
                <w:sz w:val="20"/>
                <w:szCs w:val="20"/>
              </w:rPr>
              <w:t>ás</w:t>
            </w:r>
            <w:r w:rsidRPr="00537112">
              <w:rPr>
                <w:rFonts w:cs="Verdana"/>
                <w:spacing w:val="-8"/>
                <w:sz w:val="20"/>
                <w:szCs w:val="20"/>
              </w:rPr>
              <w:t xml:space="preserve"> </w:t>
            </w:r>
            <w:r w:rsidRPr="00537112">
              <w:rPr>
                <w:rFonts w:cs="Verdana"/>
                <w:spacing w:val="1"/>
                <w:sz w:val="20"/>
                <w:szCs w:val="20"/>
              </w:rPr>
              <w:t>Ju</w:t>
            </w:r>
            <w:r w:rsidRPr="00537112">
              <w:rPr>
                <w:rFonts w:cs="Verdana"/>
                <w:sz w:val="20"/>
                <w:szCs w:val="20"/>
              </w:rPr>
              <w:t>a</w:t>
            </w:r>
            <w:r w:rsidRPr="00537112">
              <w:rPr>
                <w:rFonts w:cs="Verdana"/>
                <w:spacing w:val="-1"/>
                <w:sz w:val="20"/>
                <w:szCs w:val="20"/>
              </w:rPr>
              <w:t>re</w:t>
            </w:r>
            <w:r w:rsidRPr="00537112">
              <w:rPr>
                <w:rFonts w:cs="Verdana"/>
                <w:sz w:val="20"/>
                <w:szCs w:val="20"/>
              </w:rPr>
              <w:t>z</w:t>
            </w:r>
          </w:p>
        </w:tc>
      </w:tr>
      <w:tr w:rsidR="00537112" w:rsidRPr="00537112" w:rsidTr="00630EEC">
        <w:trPr>
          <w:trHeight w:hRule="exact" w:val="319"/>
        </w:trPr>
        <w:tc>
          <w:tcPr>
            <w:tcW w:w="1019" w:type="dxa"/>
            <w:tcBorders>
              <w:top w:val="single" w:sz="8" w:space="0" w:color="000000"/>
              <w:left w:val="single" w:sz="8" w:space="0" w:color="000000"/>
              <w:bottom w:val="single" w:sz="4" w:space="0" w:color="auto"/>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146</w:t>
            </w:r>
          </w:p>
        </w:tc>
        <w:tc>
          <w:tcPr>
            <w:tcW w:w="5545" w:type="dxa"/>
            <w:tcBorders>
              <w:top w:val="single" w:sz="8" w:space="0" w:color="000000"/>
              <w:left w:val="single" w:sz="8" w:space="0" w:color="000000"/>
              <w:bottom w:val="single" w:sz="4" w:space="0" w:color="auto"/>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z w:val="20"/>
                <w:szCs w:val="20"/>
              </w:rPr>
            </w:pPr>
            <w:r w:rsidRPr="00537112">
              <w:rPr>
                <w:rFonts w:cs="Verdana"/>
                <w:spacing w:val="-1"/>
                <w:sz w:val="20"/>
                <w:szCs w:val="20"/>
              </w:rPr>
              <w:t>Le</w:t>
            </w:r>
            <w:r w:rsidRPr="00537112">
              <w:rPr>
                <w:rFonts w:cs="Verdana"/>
                <w:sz w:val="20"/>
                <w:szCs w:val="20"/>
              </w:rPr>
              <w:t>a</w:t>
            </w:r>
            <w:r w:rsidRPr="00537112">
              <w:rPr>
                <w:rFonts w:cs="Verdana"/>
                <w:spacing w:val="1"/>
                <w:sz w:val="20"/>
                <w:szCs w:val="20"/>
              </w:rPr>
              <w:t>nd</w:t>
            </w:r>
            <w:r w:rsidRPr="00537112">
              <w:rPr>
                <w:rFonts w:cs="Verdana"/>
                <w:spacing w:val="-1"/>
                <w:sz w:val="20"/>
                <w:szCs w:val="20"/>
              </w:rPr>
              <w:t>r</w:t>
            </w:r>
            <w:r w:rsidRPr="00537112">
              <w:rPr>
                <w:rFonts w:cs="Verdana"/>
                <w:sz w:val="20"/>
                <w:szCs w:val="20"/>
              </w:rPr>
              <w:t>o</w:t>
            </w:r>
            <w:r w:rsidRPr="00537112">
              <w:rPr>
                <w:rFonts w:cs="Verdana"/>
                <w:spacing w:val="-10"/>
                <w:sz w:val="20"/>
                <w:szCs w:val="20"/>
              </w:rPr>
              <w:t xml:space="preserve"> </w:t>
            </w:r>
            <w:r w:rsidRPr="00537112">
              <w:rPr>
                <w:rFonts w:cs="Verdana"/>
                <w:sz w:val="20"/>
                <w:szCs w:val="20"/>
              </w:rPr>
              <w:t>X</w:t>
            </w:r>
            <w:r w:rsidRPr="00537112">
              <w:rPr>
                <w:rFonts w:cs="Verdana"/>
                <w:spacing w:val="3"/>
                <w:sz w:val="20"/>
                <w:szCs w:val="20"/>
              </w:rPr>
              <w:t>i</w:t>
            </w:r>
            <w:r w:rsidRPr="00537112">
              <w:rPr>
                <w:rFonts w:cs="Verdana"/>
                <w:spacing w:val="1"/>
                <w:sz w:val="20"/>
                <w:szCs w:val="20"/>
              </w:rPr>
              <w:t>tumul</w:t>
            </w:r>
          </w:p>
        </w:tc>
      </w:tr>
      <w:tr w:rsidR="00537112" w:rsidRPr="00537112" w:rsidTr="00630EEC">
        <w:trPr>
          <w:trHeight w:hRule="exact" w:val="319"/>
        </w:trPr>
        <w:tc>
          <w:tcPr>
            <w:tcW w:w="1019" w:type="dxa"/>
            <w:tcBorders>
              <w:top w:val="single" w:sz="8" w:space="0" w:color="000000"/>
              <w:left w:val="single" w:sz="8" w:space="0" w:color="000000"/>
              <w:bottom w:val="single" w:sz="4" w:space="0" w:color="auto"/>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147</w:t>
            </w:r>
          </w:p>
        </w:tc>
        <w:tc>
          <w:tcPr>
            <w:tcW w:w="5545" w:type="dxa"/>
            <w:tcBorders>
              <w:top w:val="single" w:sz="8" w:space="0" w:color="000000"/>
              <w:left w:val="single" w:sz="8" w:space="0" w:color="000000"/>
              <w:bottom w:val="single" w:sz="4" w:space="0" w:color="auto"/>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pacing w:val="1"/>
                <w:sz w:val="20"/>
                <w:szCs w:val="20"/>
              </w:rPr>
              <w:t>S</w:t>
            </w:r>
            <w:r w:rsidRPr="00537112">
              <w:rPr>
                <w:rFonts w:cs="Verdana"/>
                <w:sz w:val="20"/>
                <w:szCs w:val="20"/>
              </w:rPr>
              <w:t>a</w:t>
            </w:r>
            <w:r w:rsidRPr="00537112">
              <w:rPr>
                <w:rFonts w:cs="Verdana"/>
                <w:spacing w:val="1"/>
                <w:sz w:val="20"/>
                <w:szCs w:val="20"/>
              </w:rPr>
              <w:t>nt</w:t>
            </w:r>
            <w:r w:rsidRPr="00537112">
              <w:rPr>
                <w:rFonts w:cs="Verdana"/>
                <w:spacing w:val="3"/>
                <w:sz w:val="20"/>
                <w:szCs w:val="20"/>
              </w:rPr>
              <w:t>i</w:t>
            </w:r>
            <w:r w:rsidRPr="00537112">
              <w:rPr>
                <w:rFonts w:cs="Verdana"/>
                <w:sz w:val="20"/>
                <w:szCs w:val="20"/>
              </w:rPr>
              <w:t>a</w:t>
            </w:r>
            <w:r w:rsidRPr="00537112">
              <w:rPr>
                <w:rFonts w:cs="Verdana"/>
                <w:spacing w:val="1"/>
                <w:sz w:val="20"/>
                <w:szCs w:val="20"/>
              </w:rPr>
              <w:t>g</w:t>
            </w:r>
            <w:r w:rsidRPr="00537112">
              <w:rPr>
                <w:rFonts w:cs="Verdana"/>
                <w:sz w:val="20"/>
                <w:szCs w:val="20"/>
              </w:rPr>
              <w:t>o</w:t>
            </w:r>
            <w:r w:rsidRPr="00537112">
              <w:rPr>
                <w:rFonts w:cs="Verdana"/>
                <w:spacing w:val="-11"/>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p>
        </w:tc>
      </w:tr>
      <w:tr w:rsidR="00537112" w:rsidRPr="00537112" w:rsidTr="00630EEC">
        <w:trPr>
          <w:trHeight w:hRule="exact" w:val="319"/>
        </w:trPr>
        <w:tc>
          <w:tcPr>
            <w:tcW w:w="1019" w:type="dxa"/>
            <w:tcBorders>
              <w:top w:val="single" w:sz="8" w:space="0" w:color="000000"/>
              <w:left w:val="single" w:sz="8" w:space="0" w:color="000000"/>
              <w:bottom w:val="single" w:sz="4" w:space="0" w:color="auto"/>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148</w:t>
            </w:r>
          </w:p>
        </w:tc>
        <w:tc>
          <w:tcPr>
            <w:tcW w:w="5545" w:type="dxa"/>
            <w:tcBorders>
              <w:top w:val="single" w:sz="8" w:space="0" w:color="000000"/>
              <w:left w:val="single" w:sz="8" w:space="0" w:color="000000"/>
              <w:bottom w:val="single" w:sz="4" w:space="0" w:color="auto"/>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pacing w:val="-2"/>
                <w:sz w:val="20"/>
                <w:szCs w:val="20"/>
              </w:rPr>
              <w:t>I</w:t>
            </w:r>
            <w:r w:rsidRPr="00537112">
              <w:rPr>
                <w:rFonts w:cs="Verdana"/>
                <w:spacing w:val="-1"/>
                <w:sz w:val="20"/>
                <w:szCs w:val="20"/>
              </w:rPr>
              <w:t>s</w:t>
            </w:r>
            <w:r w:rsidRPr="00537112">
              <w:rPr>
                <w:rFonts w:cs="Verdana"/>
                <w:sz w:val="20"/>
                <w:szCs w:val="20"/>
              </w:rPr>
              <w:t>a</w:t>
            </w:r>
            <w:r w:rsidRPr="00537112">
              <w:rPr>
                <w:rFonts w:cs="Verdana"/>
                <w:spacing w:val="1"/>
                <w:sz w:val="20"/>
                <w:szCs w:val="20"/>
              </w:rPr>
              <w:t>b</w:t>
            </w:r>
            <w:r w:rsidRPr="00537112">
              <w:rPr>
                <w:rFonts w:cs="Verdana"/>
                <w:spacing w:val="-1"/>
                <w:sz w:val="20"/>
                <w:szCs w:val="20"/>
              </w:rPr>
              <w:t>e</w:t>
            </w:r>
            <w:r w:rsidRPr="00537112">
              <w:rPr>
                <w:rFonts w:cs="Verdana"/>
                <w:sz w:val="20"/>
                <w:szCs w:val="20"/>
              </w:rPr>
              <w:t>l</w:t>
            </w:r>
            <w:r w:rsidRPr="00537112">
              <w:rPr>
                <w:rFonts w:cs="Verdana"/>
                <w:spacing w:val="-4"/>
                <w:sz w:val="20"/>
                <w:szCs w:val="20"/>
              </w:rPr>
              <w:t xml:space="preserve"> </w:t>
            </w:r>
            <w:r w:rsidRPr="00537112">
              <w:rPr>
                <w:rFonts w:cs="Verdana"/>
                <w:spacing w:val="1"/>
                <w:sz w:val="20"/>
                <w:szCs w:val="20"/>
              </w:rPr>
              <w:t>A</w:t>
            </w:r>
            <w:r w:rsidRPr="00537112">
              <w:rPr>
                <w:rFonts w:cs="Verdana"/>
                <w:spacing w:val="3"/>
                <w:sz w:val="20"/>
                <w:szCs w:val="20"/>
              </w:rPr>
              <w:t>l</w:t>
            </w:r>
            <w:r w:rsidRPr="00537112">
              <w:rPr>
                <w:rFonts w:cs="Verdana"/>
                <w:sz w:val="20"/>
                <w:szCs w:val="20"/>
              </w:rPr>
              <w:t>va</w:t>
            </w:r>
            <w:r w:rsidRPr="00537112">
              <w:rPr>
                <w:rFonts w:cs="Verdana"/>
                <w:spacing w:val="-1"/>
                <w:sz w:val="20"/>
                <w:szCs w:val="20"/>
              </w:rPr>
              <w:t>r</w:t>
            </w:r>
            <w:r w:rsidRPr="00537112">
              <w:rPr>
                <w:rFonts w:cs="Verdana"/>
                <w:sz w:val="20"/>
                <w:szCs w:val="20"/>
              </w:rPr>
              <w:t>a</w:t>
            </w:r>
            <w:r w:rsidRPr="00537112">
              <w:rPr>
                <w:rFonts w:cs="Verdana"/>
                <w:spacing w:val="1"/>
                <w:sz w:val="20"/>
                <w:szCs w:val="20"/>
              </w:rPr>
              <w:t>d</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R</w:t>
            </w:r>
            <w:r w:rsidRPr="00537112">
              <w:rPr>
                <w:rFonts w:cs="Verdana"/>
                <w:spacing w:val="-1"/>
                <w:sz w:val="20"/>
                <w:szCs w:val="20"/>
              </w:rPr>
              <w:t>o</w:t>
            </w:r>
            <w:r w:rsidRPr="00537112">
              <w:rPr>
                <w:rFonts w:cs="Verdana"/>
                <w:spacing w:val="1"/>
                <w:sz w:val="20"/>
                <w:szCs w:val="20"/>
              </w:rPr>
              <w:t>j</w:t>
            </w:r>
            <w:r w:rsidRPr="00537112">
              <w:rPr>
                <w:rFonts w:cs="Verdana"/>
                <w:sz w:val="20"/>
                <w:szCs w:val="20"/>
              </w:rPr>
              <w:t>as</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149</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2"/>
                <w:sz w:val="20"/>
                <w:szCs w:val="20"/>
              </w:rPr>
            </w:pPr>
            <w:r w:rsidRPr="00537112">
              <w:rPr>
                <w:rFonts w:cs="Verdana"/>
                <w:spacing w:val="1"/>
                <w:position w:val="-1"/>
                <w:sz w:val="20"/>
                <w:szCs w:val="20"/>
              </w:rPr>
              <w:t>Ju</w:t>
            </w:r>
            <w:r w:rsidRPr="00537112">
              <w:rPr>
                <w:rFonts w:cs="Verdana"/>
                <w:spacing w:val="3"/>
                <w:position w:val="-1"/>
                <w:sz w:val="20"/>
                <w:szCs w:val="20"/>
              </w:rPr>
              <w:t>li</w:t>
            </w:r>
            <w:r w:rsidRPr="00537112">
              <w:rPr>
                <w:rFonts w:cs="Verdana"/>
                <w:position w:val="-1"/>
                <w:sz w:val="20"/>
                <w:szCs w:val="20"/>
              </w:rPr>
              <w:t>án</w:t>
            </w:r>
            <w:r w:rsidRPr="00537112">
              <w:rPr>
                <w:rFonts w:cs="Verdana"/>
                <w:spacing w:val="-6"/>
                <w:position w:val="-1"/>
                <w:sz w:val="20"/>
                <w:szCs w:val="20"/>
              </w:rPr>
              <w:t xml:space="preserve"> </w:t>
            </w:r>
            <w:r w:rsidRPr="00537112">
              <w:rPr>
                <w:rFonts w:cs="Verdana"/>
                <w:spacing w:val="-1"/>
                <w:position w:val="-1"/>
                <w:sz w:val="20"/>
                <w:szCs w:val="20"/>
              </w:rPr>
              <w:t>G</w:t>
            </w:r>
            <w:r w:rsidRPr="00537112">
              <w:rPr>
                <w:rFonts w:cs="Verdana"/>
                <w:position w:val="-1"/>
                <w:sz w:val="20"/>
                <w:szCs w:val="20"/>
              </w:rPr>
              <w:t>a</w:t>
            </w:r>
            <w:r w:rsidRPr="00537112">
              <w:rPr>
                <w:rFonts w:cs="Verdana"/>
                <w:spacing w:val="3"/>
                <w:position w:val="-1"/>
                <w:sz w:val="20"/>
                <w:szCs w:val="20"/>
              </w:rPr>
              <w:t>li</w:t>
            </w:r>
            <w:r w:rsidRPr="00537112">
              <w:rPr>
                <w:rFonts w:cs="Verdana"/>
                <w:spacing w:val="-1"/>
                <w:position w:val="-1"/>
                <w:sz w:val="20"/>
                <w:szCs w:val="20"/>
              </w:rPr>
              <w:t>e</w:t>
            </w:r>
            <w:r w:rsidRPr="00537112">
              <w:rPr>
                <w:rFonts w:cs="Verdana"/>
                <w:spacing w:val="1"/>
                <w:position w:val="-1"/>
                <w:sz w:val="20"/>
                <w:szCs w:val="20"/>
              </w:rPr>
              <w:t>g</w:t>
            </w:r>
            <w:r w:rsidRPr="00537112">
              <w:rPr>
                <w:rFonts w:cs="Verdana"/>
                <w:position w:val="-1"/>
                <w:sz w:val="20"/>
                <w:szCs w:val="20"/>
              </w:rPr>
              <w:t>o</w:t>
            </w:r>
            <w:r w:rsidRPr="00537112">
              <w:rPr>
                <w:rFonts w:cs="Verdana"/>
                <w:spacing w:val="-9"/>
                <w:position w:val="-1"/>
                <w:sz w:val="20"/>
                <w:szCs w:val="20"/>
              </w:rPr>
              <w:t xml:space="preserve"> </w:t>
            </w:r>
            <w:r w:rsidRPr="00537112">
              <w:rPr>
                <w:rFonts w:cs="Verdana"/>
                <w:position w:val="-1"/>
                <w:sz w:val="20"/>
                <w:szCs w:val="20"/>
              </w:rPr>
              <w:t>M</w:t>
            </w:r>
            <w:r w:rsidRPr="00537112">
              <w:rPr>
                <w:rFonts w:cs="Verdana"/>
                <w:spacing w:val="-1"/>
                <w:position w:val="-1"/>
                <w:sz w:val="20"/>
                <w:szCs w:val="20"/>
              </w:rPr>
              <w:t>e</w:t>
            </w:r>
            <w:r w:rsidRPr="00537112">
              <w:rPr>
                <w:rFonts w:cs="Verdana"/>
                <w:spacing w:val="1"/>
                <w:position w:val="-1"/>
                <w:sz w:val="20"/>
                <w:szCs w:val="20"/>
              </w:rPr>
              <w:t>nd</w:t>
            </w:r>
            <w:r w:rsidRPr="00537112">
              <w:rPr>
                <w:rFonts w:cs="Verdana"/>
                <w:spacing w:val="-1"/>
                <w:position w:val="-1"/>
                <w:sz w:val="20"/>
                <w:szCs w:val="20"/>
              </w:rPr>
              <w:t>o</w:t>
            </w:r>
            <w:r w:rsidRPr="00537112">
              <w:rPr>
                <w:rFonts w:cs="Verdana"/>
                <w:spacing w:val="1"/>
                <w:position w:val="-1"/>
                <w:sz w:val="20"/>
                <w:szCs w:val="20"/>
              </w:rPr>
              <w:t>z</w:t>
            </w:r>
            <w:r w:rsidRPr="00537112">
              <w:rPr>
                <w:rFonts w:cs="Verdana"/>
                <w:position w:val="-1"/>
                <w:sz w:val="20"/>
                <w:szCs w:val="20"/>
              </w:rPr>
              <w:t>a</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150</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position w:val="-1"/>
                <w:sz w:val="20"/>
                <w:szCs w:val="20"/>
              </w:rPr>
            </w:pPr>
            <w:r w:rsidRPr="00537112">
              <w:rPr>
                <w:rFonts w:cs="Verdana"/>
                <w:spacing w:val="1"/>
                <w:sz w:val="20"/>
                <w:szCs w:val="20"/>
              </w:rPr>
              <w:t>F</w:t>
            </w:r>
            <w:r w:rsidRPr="00537112">
              <w:rPr>
                <w:rFonts w:cs="Verdana"/>
                <w:spacing w:val="-1"/>
                <w:sz w:val="20"/>
                <w:szCs w:val="20"/>
              </w:rPr>
              <w:t>e</w:t>
            </w:r>
            <w:r w:rsidRPr="00537112">
              <w:rPr>
                <w:rFonts w:cs="Verdana"/>
                <w:spacing w:val="3"/>
                <w:sz w:val="20"/>
                <w:szCs w:val="20"/>
              </w:rPr>
              <w:t>li</w:t>
            </w:r>
            <w:r w:rsidRPr="00537112">
              <w:rPr>
                <w:rFonts w:cs="Verdana"/>
                <w:spacing w:val="-1"/>
                <w:sz w:val="20"/>
                <w:szCs w:val="20"/>
              </w:rPr>
              <w:t>c</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o</w:t>
            </w:r>
            <w:r w:rsidRPr="00537112">
              <w:rPr>
                <w:rFonts w:cs="Verdana"/>
                <w:spacing w:val="-11"/>
                <w:sz w:val="20"/>
                <w:szCs w:val="20"/>
              </w:rPr>
              <w:t xml:space="preserve"> </w:t>
            </w:r>
            <w:r w:rsidRPr="00537112">
              <w:rPr>
                <w:rFonts w:cs="Verdana"/>
                <w:spacing w:val="1"/>
                <w:sz w:val="20"/>
                <w:szCs w:val="20"/>
              </w:rPr>
              <w:t>Su</w:t>
            </w:r>
            <w:r w:rsidRPr="00537112">
              <w:rPr>
                <w:rFonts w:cs="Verdana"/>
                <w:spacing w:val="-1"/>
                <w:sz w:val="20"/>
                <w:szCs w:val="20"/>
              </w:rPr>
              <w:t>c</w:t>
            </w:r>
            <w:r w:rsidRPr="00537112">
              <w:rPr>
                <w:rFonts w:cs="Verdana"/>
                <w:spacing w:val="1"/>
                <w:sz w:val="20"/>
                <w:szCs w:val="20"/>
              </w:rPr>
              <w:t>u</w:t>
            </w:r>
            <w:r w:rsidRPr="00537112">
              <w:rPr>
                <w:rFonts w:cs="Verdana"/>
                <w:sz w:val="20"/>
                <w:szCs w:val="20"/>
              </w:rPr>
              <w:t>p</w:t>
            </w:r>
            <w:r w:rsidRPr="00537112">
              <w:rPr>
                <w:rFonts w:cs="Verdana"/>
                <w:spacing w:val="-6"/>
                <w:sz w:val="20"/>
                <w:szCs w:val="20"/>
              </w:rPr>
              <w:t xml:space="preserve"> C</w:t>
            </w:r>
            <w:r w:rsidRPr="00537112">
              <w:rPr>
                <w:rFonts w:cs="Verdana"/>
                <w:spacing w:val="-1"/>
                <w:sz w:val="20"/>
                <w:szCs w:val="20"/>
              </w:rPr>
              <w:t>r</w:t>
            </w:r>
            <w:r w:rsidRPr="00537112">
              <w:rPr>
                <w:rFonts w:cs="Verdana"/>
                <w:spacing w:val="1"/>
                <w:sz w:val="20"/>
                <w:szCs w:val="20"/>
              </w:rPr>
              <w:t>uz</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151</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position w:val="-1"/>
                <w:sz w:val="20"/>
                <w:szCs w:val="20"/>
              </w:rPr>
              <w:t>Ma</w:t>
            </w:r>
            <w:r w:rsidRPr="00537112">
              <w:rPr>
                <w:rFonts w:cs="Verdana"/>
                <w:spacing w:val="-1"/>
                <w:position w:val="-1"/>
                <w:sz w:val="20"/>
                <w:szCs w:val="20"/>
              </w:rPr>
              <w:t>r</w:t>
            </w:r>
            <w:r w:rsidRPr="00537112">
              <w:rPr>
                <w:rFonts w:cs="Verdana"/>
                <w:spacing w:val="1"/>
                <w:position w:val="-1"/>
                <w:sz w:val="20"/>
                <w:szCs w:val="20"/>
              </w:rPr>
              <w:t>t</w:t>
            </w:r>
            <w:r w:rsidRPr="00537112">
              <w:rPr>
                <w:rFonts w:cs="Verdana"/>
                <w:spacing w:val="3"/>
                <w:position w:val="-1"/>
                <w:sz w:val="20"/>
                <w:szCs w:val="20"/>
              </w:rPr>
              <w:t>i</w:t>
            </w:r>
            <w:r w:rsidRPr="00537112">
              <w:rPr>
                <w:rFonts w:cs="Verdana"/>
                <w:spacing w:val="1"/>
                <w:position w:val="-1"/>
                <w:sz w:val="20"/>
                <w:szCs w:val="20"/>
              </w:rPr>
              <w:t>n</w:t>
            </w:r>
            <w:r w:rsidRPr="00537112">
              <w:rPr>
                <w:rFonts w:cs="Verdana"/>
                <w:position w:val="-1"/>
                <w:sz w:val="20"/>
                <w:szCs w:val="20"/>
              </w:rPr>
              <w:t>a</w:t>
            </w:r>
            <w:r w:rsidRPr="00537112">
              <w:rPr>
                <w:rFonts w:cs="Verdana"/>
                <w:spacing w:val="-8"/>
                <w:position w:val="-1"/>
                <w:sz w:val="20"/>
                <w:szCs w:val="20"/>
              </w:rPr>
              <w:t xml:space="preserve"> </w:t>
            </w:r>
            <w:r w:rsidRPr="00537112">
              <w:rPr>
                <w:rFonts w:cs="Verdana"/>
                <w:spacing w:val="-2"/>
                <w:position w:val="-1"/>
                <w:sz w:val="20"/>
                <w:szCs w:val="20"/>
              </w:rPr>
              <w:t>I</w:t>
            </w:r>
            <w:r w:rsidRPr="00537112">
              <w:rPr>
                <w:rFonts w:cs="Verdana"/>
                <w:position w:val="-1"/>
                <w:sz w:val="20"/>
                <w:szCs w:val="20"/>
              </w:rPr>
              <w:t>x</w:t>
            </w:r>
            <w:r w:rsidRPr="00537112">
              <w:rPr>
                <w:rFonts w:cs="Verdana"/>
                <w:spacing w:val="1"/>
                <w:position w:val="-1"/>
                <w:sz w:val="20"/>
                <w:szCs w:val="20"/>
              </w:rPr>
              <w:t>p</w:t>
            </w:r>
            <w:r w:rsidRPr="00537112">
              <w:rPr>
                <w:rFonts w:cs="Verdana"/>
                <w:position w:val="-1"/>
                <w:sz w:val="20"/>
                <w:szCs w:val="20"/>
              </w:rPr>
              <w:t>a</w:t>
            </w:r>
            <w:r w:rsidRPr="00537112">
              <w:rPr>
                <w:rFonts w:cs="Verdana"/>
                <w:spacing w:val="1"/>
                <w:position w:val="-1"/>
                <w:sz w:val="20"/>
                <w:szCs w:val="20"/>
              </w:rPr>
              <w:t>t</w:t>
            </w:r>
            <w:r w:rsidRPr="00537112">
              <w:rPr>
                <w:rFonts w:cs="Verdana"/>
                <w:position w:val="-1"/>
                <w:sz w:val="20"/>
                <w:szCs w:val="20"/>
              </w:rPr>
              <w:t>á</w:t>
            </w:r>
            <w:r w:rsidRPr="00537112">
              <w:rPr>
                <w:rFonts w:cs="Verdana"/>
                <w:spacing w:val="-6"/>
                <w:position w:val="-1"/>
                <w:sz w:val="20"/>
                <w:szCs w:val="20"/>
              </w:rPr>
              <w:t xml:space="preserve"> </w:t>
            </w:r>
            <w:r w:rsidRPr="00537112">
              <w:rPr>
                <w:rFonts w:cs="Verdana"/>
                <w:position w:val="-1"/>
                <w:sz w:val="20"/>
                <w:szCs w:val="20"/>
              </w:rPr>
              <w:t>X</w:t>
            </w:r>
            <w:r w:rsidRPr="00537112">
              <w:rPr>
                <w:rFonts w:cs="Verdana"/>
                <w:spacing w:val="3"/>
                <w:position w:val="-1"/>
                <w:sz w:val="20"/>
                <w:szCs w:val="20"/>
              </w:rPr>
              <w:t>i</w:t>
            </w:r>
            <w:r w:rsidRPr="00537112">
              <w:rPr>
                <w:rFonts w:cs="Verdana"/>
                <w:spacing w:val="1"/>
                <w:position w:val="-1"/>
                <w:sz w:val="20"/>
                <w:szCs w:val="20"/>
              </w:rPr>
              <w:t>tumu</w:t>
            </w:r>
            <w:r w:rsidRPr="00537112">
              <w:rPr>
                <w:rFonts w:cs="Verdana"/>
                <w:position w:val="-1"/>
                <w:sz w:val="20"/>
                <w:szCs w:val="20"/>
              </w:rPr>
              <w:t>l</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152</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position w:val="-1"/>
                <w:sz w:val="20"/>
                <w:szCs w:val="20"/>
              </w:rPr>
            </w:pPr>
            <w:r w:rsidRPr="00537112">
              <w:rPr>
                <w:rFonts w:cs="Verdana"/>
                <w:spacing w:val="1"/>
                <w:sz w:val="20"/>
                <w:szCs w:val="20"/>
              </w:rPr>
              <w:t>F</w:t>
            </w:r>
            <w:r w:rsidRPr="00537112">
              <w:rPr>
                <w:rFonts w:cs="Verdana"/>
                <w:spacing w:val="3"/>
                <w:sz w:val="20"/>
                <w:szCs w:val="20"/>
              </w:rPr>
              <w:t>l</w:t>
            </w:r>
            <w:r w:rsidRPr="00537112">
              <w:rPr>
                <w:rFonts w:cs="Verdana"/>
                <w:spacing w:val="-1"/>
                <w:sz w:val="20"/>
                <w:szCs w:val="20"/>
              </w:rPr>
              <w:t>ore</w:t>
            </w:r>
            <w:r w:rsidRPr="00537112">
              <w:rPr>
                <w:rFonts w:cs="Verdana"/>
                <w:spacing w:val="1"/>
                <w:sz w:val="20"/>
                <w:szCs w:val="20"/>
              </w:rPr>
              <w:t>nt</w:t>
            </w:r>
            <w:r w:rsidRPr="00537112">
              <w:rPr>
                <w:rFonts w:cs="Verdana"/>
                <w:spacing w:val="3"/>
                <w:sz w:val="20"/>
                <w:szCs w:val="20"/>
              </w:rPr>
              <w:t>i</w:t>
            </w:r>
            <w:r w:rsidRPr="00537112">
              <w:rPr>
                <w:rFonts w:cs="Verdana"/>
                <w:sz w:val="20"/>
                <w:szCs w:val="20"/>
              </w:rPr>
              <w:t>n</w:t>
            </w:r>
            <w:r w:rsidRPr="00537112">
              <w:rPr>
                <w:rFonts w:cs="Verdana"/>
                <w:spacing w:val="-9"/>
                <w:sz w:val="20"/>
                <w:szCs w:val="20"/>
              </w:rPr>
              <w:t xml:space="preserve"> </w:t>
            </w:r>
            <w:r w:rsidRPr="00537112">
              <w:rPr>
                <w:rFonts w:cs="Verdana"/>
                <w:sz w:val="20"/>
                <w:szCs w:val="20"/>
              </w:rPr>
              <w:t>T</w:t>
            </w:r>
            <w:r w:rsidRPr="00537112">
              <w:rPr>
                <w:rFonts w:cs="Verdana"/>
                <w:spacing w:val="-1"/>
                <w:sz w:val="20"/>
                <w:szCs w:val="20"/>
              </w:rPr>
              <w:t>oj</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153</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pacing w:val="1"/>
                <w:sz w:val="20"/>
                <w:szCs w:val="20"/>
              </w:rPr>
              <w:t>Agu</w:t>
            </w:r>
            <w:r w:rsidRPr="00537112">
              <w:rPr>
                <w:rFonts w:cs="Verdana"/>
                <w:spacing w:val="-1"/>
                <w:sz w:val="20"/>
                <w:szCs w:val="20"/>
              </w:rPr>
              <w:t>s</w:t>
            </w:r>
            <w:r w:rsidRPr="00537112">
              <w:rPr>
                <w:rFonts w:cs="Verdana"/>
                <w:spacing w:val="1"/>
                <w:sz w:val="20"/>
                <w:szCs w:val="20"/>
              </w:rPr>
              <w:t>t</w:t>
            </w:r>
            <w:r w:rsidRPr="00537112">
              <w:rPr>
                <w:rFonts w:cs="Verdana"/>
                <w:spacing w:val="3"/>
                <w:sz w:val="20"/>
                <w:szCs w:val="20"/>
              </w:rPr>
              <w:t>i</w:t>
            </w:r>
            <w:r w:rsidRPr="00537112">
              <w:rPr>
                <w:rFonts w:cs="Verdana"/>
                <w:sz w:val="20"/>
                <w:szCs w:val="20"/>
              </w:rPr>
              <w:t>n</w:t>
            </w:r>
            <w:r w:rsidRPr="00537112">
              <w:rPr>
                <w:rFonts w:cs="Verdana"/>
                <w:spacing w:val="-8"/>
                <w:sz w:val="20"/>
                <w:szCs w:val="20"/>
              </w:rPr>
              <w:t xml:space="preserve"> Valey</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154</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z w:val="20"/>
                <w:szCs w:val="20"/>
              </w:rPr>
              <w:t>T</w:t>
            </w:r>
            <w:r w:rsidRPr="00537112">
              <w:rPr>
                <w:rFonts w:cs="Verdana"/>
                <w:spacing w:val="-1"/>
                <w:sz w:val="20"/>
                <w:szCs w:val="20"/>
              </w:rPr>
              <w:t>o</w:t>
            </w:r>
            <w:r w:rsidRPr="00537112">
              <w:rPr>
                <w:rFonts w:cs="Verdana"/>
                <w:spacing w:val="1"/>
                <w:sz w:val="20"/>
                <w:szCs w:val="20"/>
              </w:rPr>
              <w:t>m</w:t>
            </w:r>
            <w:r w:rsidRPr="00537112">
              <w:rPr>
                <w:rFonts w:cs="Verdana"/>
                <w:sz w:val="20"/>
                <w:szCs w:val="20"/>
              </w:rPr>
              <w:t>ás</w:t>
            </w:r>
            <w:r w:rsidRPr="00537112">
              <w:rPr>
                <w:rFonts w:cs="Verdana"/>
                <w:spacing w:val="-8"/>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r w:rsidRPr="00537112">
              <w:rPr>
                <w:rFonts w:cs="Verdana"/>
                <w:spacing w:val="-6"/>
                <w:sz w:val="20"/>
                <w:szCs w:val="20"/>
              </w:rPr>
              <w:t xml:space="preserve"> </w:t>
            </w:r>
            <w:r w:rsidRPr="00537112">
              <w:rPr>
                <w:rFonts w:cs="Verdana"/>
                <w:sz w:val="20"/>
                <w:szCs w:val="20"/>
              </w:rPr>
              <w:t>P</w:t>
            </w:r>
            <w:r w:rsidRPr="00537112">
              <w:rPr>
                <w:rFonts w:cs="Verdana"/>
                <w:spacing w:val="-1"/>
                <w:sz w:val="20"/>
                <w:szCs w:val="20"/>
              </w:rPr>
              <w:t>ére</w:t>
            </w:r>
            <w:r w:rsidRPr="00537112">
              <w:rPr>
                <w:rFonts w:cs="Verdana"/>
                <w:sz w:val="20"/>
                <w:szCs w:val="20"/>
              </w:rPr>
              <w:t>z</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155</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z w:val="20"/>
                <w:szCs w:val="20"/>
              </w:rPr>
            </w:pPr>
            <w:r w:rsidRPr="00537112">
              <w:rPr>
                <w:rFonts w:cs="Verdana"/>
                <w:sz w:val="20"/>
                <w:szCs w:val="20"/>
              </w:rPr>
              <w:t>P</w:t>
            </w:r>
            <w:r w:rsidRPr="00537112">
              <w:rPr>
                <w:rFonts w:cs="Verdana"/>
                <w:spacing w:val="-1"/>
                <w:sz w:val="20"/>
                <w:szCs w:val="20"/>
              </w:rPr>
              <w:t>e</w:t>
            </w:r>
            <w:r w:rsidRPr="00537112">
              <w:rPr>
                <w:rFonts w:cs="Verdana"/>
                <w:spacing w:val="1"/>
                <w:sz w:val="20"/>
                <w:szCs w:val="20"/>
              </w:rPr>
              <w:t>d</w:t>
            </w:r>
            <w:r w:rsidRPr="00537112">
              <w:rPr>
                <w:rFonts w:cs="Verdana"/>
                <w:spacing w:val="-1"/>
                <w:sz w:val="20"/>
                <w:szCs w:val="20"/>
              </w:rPr>
              <w:t>r</w:t>
            </w:r>
            <w:r w:rsidRPr="00537112">
              <w:rPr>
                <w:rFonts w:cs="Verdana"/>
                <w:sz w:val="20"/>
                <w:szCs w:val="20"/>
              </w:rPr>
              <w:t>o</w:t>
            </w:r>
            <w:r w:rsidRPr="00537112">
              <w:rPr>
                <w:rFonts w:cs="Verdana"/>
                <w:spacing w:val="-8"/>
                <w:sz w:val="20"/>
                <w:szCs w:val="20"/>
              </w:rPr>
              <w:t xml:space="preserve"> </w:t>
            </w:r>
            <w:r w:rsidRPr="00537112">
              <w:rPr>
                <w:rFonts w:cs="Verdana"/>
                <w:spacing w:val="1"/>
                <w:sz w:val="20"/>
                <w:szCs w:val="20"/>
              </w:rPr>
              <w:t>S</w:t>
            </w:r>
            <w:r w:rsidRPr="00537112">
              <w:rPr>
                <w:rFonts w:cs="Verdana"/>
                <w:spacing w:val="3"/>
                <w:sz w:val="20"/>
                <w:szCs w:val="20"/>
              </w:rPr>
              <w:t>i</w:t>
            </w:r>
            <w:r w:rsidRPr="00537112">
              <w:rPr>
                <w:rFonts w:cs="Verdana"/>
                <w:sz w:val="20"/>
                <w:szCs w:val="20"/>
              </w:rPr>
              <w:t>c</w:t>
            </w:r>
            <w:r w:rsidRPr="00537112">
              <w:rPr>
                <w:rFonts w:cs="Verdana"/>
                <w:spacing w:val="-4"/>
                <w:sz w:val="20"/>
                <w:szCs w:val="20"/>
              </w:rPr>
              <w:t xml:space="preserve"> </w:t>
            </w:r>
            <w:r w:rsidRPr="00537112">
              <w:rPr>
                <w:rFonts w:cs="Verdana"/>
                <w:spacing w:val="-1"/>
                <w:sz w:val="20"/>
                <w:szCs w:val="20"/>
              </w:rPr>
              <w:t>Go</w:t>
            </w:r>
            <w:r w:rsidRPr="00537112">
              <w:rPr>
                <w:rFonts w:cs="Verdana"/>
                <w:spacing w:val="1"/>
                <w:sz w:val="20"/>
                <w:szCs w:val="20"/>
              </w:rPr>
              <w:t>nz</w:t>
            </w:r>
            <w:r w:rsidRPr="00537112">
              <w:rPr>
                <w:rFonts w:cs="Verdana"/>
                <w:sz w:val="20"/>
                <w:szCs w:val="20"/>
              </w:rPr>
              <w:t>á</w:t>
            </w:r>
            <w:r w:rsidRPr="00537112">
              <w:rPr>
                <w:rFonts w:cs="Verdana"/>
                <w:spacing w:val="3"/>
                <w:sz w:val="20"/>
                <w:szCs w:val="20"/>
              </w:rPr>
              <w:t>l</w:t>
            </w:r>
            <w:r w:rsidRPr="00537112">
              <w:rPr>
                <w:rFonts w:cs="Verdana"/>
                <w:spacing w:val="-1"/>
                <w:sz w:val="20"/>
                <w:szCs w:val="20"/>
              </w:rPr>
              <w:t>e</w:t>
            </w:r>
            <w:r w:rsidRPr="00537112">
              <w:rPr>
                <w:rFonts w:cs="Verdana"/>
                <w:sz w:val="20"/>
                <w:szCs w:val="20"/>
              </w:rPr>
              <w:t>z</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156</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z w:val="20"/>
                <w:szCs w:val="20"/>
              </w:rPr>
            </w:pPr>
            <w:r w:rsidRPr="00537112">
              <w:rPr>
                <w:rFonts w:cs="Verdana"/>
                <w:sz w:val="20"/>
                <w:szCs w:val="20"/>
              </w:rPr>
              <w:t>M</w:t>
            </w:r>
            <w:r w:rsidRPr="00537112">
              <w:rPr>
                <w:rFonts w:cs="Verdana"/>
                <w:spacing w:val="3"/>
                <w:sz w:val="20"/>
                <w:szCs w:val="20"/>
              </w:rPr>
              <w:t>i</w:t>
            </w:r>
            <w:r w:rsidRPr="00537112">
              <w:rPr>
                <w:rFonts w:cs="Verdana"/>
                <w:spacing w:val="1"/>
                <w:sz w:val="20"/>
                <w:szCs w:val="20"/>
              </w:rPr>
              <w:t>gu</w:t>
            </w:r>
            <w:r w:rsidRPr="00537112">
              <w:rPr>
                <w:rFonts w:cs="Verdana"/>
                <w:spacing w:val="-1"/>
                <w:sz w:val="20"/>
                <w:szCs w:val="20"/>
              </w:rPr>
              <w:t>e</w:t>
            </w:r>
            <w:r w:rsidRPr="00537112">
              <w:rPr>
                <w:rFonts w:cs="Verdana"/>
                <w:sz w:val="20"/>
                <w:szCs w:val="20"/>
              </w:rPr>
              <w:t>l</w:t>
            </w:r>
            <w:r w:rsidRPr="00537112">
              <w:rPr>
                <w:rFonts w:cs="Verdana"/>
                <w:spacing w:val="-4"/>
                <w:sz w:val="20"/>
                <w:szCs w:val="20"/>
              </w:rPr>
              <w:t xml:space="preserve"> </w:t>
            </w:r>
            <w:r w:rsidRPr="00537112">
              <w:rPr>
                <w:rFonts w:cs="Verdana"/>
                <w:sz w:val="20"/>
                <w:szCs w:val="20"/>
              </w:rPr>
              <w:t>Xa</w:t>
            </w:r>
            <w:r w:rsidRPr="00537112">
              <w:rPr>
                <w:rFonts w:cs="Verdana"/>
                <w:spacing w:val="1"/>
                <w:sz w:val="20"/>
                <w:szCs w:val="20"/>
              </w:rPr>
              <w:t>p</w:t>
            </w:r>
            <w:r w:rsidRPr="00537112">
              <w:rPr>
                <w:rFonts w:cs="Verdana"/>
                <w:spacing w:val="-1"/>
                <w:sz w:val="20"/>
                <w:szCs w:val="20"/>
              </w:rPr>
              <w:t>o</w:t>
            </w:r>
            <w:r w:rsidRPr="00537112">
              <w:rPr>
                <w:rFonts w:cs="Verdana"/>
                <w:sz w:val="20"/>
                <w:szCs w:val="20"/>
              </w:rPr>
              <w:t>t</w:t>
            </w:r>
            <w:r w:rsidRPr="00537112">
              <w:rPr>
                <w:rFonts w:cs="Verdana"/>
                <w:spacing w:val="-6"/>
                <w:sz w:val="20"/>
                <w:szCs w:val="20"/>
              </w:rPr>
              <w:t xml:space="preserve"> </w:t>
            </w:r>
            <w:r w:rsidRPr="00537112">
              <w:rPr>
                <w:rFonts w:cs="Verdana"/>
                <w:sz w:val="20"/>
                <w:szCs w:val="20"/>
              </w:rPr>
              <w:t>Ma</w:t>
            </w:r>
            <w:r w:rsidRPr="00537112">
              <w:rPr>
                <w:rFonts w:cs="Verdana"/>
                <w:spacing w:val="-1"/>
                <w:sz w:val="20"/>
                <w:szCs w:val="20"/>
              </w:rPr>
              <w:t>r</w:t>
            </w:r>
            <w:r w:rsidRPr="00537112">
              <w:rPr>
                <w:rFonts w:cs="Verdana"/>
                <w:spacing w:val="1"/>
                <w:sz w:val="20"/>
                <w:szCs w:val="20"/>
              </w:rPr>
              <w:t>t</w:t>
            </w:r>
            <w:r w:rsidRPr="00537112">
              <w:rPr>
                <w:rFonts w:cs="Verdana"/>
                <w:spacing w:val="3"/>
                <w:sz w:val="20"/>
                <w:szCs w:val="20"/>
              </w:rPr>
              <w:t>i</w:t>
            </w:r>
            <w:r w:rsidRPr="00537112">
              <w:rPr>
                <w:rFonts w:cs="Verdana"/>
                <w:spacing w:val="1"/>
                <w:sz w:val="20"/>
                <w:szCs w:val="20"/>
              </w:rPr>
              <w:t>n</w:t>
            </w:r>
            <w:r w:rsidRPr="00537112">
              <w:rPr>
                <w:rFonts w:cs="Verdana"/>
                <w:spacing w:val="-1"/>
                <w:sz w:val="20"/>
                <w:szCs w:val="20"/>
              </w:rPr>
              <w:t>e</w:t>
            </w:r>
            <w:r w:rsidRPr="00537112">
              <w:rPr>
                <w:rFonts w:cs="Verdana"/>
                <w:sz w:val="20"/>
                <w:szCs w:val="20"/>
              </w:rPr>
              <w:t>z</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157</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z w:val="20"/>
                <w:szCs w:val="20"/>
              </w:rPr>
            </w:pPr>
            <w:r w:rsidRPr="00537112">
              <w:rPr>
                <w:rFonts w:cs="Verdana"/>
                <w:spacing w:val="1"/>
                <w:position w:val="-1"/>
                <w:sz w:val="20"/>
                <w:szCs w:val="20"/>
              </w:rPr>
              <w:t>Ju</w:t>
            </w:r>
            <w:r w:rsidRPr="00537112">
              <w:rPr>
                <w:rFonts w:cs="Verdana"/>
                <w:position w:val="-1"/>
                <w:sz w:val="20"/>
                <w:szCs w:val="20"/>
              </w:rPr>
              <w:t>an</w:t>
            </w:r>
            <w:r w:rsidRPr="00537112">
              <w:rPr>
                <w:rFonts w:cs="Verdana"/>
                <w:spacing w:val="-5"/>
                <w:position w:val="-1"/>
                <w:sz w:val="20"/>
                <w:szCs w:val="20"/>
              </w:rPr>
              <w:t xml:space="preserve"> </w:t>
            </w:r>
            <w:r w:rsidRPr="00537112">
              <w:rPr>
                <w:rFonts w:cs="Verdana"/>
                <w:position w:val="-1"/>
                <w:sz w:val="20"/>
                <w:szCs w:val="20"/>
              </w:rPr>
              <w:t>C</w:t>
            </w:r>
            <w:r w:rsidRPr="00537112">
              <w:rPr>
                <w:rFonts w:cs="Verdana"/>
                <w:spacing w:val="1"/>
                <w:position w:val="-1"/>
                <w:sz w:val="20"/>
                <w:szCs w:val="20"/>
              </w:rPr>
              <w:t>h</w:t>
            </w:r>
            <w:r w:rsidRPr="00537112">
              <w:rPr>
                <w:rFonts w:cs="Verdana"/>
                <w:spacing w:val="-1"/>
                <w:position w:val="-1"/>
                <w:sz w:val="20"/>
                <w:szCs w:val="20"/>
              </w:rPr>
              <w:t>e</w:t>
            </w:r>
            <w:r w:rsidRPr="00537112">
              <w:rPr>
                <w:rFonts w:cs="Verdana"/>
                <w:position w:val="-1"/>
                <w:sz w:val="20"/>
                <w:szCs w:val="20"/>
              </w:rPr>
              <w:t>n</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158</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position w:val="-1"/>
                <w:sz w:val="20"/>
                <w:szCs w:val="20"/>
              </w:rPr>
            </w:pPr>
            <w:r w:rsidRPr="00537112">
              <w:rPr>
                <w:rFonts w:cs="Verdana"/>
                <w:sz w:val="20"/>
                <w:szCs w:val="20"/>
              </w:rPr>
              <w:t>Da</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e</w:t>
            </w:r>
            <w:r w:rsidRPr="00537112">
              <w:rPr>
                <w:rFonts w:cs="Verdana"/>
                <w:sz w:val="20"/>
                <w:szCs w:val="20"/>
              </w:rPr>
              <w:t>l</w:t>
            </w:r>
            <w:r w:rsidRPr="00537112">
              <w:rPr>
                <w:rFonts w:cs="Verdana"/>
                <w:spacing w:val="-4"/>
                <w:sz w:val="20"/>
                <w:szCs w:val="20"/>
              </w:rPr>
              <w:t xml:space="preserve"> </w:t>
            </w:r>
            <w:r w:rsidRPr="00537112">
              <w:rPr>
                <w:rFonts w:cs="Verdana"/>
                <w:spacing w:val="-1"/>
                <w:sz w:val="20"/>
                <w:szCs w:val="20"/>
              </w:rPr>
              <w:t>G</w:t>
            </w:r>
            <w:r w:rsidRPr="00537112">
              <w:rPr>
                <w:rFonts w:cs="Verdana"/>
                <w:sz w:val="20"/>
                <w:szCs w:val="20"/>
              </w:rPr>
              <w:t>a</w:t>
            </w:r>
            <w:r w:rsidRPr="00537112">
              <w:rPr>
                <w:rFonts w:cs="Verdana"/>
                <w:spacing w:val="3"/>
                <w:sz w:val="20"/>
                <w:szCs w:val="20"/>
              </w:rPr>
              <w:t>li</w:t>
            </w:r>
            <w:r w:rsidRPr="00537112">
              <w:rPr>
                <w:rFonts w:cs="Verdana"/>
                <w:spacing w:val="-1"/>
                <w:sz w:val="20"/>
                <w:szCs w:val="20"/>
              </w:rPr>
              <w:t>e</w:t>
            </w:r>
            <w:r w:rsidRPr="00537112">
              <w:rPr>
                <w:rFonts w:cs="Verdana"/>
                <w:spacing w:val="1"/>
                <w:sz w:val="20"/>
                <w:szCs w:val="20"/>
              </w:rPr>
              <w:t>g</w:t>
            </w:r>
            <w:r w:rsidRPr="00537112">
              <w:rPr>
                <w:rFonts w:cs="Verdana"/>
                <w:sz w:val="20"/>
                <w:szCs w:val="20"/>
              </w:rPr>
              <w:t>o</w:t>
            </w:r>
            <w:r w:rsidRPr="00537112">
              <w:rPr>
                <w:rFonts w:cs="Verdana"/>
                <w:spacing w:val="-9"/>
                <w:sz w:val="20"/>
                <w:szCs w:val="20"/>
              </w:rPr>
              <w:t xml:space="preserve"> </w:t>
            </w:r>
            <w:r w:rsidRPr="00537112">
              <w:rPr>
                <w:rFonts w:cs="Verdana"/>
                <w:spacing w:val="-1"/>
                <w:sz w:val="20"/>
                <w:szCs w:val="20"/>
              </w:rPr>
              <w:t>Ló</w:t>
            </w:r>
            <w:r w:rsidRPr="00537112">
              <w:rPr>
                <w:rFonts w:cs="Verdana"/>
                <w:spacing w:val="1"/>
                <w:sz w:val="20"/>
                <w:szCs w:val="20"/>
              </w:rPr>
              <w:t>p</w:t>
            </w:r>
            <w:r w:rsidRPr="00537112">
              <w:rPr>
                <w:rFonts w:cs="Verdana"/>
                <w:spacing w:val="-1"/>
                <w:sz w:val="20"/>
                <w:szCs w:val="20"/>
              </w:rPr>
              <w:t>e</w:t>
            </w:r>
            <w:r w:rsidRPr="00537112">
              <w:rPr>
                <w:rFonts w:cs="Verdana"/>
                <w:sz w:val="20"/>
                <w:szCs w:val="20"/>
              </w:rPr>
              <w:t>z</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159</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z w:val="20"/>
                <w:szCs w:val="20"/>
              </w:rPr>
            </w:pPr>
            <w:r w:rsidRPr="00537112">
              <w:rPr>
                <w:rFonts w:cs="Verdana"/>
                <w:sz w:val="20"/>
                <w:szCs w:val="20"/>
              </w:rPr>
              <w:t>D</w:t>
            </w:r>
            <w:r w:rsidRPr="00537112">
              <w:rPr>
                <w:rFonts w:cs="Verdana"/>
                <w:spacing w:val="3"/>
                <w:sz w:val="20"/>
                <w:szCs w:val="20"/>
              </w:rPr>
              <w:t>i</w:t>
            </w:r>
            <w:r w:rsidRPr="00537112">
              <w:rPr>
                <w:rFonts w:cs="Verdana"/>
                <w:spacing w:val="-1"/>
                <w:sz w:val="20"/>
                <w:szCs w:val="20"/>
              </w:rPr>
              <w:t>o</w:t>
            </w:r>
            <w:r w:rsidRPr="00537112">
              <w:rPr>
                <w:rFonts w:cs="Verdana"/>
                <w:spacing w:val="1"/>
                <w:sz w:val="20"/>
                <w:szCs w:val="20"/>
              </w:rPr>
              <w:t>n</w:t>
            </w:r>
            <w:r w:rsidRPr="00537112">
              <w:rPr>
                <w:rFonts w:cs="Verdana"/>
                <w:spacing w:val="3"/>
                <w:sz w:val="20"/>
                <w:szCs w:val="20"/>
              </w:rPr>
              <w:t>i</w:t>
            </w:r>
            <w:r w:rsidRPr="00537112">
              <w:rPr>
                <w:rFonts w:cs="Verdana"/>
                <w:spacing w:val="-1"/>
                <w:sz w:val="20"/>
                <w:szCs w:val="20"/>
              </w:rPr>
              <w:t>c</w:t>
            </w:r>
            <w:r w:rsidRPr="00537112">
              <w:rPr>
                <w:rFonts w:cs="Verdana"/>
                <w:spacing w:val="3"/>
                <w:sz w:val="20"/>
                <w:szCs w:val="20"/>
              </w:rPr>
              <w:t>i</w:t>
            </w:r>
            <w:r w:rsidRPr="00537112">
              <w:rPr>
                <w:rFonts w:cs="Verdana"/>
                <w:sz w:val="20"/>
                <w:szCs w:val="20"/>
              </w:rPr>
              <w:t>o</w:t>
            </w:r>
            <w:r w:rsidRPr="00537112">
              <w:rPr>
                <w:rFonts w:cs="Verdana"/>
                <w:spacing w:val="-10"/>
                <w:sz w:val="20"/>
                <w:szCs w:val="20"/>
              </w:rPr>
              <w:t xml:space="preserve"> </w:t>
            </w:r>
            <w:r w:rsidRPr="00537112">
              <w:rPr>
                <w:rFonts w:cs="Verdana"/>
                <w:spacing w:val="1"/>
                <w:sz w:val="20"/>
                <w:szCs w:val="20"/>
              </w:rPr>
              <w:t>Ju</w:t>
            </w:r>
            <w:r w:rsidRPr="00537112">
              <w:rPr>
                <w:rFonts w:cs="Verdana"/>
                <w:sz w:val="20"/>
                <w:szCs w:val="20"/>
              </w:rPr>
              <w:t>á</w:t>
            </w:r>
            <w:r w:rsidRPr="00537112">
              <w:rPr>
                <w:rFonts w:cs="Verdana"/>
                <w:spacing w:val="-1"/>
                <w:sz w:val="20"/>
                <w:szCs w:val="20"/>
              </w:rPr>
              <w:t>re</w:t>
            </w:r>
            <w:r w:rsidRPr="00537112">
              <w:rPr>
                <w:rFonts w:cs="Verdana"/>
                <w:sz w:val="20"/>
                <w:szCs w:val="20"/>
              </w:rPr>
              <w:t>z</w:t>
            </w:r>
            <w:r w:rsidRPr="00537112">
              <w:rPr>
                <w:rFonts w:cs="Verdana"/>
                <w:spacing w:val="-6"/>
                <w:sz w:val="20"/>
                <w:szCs w:val="20"/>
              </w:rPr>
              <w:t xml:space="preserve"> </w:t>
            </w:r>
            <w:r w:rsidRPr="00537112">
              <w:rPr>
                <w:rFonts w:cs="Verdana"/>
                <w:spacing w:val="1"/>
                <w:sz w:val="20"/>
                <w:szCs w:val="20"/>
              </w:rPr>
              <w:t>V</w:t>
            </w:r>
            <w:r w:rsidRPr="00537112">
              <w:rPr>
                <w:rFonts w:cs="Verdana"/>
                <w:sz w:val="20"/>
                <w:szCs w:val="20"/>
              </w:rPr>
              <w:t>a</w:t>
            </w:r>
            <w:r w:rsidRPr="00537112">
              <w:rPr>
                <w:rFonts w:cs="Verdana"/>
                <w:spacing w:val="3"/>
                <w:sz w:val="20"/>
                <w:szCs w:val="20"/>
              </w:rPr>
              <w:t>l</w:t>
            </w:r>
            <w:r w:rsidRPr="00537112">
              <w:rPr>
                <w:rFonts w:cs="Verdana"/>
                <w:spacing w:val="-1"/>
                <w:sz w:val="20"/>
                <w:szCs w:val="20"/>
              </w:rPr>
              <w:t>e</w:t>
            </w:r>
            <w:r w:rsidRPr="00537112">
              <w:rPr>
                <w:rFonts w:cs="Verdana"/>
                <w:sz w:val="20"/>
                <w:szCs w:val="20"/>
              </w:rPr>
              <w:t>y</w:t>
            </w:r>
          </w:p>
        </w:tc>
      </w:tr>
      <w:tr w:rsidR="00537112" w:rsidRPr="00537112" w:rsidTr="00630EEC">
        <w:trPr>
          <w:trHeight w:hRule="exact" w:val="319"/>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160</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z w:val="20"/>
                <w:szCs w:val="20"/>
              </w:rPr>
            </w:pPr>
            <w:r w:rsidRPr="00537112">
              <w:rPr>
                <w:rFonts w:cs="Verdana"/>
                <w:spacing w:val="-1"/>
                <w:sz w:val="20"/>
                <w:szCs w:val="20"/>
              </w:rPr>
              <w:t>L</w:t>
            </w:r>
            <w:r w:rsidRPr="00537112">
              <w:rPr>
                <w:rFonts w:cs="Verdana"/>
                <w:spacing w:val="1"/>
                <w:sz w:val="20"/>
                <w:szCs w:val="20"/>
              </w:rPr>
              <w:t>u</w:t>
            </w:r>
            <w:r w:rsidRPr="00537112">
              <w:rPr>
                <w:rFonts w:cs="Verdana"/>
                <w:spacing w:val="3"/>
                <w:sz w:val="20"/>
                <w:szCs w:val="20"/>
              </w:rPr>
              <w:t>i</w:t>
            </w:r>
            <w:r w:rsidRPr="00537112">
              <w:rPr>
                <w:rFonts w:cs="Verdana"/>
                <w:sz w:val="20"/>
                <w:szCs w:val="20"/>
              </w:rPr>
              <w:t>s</w:t>
            </w:r>
            <w:r w:rsidRPr="00537112">
              <w:rPr>
                <w:rFonts w:cs="Verdana"/>
                <w:spacing w:val="-5"/>
                <w:sz w:val="20"/>
                <w:szCs w:val="20"/>
              </w:rPr>
              <w:t xml:space="preserve"> </w:t>
            </w:r>
            <w:r w:rsidRPr="00537112">
              <w:rPr>
                <w:rFonts w:cs="Verdana"/>
                <w:sz w:val="20"/>
                <w:szCs w:val="20"/>
              </w:rPr>
              <w:t>D</w:t>
            </w:r>
            <w:r w:rsidRPr="00537112">
              <w:rPr>
                <w:rFonts w:cs="Verdana"/>
                <w:spacing w:val="-1"/>
                <w:sz w:val="20"/>
                <w:szCs w:val="20"/>
              </w:rPr>
              <w:t>e</w:t>
            </w:r>
            <w:r w:rsidRPr="00537112">
              <w:rPr>
                <w:rFonts w:cs="Verdana"/>
                <w:spacing w:val="1"/>
                <w:sz w:val="20"/>
                <w:szCs w:val="20"/>
              </w:rPr>
              <w:t>p</w:t>
            </w:r>
            <w:r w:rsidRPr="00537112">
              <w:rPr>
                <w:rFonts w:cs="Verdana"/>
                <w:sz w:val="20"/>
                <w:szCs w:val="20"/>
              </w:rPr>
              <w:t>az</w:t>
            </w:r>
            <w:r w:rsidRPr="00537112">
              <w:rPr>
                <w:rFonts w:cs="Verdana"/>
                <w:spacing w:val="-6"/>
                <w:sz w:val="20"/>
                <w:szCs w:val="20"/>
              </w:rPr>
              <w:t xml:space="preserve"> </w:t>
            </w:r>
            <w:r w:rsidRPr="00537112">
              <w:rPr>
                <w:rFonts w:cs="Verdana"/>
                <w:sz w:val="20"/>
                <w:szCs w:val="20"/>
              </w:rPr>
              <w:t>C</w:t>
            </w:r>
            <w:r w:rsidRPr="00537112">
              <w:rPr>
                <w:rFonts w:cs="Verdana"/>
                <w:spacing w:val="3"/>
                <w:sz w:val="20"/>
                <w:szCs w:val="20"/>
              </w:rPr>
              <w:t>i</w:t>
            </w:r>
            <w:r w:rsidRPr="00537112">
              <w:rPr>
                <w:rFonts w:cs="Verdana"/>
                <w:spacing w:val="1"/>
                <w:sz w:val="20"/>
                <w:szCs w:val="20"/>
              </w:rPr>
              <w:t>p</w:t>
            </w:r>
            <w:r w:rsidRPr="00537112">
              <w:rPr>
                <w:rFonts w:cs="Verdana"/>
                <w:spacing w:val="-1"/>
                <w:sz w:val="20"/>
                <w:szCs w:val="20"/>
              </w:rPr>
              <w:t>r</w:t>
            </w:r>
            <w:r w:rsidRPr="00537112">
              <w:rPr>
                <w:rFonts w:cs="Verdana"/>
                <w:spacing w:val="3"/>
                <w:sz w:val="20"/>
                <w:szCs w:val="20"/>
              </w:rPr>
              <w:t>i</w:t>
            </w:r>
            <w:r w:rsidRPr="00537112">
              <w:rPr>
                <w:rFonts w:cs="Verdana"/>
                <w:sz w:val="20"/>
                <w:szCs w:val="20"/>
              </w:rPr>
              <w:t>a</w:t>
            </w:r>
            <w:r w:rsidRPr="00537112">
              <w:rPr>
                <w:rFonts w:cs="Verdana"/>
                <w:spacing w:val="1"/>
                <w:sz w:val="20"/>
                <w:szCs w:val="20"/>
              </w:rPr>
              <w:t>n</w:t>
            </w:r>
            <w:r w:rsidRPr="00537112">
              <w:rPr>
                <w:rFonts w:cs="Verdana"/>
                <w:sz w:val="20"/>
                <w:szCs w:val="20"/>
              </w:rPr>
              <w:t>o</w:t>
            </w:r>
          </w:p>
        </w:tc>
      </w:tr>
      <w:tr w:rsidR="00537112" w:rsidRPr="00537112" w:rsidTr="00630EEC">
        <w:trPr>
          <w:trHeight w:hRule="exact" w:val="436"/>
        </w:trPr>
        <w:tc>
          <w:tcPr>
            <w:tcW w:w="1019" w:type="dxa"/>
            <w:tcBorders>
              <w:top w:val="single" w:sz="8" w:space="0" w:color="000000"/>
              <w:left w:val="single" w:sz="8" w:space="0" w:color="000000"/>
              <w:bottom w:val="single" w:sz="8" w:space="0" w:color="000000"/>
              <w:right w:val="single" w:sz="8" w:space="0" w:color="000000"/>
            </w:tcBorders>
            <w:shd w:val="clear" w:color="auto" w:fill="C0C0C0"/>
          </w:tcPr>
          <w:p w:rsidR="00537112" w:rsidRPr="00537112" w:rsidRDefault="00537112" w:rsidP="00537112">
            <w:pPr>
              <w:autoSpaceDE w:val="0"/>
              <w:autoSpaceDN w:val="0"/>
              <w:spacing w:line="221" w:lineRule="exact"/>
              <w:ind w:right="-20"/>
              <w:jc w:val="left"/>
              <w:textAlignment w:val="auto"/>
              <w:rPr>
                <w:rFonts w:cs="Verdana"/>
                <w:b/>
                <w:bCs/>
                <w:sz w:val="20"/>
                <w:szCs w:val="20"/>
              </w:rPr>
            </w:pPr>
            <w:r w:rsidRPr="00537112">
              <w:rPr>
                <w:rFonts w:cs="Verdana"/>
                <w:b/>
                <w:bCs/>
                <w:sz w:val="20"/>
                <w:szCs w:val="20"/>
              </w:rPr>
              <w:t>161</w:t>
            </w:r>
          </w:p>
        </w:tc>
        <w:tc>
          <w:tcPr>
            <w:tcW w:w="5545" w:type="dxa"/>
            <w:tcBorders>
              <w:top w:val="single" w:sz="8" w:space="0" w:color="000000"/>
              <w:left w:val="single" w:sz="8" w:space="0" w:color="000000"/>
              <w:bottom w:val="single" w:sz="8" w:space="0" w:color="000000"/>
              <w:right w:val="single" w:sz="8" w:space="0" w:color="000000"/>
            </w:tcBorders>
          </w:tcPr>
          <w:p w:rsidR="00537112" w:rsidRPr="00537112" w:rsidRDefault="00537112" w:rsidP="00537112">
            <w:pPr>
              <w:autoSpaceDE w:val="0"/>
              <w:autoSpaceDN w:val="0"/>
              <w:spacing w:line="214" w:lineRule="exact"/>
              <w:ind w:right="-20"/>
              <w:jc w:val="left"/>
              <w:textAlignment w:val="auto"/>
              <w:rPr>
                <w:rFonts w:cs="Verdana"/>
                <w:spacing w:val="-1"/>
                <w:sz w:val="20"/>
                <w:szCs w:val="20"/>
              </w:rPr>
            </w:pPr>
            <w:r w:rsidRPr="00537112">
              <w:rPr>
                <w:rFonts w:cs="Verdana"/>
                <w:spacing w:val="1"/>
                <w:position w:val="-1"/>
                <w:sz w:val="20"/>
                <w:szCs w:val="20"/>
              </w:rPr>
              <w:t>F</w:t>
            </w:r>
            <w:r w:rsidRPr="00537112">
              <w:rPr>
                <w:rFonts w:cs="Verdana"/>
                <w:spacing w:val="-1"/>
                <w:position w:val="-1"/>
                <w:sz w:val="20"/>
                <w:szCs w:val="20"/>
              </w:rPr>
              <w:t>r</w:t>
            </w:r>
            <w:r w:rsidRPr="00537112">
              <w:rPr>
                <w:rFonts w:cs="Verdana"/>
                <w:position w:val="-1"/>
                <w:sz w:val="20"/>
                <w:szCs w:val="20"/>
              </w:rPr>
              <w:t>a</w:t>
            </w:r>
            <w:r w:rsidRPr="00537112">
              <w:rPr>
                <w:rFonts w:cs="Verdana"/>
                <w:spacing w:val="1"/>
                <w:position w:val="-1"/>
                <w:sz w:val="20"/>
                <w:szCs w:val="20"/>
              </w:rPr>
              <w:t>n</w:t>
            </w:r>
            <w:r w:rsidRPr="00537112">
              <w:rPr>
                <w:rFonts w:cs="Verdana"/>
                <w:spacing w:val="-1"/>
                <w:position w:val="-1"/>
                <w:sz w:val="20"/>
                <w:szCs w:val="20"/>
              </w:rPr>
              <w:t>c</w:t>
            </w:r>
            <w:r w:rsidRPr="00537112">
              <w:rPr>
                <w:rFonts w:cs="Verdana"/>
                <w:spacing w:val="3"/>
                <w:position w:val="-1"/>
                <w:sz w:val="20"/>
                <w:szCs w:val="20"/>
              </w:rPr>
              <w:t>i</w:t>
            </w:r>
            <w:r w:rsidRPr="00537112">
              <w:rPr>
                <w:rFonts w:cs="Verdana"/>
                <w:spacing w:val="-1"/>
                <w:position w:val="-1"/>
                <w:sz w:val="20"/>
                <w:szCs w:val="20"/>
              </w:rPr>
              <w:t>sc</w:t>
            </w:r>
            <w:r w:rsidRPr="00537112">
              <w:rPr>
                <w:rFonts w:cs="Verdana"/>
                <w:position w:val="-1"/>
                <w:sz w:val="20"/>
                <w:szCs w:val="20"/>
              </w:rPr>
              <w:t>o</w:t>
            </w:r>
            <w:r w:rsidRPr="00537112">
              <w:rPr>
                <w:rFonts w:cs="Verdana"/>
                <w:spacing w:val="-11"/>
                <w:position w:val="-1"/>
                <w:sz w:val="20"/>
                <w:szCs w:val="20"/>
              </w:rPr>
              <w:t xml:space="preserve"> </w:t>
            </w:r>
            <w:r w:rsidRPr="00537112">
              <w:rPr>
                <w:rFonts w:cs="Verdana"/>
                <w:position w:val="-1"/>
                <w:sz w:val="20"/>
                <w:szCs w:val="20"/>
              </w:rPr>
              <w:t>B</w:t>
            </w:r>
            <w:r w:rsidRPr="00537112">
              <w:rPr>
                <w:rFonts w:cs="Verdana"/>
                <w:spacing w:val="-1"/>
                <w:position w:val="-1"/>
                <w:sz w:val="20"/>
                <w:szCs w:val="20"/>
              </w:rPr>
              <w:t>o</w:t>
            </w:r>
            <w:r w:rsidRPr="00537112">
              <w:rPr>
                <w:rFonts w:cs="Verdana"/>
                <w:spacing w:val="3"/>
                <w:position w:val="-1"/>
                <w:sz w:val="20"/>
                <w:szCs w:val="20"/>
              </w:rPr>
              <w:t>l</w:t>
            </w:r>
            <w:r w:rsidRPr="00537112">
              <w:rPr>
                <w:rFonts w:cs="Verdana"/>
                <w:position w:val="-1"/>
                <w:sz w:val="20"/>
                <w:szCs w:val="20"/>
              </w:rPr>
              <w:t>aj López</w:t>
            </w:r>
          </w:p>
        </w:tc>
      </w:tr>
    </w:tbl>
    <w:p w:rsidR="00537112" w:rsidRPr="00537112" w:rsidRDefault="00537112" w:rsidP="00537112">
      <w:pPr>
        <w:autoSpaceDE w:val="0"/>
        <w:autoSpaceDN w:val="0"/>
        <w:spacing w:line="200" w:lineRule="exact"/>
        <w:jc w:val="left"/>
        <w:textAlignment w:val="auto"/>
        <w:rPr>
          <w:rFonts w:ascii="Times New Roman" w:hAnsi="Times New Roman"/>
          <w:sz w:val="20"/>
          <w:szCs w:val="20"/>
        </w:rPr>
      </w:pPr>
    </w:p>
    <w:p w:rsidR="00537112" w:rsidRPr="00537112" w:rsidRDefault="00537112" w:rsidP="00537112">
      <w:pPr>
        <w:widowControl/>
        <w:tabs>
          <w:tab w:val="left" w:pos="2630"/>
        </w:tabs>
        <w:adjustRightInd/>
        <w:spacing w:after="200" w:line="276" w:lineRule="auto"/>
        <w:jc w:val="center"/>
        <w:textAlignment w:val="auto"/>
        <w:rPr>
          <w:rFonts w:ascii="Arial" w:hAnsi="Arial" w:cs="Arial"/>
          <w:b/>
          <w:sz w:val="20"/>
          <w:szCs w:val="20"/>
        </w:rPr>
      </w:pPr>
    </w:p>
    <w:p w:rsidR="00D057A2" w:rsidRPr="00D13792" w:rsidRDefault="00D057A2" w:rsidP="00AD1689">
      <w:pPr>
        <w:tabs>
          <w:tab w:val="left" w:pos="567"/>
        </w:tabs>
        <w:spacing w:line="240" w:lineRule="auto"/>
        <w:ind w:right="4"/>
        <w:rPr>
          <w:sz w:val="16"/>
        </w:rPr>
      </w:pPr>
    </w:p>
    <w:sectPr w:rsidR="00D057A2" w:rsidRPr="00D13792">
      <w:headerReference w:type="default" r:id="rId25"/>
      <w:pgSz w:w="12260" w:h="15840"/>
      <w:pgMar w:top="0" w:right="0" w:bottom="0" w:left="0" w:header="0" w:footer="0" w:gutter="0"/>
      <w:cols w:space="720" w:equalWidth="0">
        <w:col w:w="122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8EC" w:rsidRDefault="002558EC" w:rsidP="0098153C">
      <w:pPr>
        <w:spacing w:line="240" w:lineRule="auto"/>
      </w:pPr>
      <w:r>
        <w:separator/>
      </w:r>
    </w:p>
  </w:endnote>
  <w:endnote w:type="continuationSeparator" w:id="0">
    <w:p w:rsidR="002558EC" w:rsidRDefault="002558EC" w:rsidP="0098153C">
      <w:pPr>
        <w:spacing w:line="240" w:lineRule="auto"/>
      </w:pPr>
      <w:r>
        <w:continuationSeparator/>
      </w:r>
    </w:p>
  </w:endnote>
  <w:endnote w:type="continuationNotice" w:id="1">
    <w:p w:rsidR="002558EC" w:rsidRDefault="002558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Antiqua">
    <w:panose1 w:val="00000000000000000000"/>
    <w:charset w:val="00"/>
    <w:family w:val="roman"/>
    <w:notTrueType/>
    <w:pitch w:val="default"/>
    <w:sig w:usb0="00000003" w:usb1="00000000" w:usb2="00000000" w:usb3="00000000" w:csb0="00000001" w:csb1="00000000"/>
  </w:font>
  <w:font w:name="TimesNRMT-Italic">
    <w:panose1 w:val="00000000000000000000"/>
    <w:charset w:val="00"/>
    <w:family w:val="roman"/>
    <w:notTrueType/>
    <w:pitch w:val="default"/>
    <w:sig w:usb0="00000003" w:usb1="00000000" w:usb2="00000000" w:usb3="00000000" w:csb0="00000001" w:csb1="00000000"/>
  </w:font>
  <w:font w:name="TimesNRMT">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4D"/>
    <w:family w:val="roman"/>
    <w:notTrueType/>
    <w:pitch w:val="default"/>
    <w:sig w:usb0="03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EC" w:rsidRDefault="00630EEC" w:rsidP="00C55C17">
    <w:pPr>
      <w:pStyle w:val="Footer"/>
      <w:framePr w:wrap="around" w:vAnchor="text" w:hAnchor="margin" w:xAlign="center" w:y="1"/>
      <w:rPr>
        <w:rStyle w:val="PageNumber"/>
        <w:sz w:val="24"/>
        <w:szCs w:val="24"/>
      </w:rPr>
    </w:pPr>
    <w:r>
      <w:rPr>
        <w:rStyle w:val="PageNumber"/>
      </w:rPr>
      <w:fldChar w:fldCharType="begin"/>
    </w:r>
    <w:r>
      <w:rPr>
        <w:rStyle w:val="PageNumber"/>
      </w:rPr>
      <w:instrText xml:space="preserve">PAGE  </w:instrText>
    </w:r>
    <w:r>
      <w:rPr>
        <w:rStyle w:val="PageNumber"/>
      </w:rPr>
      <w:fldChar w:fldCharType="end"/>
    </w:r>
  </w:p>
  <w:p w:rsidR="00630EEC" w:rsidRDefault="00630EEC" w:rsidP="00C55C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EC" w:rsidRPr="005C3E76" w:rsidRDefault="00630EEC" w:rsidP="00C55C17">
    <w:pPr>
      <w:pStyle w:val="Footer"/>
      <w:ind w:right="360"/>
      <w:jc w:val="center"/>
    </w:pPr>
  </w:p>
  <w:p w:rsidR="00630EEC" w:rsidRPr="005C3E76" w:rsidRDefault="00630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8EC" w:rsidRDefault="002558EC" w:rsidP="0098153C">
      <w:pPr>
        <w:spacing w:line="240" w:lineRule="auto"/>
      </w:pPr>
      <w:r>
        <w:separator/>
      </w:r>
    </w:p>
  </w:footnote>
  <w:footnote w:type="continuationSeparator" w:id="0">
    <w:p w:rsidR="002558EC" w:rsidRDefault="002558EC" w:rsidP="0098153C">
      <w:pPr>
        <w:spacing w:line="240" w:lineRule="auto"/>
      </w:pPr>
      <w:r>
        <w:continuationSeparator/>
      </w:r>
    </w:p>
  </w:footnote>
  <w:footnote w:type="continuationNotice" w:id="1">
    <w:p w:rsidR="002558EC" w:rsidRDefault="002558EC">
      <w:pPr>
        <w:spacing w:line="240" w:lineRule="auto"/>
      </w:pPr>
    </w:p>
  </w:footnote>
  <w:footnote w:id="2">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rPr>
        <w:t xml:space="preserve"> </w:t>
      </w:r>
      <w:r w:rsidRPr="00EF190F">
        <w:rPr>
          <w:spacing w:val="-4"/>
          <w:sz w:val="16"/>
          <w:szCs w:val="16"/>
        </w:rPr>
        <w:tab/>
      </w:r>
      <w:r w:rsidRPr="00EF190F">
        <w:rPr>
          <w:i/>
          <w:spacing w:val="-4"/>
          <w:sz w:val="16"/>
          <w:szCs w:val="16"/>
        </w:rPr>
        <w:t>Cfr.</w:t>
      </w:r>
      <w:r w:rsidRPr="00EF190F">
        <w:rPr>
          <w:spacing w:val="-4"/>
          <w:sz w:val="16"/>
          <w:szCs w:val="16"/>
        </w:rPr>
        <w:t xml:space="preserve"> Informe de Admisibilidad No. 144/10, Caso Vecinos de la Aldea de Chichupac y Caserío Xeabaj del Municipio de Rabinal Vs. Guatemala, de 1 de noviembre de 2010 (expediente de prueba, folios 3087 a 3105).</w:t>
      </w:r>
    </w:p>
  </w:footnote>
  <w:footnote w:id="3">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rPr>
        <w:t xml:space="preserve"> </w:t>
      </w:r>
      <w:r w:rsidRPr="00EF190F">
        <w:rPr>
          <w:i/>
          <w:sz w:val="16"/>
          <w:szCs w:val="16"/>
        </w:rPr>
        <w:tab/>
        <w:t xml:space="preserve">Cfr. </w:t>
      </w:r>
      <w:r w:rsidRPr="00EF190F">
        <w:rPr>
          <w:sz w:val="16"/>
          <w:szCs w:val="16"/>
        </w:rPr>
        <w:t>Informe de Fondo No. 6/14, Caso Miembros de la Aldea de Chichupac y Comunidades Vecinas del Municipio de Rabinal Vs. Guatemala, de 2 de abril de 2014 (expediente de fondo, folios 6 a 88).</w:t>
      </w:r>
    </w:p>
  </w:footnote>
  <w:footnote w:id="4">
    <w:p w:rsidR="006A0E1C" w:rsidRPr="00EF190F" w:rsidRDefault="006A0E1C" w:rsidP="006A0E1C">
      <w:pPr>
        <w:pStyle w:val="FootnoteText"/>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Paulo Abrão es el actual Secretario Ejecutivo de la Comisión Interamericana de Derechos Humanos (CIDH), cargo que asumió el 16 de agosto de 2016. </w:t>
      </w:r>
    </w:p>
  </w:footnote>
  <w:footnote w:id="5">
    <w:p w:rsidR="006A0E1C" w:rsidRPr="00EF190F" w:rsidRDefault="006A0E1C" w:rsidP="006A0E1C">
      <w:pPr>
        <w:pStyle w:val="FootnoteText"/>
        <w:tabs>
          <w:tab w:val="left" w:pos="360"/>
        </w:tabs>
        <w:contextualSpacing/>
        <w:rPr>
          <w:sz w:val="16"/>
          <w:szCs w:val="16"/>
          <w:lang w:val="es-CO"/>
        </w:rPr>
      </w:pPr>
      <w:r w:rsidRPr="00EF190F">
        <w:rPr>
          <w:rStyle w:val="FootnoteReference"/>
          <w:sz w:val="16"/>
          <w:szCs w:val="16"/>
        </w:rPr>
        <w:footnoteRef/>
      </w:r>
      <w:r w:rsidRPr="00EF190F">
        <w:rPr>
          <w:sz w:val="16"/>
          <w:szCs w:val="16"/>
        </w:rPr>
        <w:t xml:space="preserve"> </w:t>
      </w:r>
      <w:r w:rsidRPr="00EF190F">
        <w:rPr>
          <w:sz w:val="16"/>
          <w:szCs w:val="16"/>
        </w:rPr>
        <w:tab/>
      </w:r>
      <w:r w:rsidRPr="00EF190F">
        <w:rPr>
          <w:spacing w:val="-4"/>
          <w:sz w:val="16"/>
          <w:szCs w:val="16"/>
        </w:rPr>
        <w:t>La Asociación Bufete Jurídico Popular representó a las presuntas víctimas durante el trámite de este caso ante la Corte, inicialmente a través de su entonces representante legal Conrado Aj Piox y la abogada María Dolores Itzep Manuel. Mediante escrito de 20 de abril de 2016, la Asociación informó que el señor Aj Piox ya no ejercía el cargo de representante legal, y que este fue asumido por la señora Paulina Ixpatá Alvarado de Osorio.</w:t>
      </w:r>
    </w:p>
  </w:footnote>
  <w:footnote w:id="6">
    <w:p w:rsidR="006A0E1C" w:rsidRPr="00EF190F" w:rsidRDefault="006A0E1C" w:rsidP="006A0E1C">
      <w:pPr>
        <w:tabs>
          <w:tab w:val="left" w:pos="360"/>
        </w:tabs>
        <w:spacing w:line="240" w:lineRule="auto"/>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Disponible en: http://www.corteidh.or.cr/docs/asuntos/chichupac_28_03_16.pdf.</w:t>
      </w:r>
    </w:p>
  </w:footnote>
  <w:footnote w:id="7">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A esta audiencia comparecieron: por parte de la Comisión Interamericana de Derechos Humanos, el señor Enrique Gil Botero, Comisionado, y la señora y señores Silvia Serrano Guzmán, Erick Acuña Pereda y Jorge Meza Flores, abogados de la Secretaría Ejecutiva de la Comisión; por los representantes de las presuntas víctimas, las señoras y señores María Dolores Itzep Manuel, abogada, Carlos Enrique De Paz Alvarado, Abelina Osorio Sis, abogada, y Paulina Ixpatá Alvarado de Osorio, Presidenta de la Junta Directiva y Representante Legal de la Asociación Bufete Jurídico Popular; y en representación del Estado de Guatemala, el señor Víctor Hugo Godoy, Presidente de la Comisión Presidencial Coordinadora de la Política del Ejecutivo en materia de Derechos Humanos (COPREDEH).</w:t>
      </w:r>
    </w:p>
  </w:footnote>
  <w:footnote w:id="8">
    <w:p w:rsidR="006A0E1C" w:rsidRPr="00EF190F" w:rsidRDefault="006A0E1C" w:rsidP="006A0E1C">
      <w:pPr>
        <w:widowControl/>
        <w:tabs>
          <w:tab w:val="left" w:pos="360"/>
        </w:tabs>
        <w:adjustRightInd/>
        <w:spacing w:line="240" w:lineRule="auto"/>
        <w:ind w:right="18"/>
        <w:textAlignment w:val="auto"/>
        <w:rPr>
          <w:sz w:val="16"/>
          <w:szCs w:val="16"/>
          <w:lang w:val="es-ES_tradnl" w:eastAsia="en-US"/>
        </w:rPr>
      </w:pPr>
      <w:r w:rsidRPr="00EF190F">
        <w:rPr>
          <w:rStyle w:val="FootnoteReference"/>
          <w:sz w:val="16"/>
          <w:szCs w:val="16"/>
        </w:rPr>
        <w:footnoteRef/>
      </w:r>
      <w:r w:rsidRPr="00EF190F">
        <w:rPr>
          <w:sz w:val="16"/>
          <w:szCs w:val="16"/>
        </w:rPr>
        <w:t xml:space="preserve"> </w:t>
      </w:r>
      <w:r w:rsidRPr="00EF190F">
        <w:rPr>
          <w:sz w:val="16"/>
          <w:szCs w:val="16"/>
        </w:rPr>
        <w:tab/>
        <w:t>E</w:t>
      </w:r>
      <w:r w:rsidRPr="00EF190F">
        <w:rPr>
          <w:sz w:val="16"/>
          <w:szCs w:val="16"/>
          <w:lang w:val="es-ES_tradnl"/>
        </w:rPr>
        <w:t>l 9 de marzo de 1987 el Estado presentó ante la Secretaría General de la Organización de Estados Americanos (OEA) el Acuerdo Gubernativo No. 123-87 de 20 de febrero de 1987, por el cual reconoció la competencia de la Corte con la siguiente limitante: “</w:t>
      </w:r>
      <w:r w:rsidRPr="00EF190F">
        <w:rPr>
          <w:sz w:val="16"/>
          <w:szCs w:val="16"/>
          <w:lang w:val="es-ES_tradnl" w:eastAsia="en-US"/>
        </w:rPr>
        <w:t xml:space="preserve">(Artículo 2) La aceptación de la competencia de la Corte Interamericana de Derechos Humanos se hace por plazo indefinido, con carácter general, bajo condiciones de reciprocidad y con la reserva de que los casos en que se reconoce la competencia son exclusivamente los acaecidos con posterioridad a la fecha en que esta declaración sea presentada al Secretario General de la [OEA]”. </w:t>
      </w:r>
      <w:r w:rsidRPr="00EF190F">
        <w:rPr>
          <w:spacing w:val="-4"/>
          <w:sz w:val="16"/>
          <w:szCs w:val="16"/>
        </w:rPr>
        <w:t xml:space="preserve">Convención Americana sobre Derechos Humanos (Declaraciones, Reservas, Denuncias y Retiros). Disponible en: http://www.oas.org/dil/esp/tratados_B-32_Convencion_Americana_sobre_Derechos_Humanos.htm. </w:t>
      </w:r>
      <w:r w:rsidRPr="00EF190F">
        <w:rPr>
          <w:sz w:val="16"/>
          <w:szCs w:val="16"/>
          <w:lang w:val="es-ES_tradnl" w:eastAsia="en-US"/>
        </w:rPr>
        <w:t xml:space="preserve">Este punto será analizado </w:t>
      </w:r>
      <w:r w:rsidRPr="00EF190F">
        <w:rPr>
          <w:i/>
          <w:sz w:val="16"/>
          <w:szCs w:val="16"/>
          <w:lang w:val="es-ES_tradnl" w:eastAsia="en-US"/>
        </w:rPr>
        <w:t xml:space="preserve">infra, </w:t>
      </w:r>
      <w:r w:rsidRPr="00EF190F">
        <w:rPr>
          <w:sz w:val="16"/>
          <w:szCs w:val="16"/>
          <w:lang w:val="es-ES_tradnl" w:eastAsia="en-US"/>
        </w:rPr>
        <w:t xml:space="preserve">en el Capítulo IV sobre las Excepciones Preliminares. </w:t>
      </w:r>
    </w:p>
  </w:footnote>
  <w:footnote w:id="9">
    <w:p w:rsidR="006A0E1C" w:rsidRPr="00EF190F" w:rsidRDefault="006A0E1C" w:rsidP="006A0E1C">
      <w:pPr>
        <w:spacing w:line="240" w:lineRule="auto"/>
        <w:contextualSpacing/>
        <w:rPr>
          <w:sz w:val="16"/>
          <w:szCs w:val="16"/>
          <w:lang w:val="es-ES"/>
        </w:rPr>
      </w:pPr>
      <w:r w:rsidRPr="00EF190F">
        <w:rPr>
          <w:rStyle w:val="FootnoteReference"/>
          <w:sz w:val="16"/>
          <w:szCs w:val="16"/>
        </w:rPr>
        <w:footnoteRef/>
      </w:r>
      <w:r w:rsidRPr="00EF190F">
        <w:rPr>
          <w:sz w:val="16"/>
          <w:szCs w:val="16"/>
        </w:rPr>
        <w:t xml:space="preserve"> </w:t>
      </w:r>
      <w:r w:rsidRPr="00EF190F">
        <w:rPr>
          <w:sz w:val="16"/>
          <w:szCs w:val="16"/>
          <w:lang w:val="es-PR"/>
        </w:rPr>
        <w:tab/>
      </w:r>
      <w:r w:rsidRPr="00EF190F">
        <w:rPr>
          <w:rFonts w:cs="Verdana"/>
          <w:sz w:val="16"/>
          <w:szCs w:val="16"/>
        </w:rPr>
        <w:t>Aun cuando el Estado está obligado a respetar y garantizar los derechos protegidos en la Convención Americana desde la fecha en que la ratificó, la competencia de la Corte para declarar una violación a sus normas se rige por el referido reconocimiento por parte del Estado.</w:t>
      </w:r>
    </w:p>
  </w:footnote>
  <w:footnote w:id="10">
    <w:p w:rsidR="006A0E1C" w:rsidRPr="00EF190F" w:rsidRDefault="006A0E1C" w:rsidP="006A0E1C">
      <w:pPr>
        <w:pStyle w:val="FootnoteText"/>
        <w:contextualSpacing/>
        <w:rPr>
          <w:sz w:val="16"/>
          <w:szCs w:val="16"/>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i/>
          <w:sz w:val="16"/>
          <w:szCs w:val="16"/>
          <w:lang w:val="es-PR"/>
        </w:rPr>
        <w:t xml:space="preserve">Cfr. Caso Blake Vs. Guatemala. Excepciones Preliminares. </w:t>
      </w:r>
      <w:r w:rsidRPr="00EF190F">
        <w:rPr>
          <w:sz w:val="16"/>
          <w:szCs w:val="16"/>
          <w:lang w:val="es-PR"/>
        </w:rPr>
        <w:t>Sentencia de 22 de julio de 1996. Serie C No. 27, párrs. 39 y 40, y</w:t>
      </w:r>
      <w:r w:rsidRPr="00EF190F">
        <w:rPr>
          <w:i/>
          <w:sz w:val="16"/>
          <w:szCs w:val="16"/>
          <w:lang w:val="es-PR"/>
        </w:rPr>
        <w:t xml:space="preserve"> </w:t>
      </w:r>
      <w:r w:rsidRPr="00EF190F">
        <w:rPr>
          <w:i/>
          <w:sz w:val="16"/>
          <w:szCs w:val="16"/>
        </w:rPr>
        <w:t xml:space="preserve">Caso Argüelles y otros Vs. Argentina. Excepciones Preliminares, Fondo, Reparaciones y Costas. </w:t>
      </w:r>
      <w:r w:rsidRPr="00EF190F">
        <w:rPr>
          <w:sz w:val="16"/>
          <w:szCs w:val="16"/>
        </w:rPr>
        <w:t>Sentencia de 20 de noviembre de 2014. Serie C No. 288, párr. 25.</w:t>
      </w:r>
    </w:p>
  </w:footnote>
  <w:footnote w:id="11">
    <w:p w:rsidR="006A0E1C" w:rsidRPr="00EF190F" w:rsidRDefault="006A0E1C" w:rsidP="006A0E1C">
      <w:pPr>
        <w:pStyle w:val="FootnoteText"/>
        <w:contextualSpacing/>
        <w:rPr>
          <w:sz w:val="16"/>
          <w:szCs w:val="16"/>
          <w:lang w:val="es-PR"/>
        </w:rPr>
      </w:pPr>
      <w:r w:rsidRPr="00EF190F">
        <w:rPr>
          <w:rStyle w:val="FootnoteReference"/>
          <w:sz w:val="16"/>
          <w:szCs w:val="16"/>
        </w:rPr>
        <w:footnoteRef/>
      </w:r>
      <w:r w:rsidRPr="00EF190F">
        <w:rPr>
          <w:sz w:val="16"/>
          <w:szCs w:val="16"/>
        </w:rPr>
        <w:t xml:space="preserve"> </w:t>
      </w:r>
      <w:r w:rsidRPr="00EF190F">
        <w:rPr>
          <w:sz w:val="16"/>
          <w:szCs w:val="16"/>
          <w:lang w:val="es-PR"/>
        </w:rPr>
        <w:tab/>
      </w:r>
      <w:r w:rsidRPr="00EF190F">
        <w:rPr>
          <w:sz w:val="16"/>
          <w:szCs w:val="16"/>
        </w:rPr>
        <w:t>Escritos presentados el 11 de diciembre y 17 de julio de 2013 (expediente de prueba, folios 3368 y 3454).</w:t>
      </w:r>
    </w:p>
  </w:footnote>
  <w:footnote w:id="12">
    <w:p w:rsidR="006A0E1C" w:rsidRPr="00EF190F" w:rsidRDefault="006A0E1C" w:rsidP="006A0E1C">
      <w:pPr>
        <w:pStyle w:val="FootnoteText"/>
        <w:rPr>
          <w:sz w:val="16"/>
          <w:szCs w:val="16"/>
          <w:lang w:val="en-US"/>
        </w:rPr>
      </w:pPr>
      <w:r w:rsidRPr="00EF190F">
        <w:rPr>
          <w:rStyle w:val="FootnoteReference"/>
          <w:sz w:val="16"/>
          <w:szCs w:val="16"/>
        </w:rPr>
        <w:footnoteRef/>
      </w:r>
      <w:r w:rsidRPr="00707471">
        <w:rPr>
          <w:sz w:val="16"/>
          <w:szCs w:val="16"/>
          <w:lang w:val="en-US"/>
        </w:rPr>
        <w:t xml:space="preserve"> </w:t>
      </w:r>
      <w:r w:rsidRPr="00707471">
        <w:rPr>
          <w:sz w:val="16"/>
          <w:szCs w:val="16"/>
          <w:lang w:val="en-US"/>
        </w:rPr>
        <w:tab/>
        <w:t xml:space="preserve">Véase, en este sentido, </w:t>
      </w:r>
      <w:r w:rsidRPr="00707471">
        <w:rPr>
          <w:rFonts w:cs="TimesNRMT-Italic"/>
          <w:i/>
          <w:iCs/>
          <w:sz w:val="16"/>
          <w:szCs w:val="16"/>
          <w:lang w:val="en-US"/>
        </w:rPr>
        <w:t xml:space="preserve">Certain Questions of Mutual Assistance in Criminal Matters (Djibouti </w:t>
      </w:r>
      <w:r w:rsidRPr="00707471">
        <w:rPr>
          <w:rFonts w:cs="TimesNRMT"/>
          <w:sz w:val="16"/>
          <w:szCs w:val="16"/>
          <w:lang w:val="en-US"/>
        </w:rPr>
        <w:t xml:space="preserve">v. </w:t>
      </w:r>
      <w:r w:rsidRPr="00707471">
        <w:rPr>
          <w:rFonts w:cs="TimesNRMT-Italic"/>
          <w:i/>
          <w:iCs/>
          <w:sz w:val="16"/>
          <w:szCs w:val="16"/>
          <w:lang w:val="en-US"/>
        </w:rPr>
        <w:t>France), Judgment, I.C.J. Reports 2008</w:t>
      </w:r>
      <w:r w:rsidRPr="00707471">
        <w:rPr>
          <w:rFonts w:cs="TimesNRMT"/>
          <w:sz w:val="16"/>
          <w:szCs w:val="16"/>
          <w:lang w:val="en-US"/>
        </w:rPr>
        <w:t xml:space="preserve">, p. 177. </w:t>
      </w:r>
      <w:r w:rsidRPr="00EF190F">
        <w:rPr>
          <w:rFonts w:cs="TimesNRMT"/>
          <w:sz w:val="16"/>
          <w:szCs w:val="16"/>
          <w:lang w:val="en-US"/>
        </w:rPr>
        <w:t>Disponible en: http://www.icj-cij.org/docket/files/136/14550.pdf</w:t>
      </w:r>
      <w:r w:rsidRPr="00EF190F">
        <w:rPr>
          <w:rStyle w:val="Hyperlink"/>
          <w:rFonts w:cs="TimesNRMT"/>
          <w:color w:val="auto"/>
          <w:sz w:val="16"/>
          <w:szCs w:val="16"/>
          <w:lang w:val="en-US"/>
        </w:rPr>
        <w:t>. “</w:t>
      </w:r>
      <w:r w:rsidRPr="00EF190F">
        <w:rPr>
          <w:rFonts w:cs="TimesNRMT"/>
          <w:sz w:val="16"/>
          <w:szCs w:val="16"/>
          <w:lang w:val="en-US"/>
        </w:rPr>
        <w:t xml:space="preserve">The consent allowing for the Court to assume jurisdiction must be certain. […] As the Court has recently explained, whatever the basis of consent, the attitude of the respondent State must “be capable of being regarded as ‘an unequivocal indication’ of the desire of that State to accept the Court’s jurisdiction in a ‘voluntary and indisputable’ manner” […][.] For the Court to exercise jurisdiction on the basis of </w:t>
      </w:r>
      <w:r w:rsidRPr="00EF190F">
        <w:rPr>
          <w:rFonts w:cs="TimesNRMT-Italic"/>
          <w:i/>
          <w:iCs/>
          <w:sz w:val="16"/>
          <w:szCs w:val="16"/>
          <w:lang w:val="en-US"/>
        </w:rPr>
        <w:t>forum prorogatum</w:t>
      </w:r>
      <w:r w:rsidRPr="00EF190F">
        <w:rPr>
          <w:rFonts w:cs="TimesNRMT"/>
          <w:sz w:val="16"/>
          <w:szCs w:val="16"/>
          <w:lang w:val="en-US"/>
        </w:rPr>
        <w:t xml:space="preserve">, the element of consent must be either explicit or clearly to be deduced from the relevant conduct of a State.” Asimismo, </w:t>
      </w:r>
      <w:r w:rsidRPr="00EF190F">
        <w:rPr>
          <w:rFonts w:eastAsiaTheme="minorHAnsi"/>
          <w:i/>
          <w:iCs/>
          <w:sz w:val="16"/>
          <w:szCs w:val="16"/>
          <w:lang w:val="en-US" w:eastAsia="en-US"/>
        </w:rPr>
        <w:t>Anglo-Iranian Oil Co. (United Kingdom v. Iran)</w:t>
      </w:r>
      <w:r w:rsidRPr="00EF190F">
        <w:rPr>
          <w:rFonts w:eastAsiaTheme="minorHAnsi"/>
          <w:sz w:val="16"/>
          <w:szCs w:val="16"/>
          <w:lang w:val="en-US" w:eastAsia="en-US"/>
        </w:rPr>
        <w:t xml:space="preserve">, Judgement (Preliminary Objections), 22 July 1952, I.C.J. Reports 1952, p. 114. Disponible en: http://www.icj-cij.org/docket/files/16/1997.pdf. </w:t>
      </w:r>
      <w:r w:rsidRPr="00EF190F">
        <w:rPr>
          <w:rFonts w:eastAsiaTheme="minorHAnsi"/>
          <w:color w:val="0000FF" w:themeColor="hyperlink"/>
          <w:sz w:val="16"/>
          <w:szCs w:val="16"/>
          <w:u w:val="single"/>
          <w:lang w:val="en-US" w:eastAsia="en-US"/>
        </w:rPr>
        <w:t>“</w:t>
      </w:r>
      <w:r w:rsidRPr="00EF190F">
        <w:rPr>
          <w:sz w:val="16"/>
          <w:szCs w:val="16"/>
          <w:lang w:val="en-US"/>
        </w:rPr>
        <w:t xml:space="preserve">The principle of </w:t>
      </w:r>
      <w:r w:rsidRPr="00EF190F">
        <w:rPr>
          <w:i/>
          <w:iCs/>
          <w:sz w:val="16"/>
          <w:szCs w:val="16"/>
          <w:lang w:val="en-US"/>
        </w:rPr>
        <w:t>forum prorogatum</w:t>
      </w:r>
      <w:r w:rsidRPr="00EF190F">
        <w:rPr>
          <w:iCs/>
          <w:sz w:val="16"/>
          <w:szCs w:val="16"/>
          <w:lang w:val="en-US"/>
        </w:rPr>
        <w:t xml:space="preserve">, </w:t>
      </w:r>
      <w:r w:rsidRPr="00EF190F">
        <w:rPr>
          <w:sz w:val="16"/>
          <w:szCs w:val="16"/>
          <w:lang w:val="en-US"/>
        </w:rPr>
        <w:t>if it could be applied to the present case, would have to be based on some conduct or statement of the Government of Iran which involves an element of consent regarding the jurisdiction of the Court. But that Government has consistently denied the jurisdiction of the Court. Having filed a Preliminary Objection for the purpose of disputing the jurisdiction, it has throughout the proceedings maintained that Objection. It is true that it has submitted other Objections which have no direct bearing on the question of jurisdiction. But they are clearly designed as measures of defence which it would be necessary to examine only if Iran's Objection to the jurisdiction were rejected. No element of consent can be deduced from such conduct on the part of the Government of Iran. […] Accordingly, the Court has arrived at the conclusion that it has no jurisdiction to deal with the case submitted to it […].”</w:t>
      </w:r>
    </w:p>
  </w:footnote>
  <w:footnote w:id="13">
    <w:p w:rsidR="006A0E1C" w:rsidRPr="00EF190F" w:rsidRDefault="006A0E1C" w:rsidP="006A0E1C">
      <w:pPr>
        <w:pStyle w:val="FootnoteText"/>
        <w:contextualSpacing/>
        <w:rPr>
          <w:sz w:val="16"/>
          <w:szCs w:val="16"/>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lang w:val="es-CR"/>
        </w:rPr>
        <w:t>Cfr</w:t>
      </w:r>
      <w:r w:rsidRPr="00EF190F">
        <w:rPr>
          <w:sz w:val="16"/>
          <w:szCs w:val="16"/>
          <w:lang w:val="es-CR"/>
        </w:rPr>
        <w:t>.</w:t>
      </w:r>
      <w:r w:rsidRPr="00EF190F">
        <w:rPr>
          <w:i/>
          <w:iCs/>
          <w:sz w:val="16"/>
          <w:szCs w:val="16"/>
          <w:lang w:val="es-CR"/>
        </w:rPr>
        <w:t xml:space="preserve"> </w:t>
      </w:r>
      <w:r w:rsidRPr="00EF190F">
        <w:rPr>
          <w:i/>
          <w:iCs/>
          <w:sz w:val="16"/>
          <w:szCs w:val="16"/>
        </w:rPr>
        <w:t>Caso Ticona Estrada y otros Vs. Bolivia</w:t>
      </w:r>
      <w:r w:rsidRPr="00EF190F">
        <w:rPr>
          <w:sz w:val="16"/>
          <w:szCs w:val="16"/>
        </w:rPr>
        <w:t xml:space="preserve">. </w:t>
      </w:r>
      <w:r w:rsidRPr="00EF190F">
        <w:rPr>
          <w:i/>
          <w:sz w:val="16"/>
          <w:szCs w:val="16"/>
        </w:rPr>
        <w:t>Excepciones Preliminares, Fondo, Reparaciones y Costas.</w:t>
      </w:r>
      <w:r w:rsidRPr="00EF190F">
        <w:rPr>
          <w:sz w:val="16"/>
          <w:szCs w:val="16"/>
        </w:rPr>
        <w:t xml:space="preserve"> </w:t>
      </w:r>
      <w:r w:rsidRPr="00EF190F">
        <w:rPr>
          <w:sz w:val="16"/>
          <w:szCs w:val="16"/>
          <w:lang w:val="es-PR"/>
        </w:rPr>
        <w:t>Sentencia de 27 de noviembre de 2008. Serie C No. 191,</w:t>
      </w:r>
      <w:r w:rsidRPr="00EF190F">
        <w:rPr>
          <w:sz w:val="16"/>
          <w:szCs w:val="16"/>
        </w:rPr>
        <w:t xml:space="preserve"> </w:t>
      </w:r>
      <w:r w:rsidRPr="00EF190F">
        <w:rPr>
          <w:sz w:val="16"/>
          <w:szCs w:val="16"/>
          <w:lang w:val="es-CR"/>
        </w:rPr>
        <w:t xml:space="preserve">párr. 30; </w:t>
      </w:r>
      <w:r w:rsidRPr="00EF190F">
        <w:rPr>
          <w:bCs/>
          <w:i/>
          <w:sz w:val="16"/>
          <w:szCs w:val="16"/>
          <w:lang w:val="es-CR"/>
        </w:rPr>
        <w:t xml:space="preserve">Caso Ibsen Cárdenas e Ibsen Peña Vs. Bolivia. Fondo, Reparaciones y Costas. </w:t>
      </w:r>
      <w:r w:rsidRPr="00EF190F">
        <w:rPr>
          <w:bCs/>
          <w:sz w:val="16"/>
          <w:szCs w:val="16"/>
          <w:lang w:val="es-CR"/>
        </w:rPr>
        <w:t xml:space="preserve">Sentencia de 1 de septiembre de 2010. Serie C No. 217, párr. 22; </w:t>
      </w:r>
      <w:r w:rsidRPr="00EF190F">
        <w:rPr>
          <w:bCs/>
          <w:i/>
          <w:sz w:val="16"/>
          <w:szCs w:val="16"/>
          <w:lang w:val="es-CR"/>
        </w:rPr>
        <w:t>C</w:t>
      </w:r>
      <w:r w:rsidRPr="00EF190F">
        <w:rPr>
          <w:rStyle w:val="Strong"/>
          <w:rFonts w:eastAsia="MS Gothic"/>
          <w:b w:val="0"/>
          <w:i/>
          <w:color w:val="000000"/>
          <w:sz w:val="16"/>
          <w:szCs w:val="16"/>
          <w:shd w:val="clear" w:color="auto" w:fill="FFFFFF"/>
        </w:rPr>
        <w:t>aso Gudiel Álvarez y otros ("Diario Militar") Vs. Guatemala. Fondo Reparaciones y Costas.</w:t>
      </w:r>
      <w:r w:rsidRPr="00EF190F">
        <w:rPr>
          <w:rStyle w:val="Strong"/>
          <w:rFonts w:eastAsia="MS Gothic"/>
          <w:b w:val="0"/>
          <w:color w:val="000000"/>
          <w:sz w:val="16"/>
          <w:szCs w:val="16"/>
          <w:shd w:val="clear" w:color="auto" w:fill="FFFFFF"/>
        </w:rPr>
        <w:t xml:space="preserve"> Sentencia de 20 noviembre de 2012. Serie C No. 253, párr. 32 y</w:t>
      </w:r>
      <w:r w:rsidRPr="00EF190F">
        <w:rPr>
          <w:b/>
          <w:bCs/>
          <w:sz w:val="16"/>
          <w:szCs w:val="16"/>
        </w:rPr>
        <w:t xml:space="preserve"> </w:t>
      </w:r>
      <w:r w:rsidRPr="00EF190F">
        <w:rPr>
          <w:i/>
          <w:sz w:val="16"/>
          <w:szCs w:val="16"/>
          <w:lang w:val="es-CR"/>
        </w:rPr>
        <w:t>Caso García y Familiares Vs. Guatemala.</w:t>
      </w:r>
      <w:r w:rsidRPr="00EF190F">
        <w:rPr>
          <w:rStyle w:val="Strong"/>
          <w:rFonts w:eastAsia="MS Gothic"/>
          <w:b w:val="0"/>
          <w:sz w:val="16"/>
          <w:szCs w:val="16"/>
        </w:rPr>
        <w:t xml:space="preserve"> </w:t>
      </w:r>
      <w:r w:rsidRPr="00EF190F">
        <w:rPr>
          <w:rStyle w:val="Strong"/>
          <w:rFonts w:eastAsia="MS Gothic"/>
          <w:b w:val="0"/>
          <w:i/>
          <w:sz w:val="16"/>
          <w:szCs w:val="16"/>
        </w:rPr>
        <w:t>Excepciones Preliminares, Fondo, Reparaciones y Costas</w:t>
      </w:r>
      <w:r w:rsidRPr="00EF190F">
        <w:rPr>
          <w:rStyle w:val="Strong"/>
          <w:rFonts w:eastAsia="MS Gothic"/>
          <w:b w:val="0"/>
          <w:sz w:val="16"/>
          <w:szCs w:val="16"/>
        </w:rPr>
        <w:t>. Sentencia de 29 de noviembre de 2012. Serie C No. 258, párr. 27.</w:t>
      </w:r>
      <w:r w:rsidRPr="00EF190F">
        <w:rPr>
          <w:b/>
          <w:sz w:val="16"/>
          <w:szCs w:val="16"/>
        </w:rPr>
        <w:t xml:space="preserve"> </w:t>
      </w:r>
      <w:r w:rsidRPr="00EF190F">
        <w:rPr>
          <w:sz w:val="16"/>
          <w:szCs w:val="16"/>
        </w:rPr>
        <w:t xml:space="preserve">Véase además, </w:t>
      </w:r>
      <w:r w:rsidRPr="00EF190F">
        <w:rPr>
          <w:i/>
          <w:sz w:val="16"/>
          <w:szCs w:val="16"/>
        </w:rPr>
        <w:t xml:space="preserve">Caso Masacres de El Mozote </w:t>
      </w:r>
      <w:r w:rsidRPr="00EF190F">
        <w:rPr>
          <w:bCs/>
          <w:i/>
          <w:sz w:val="16"/>
          <w:szCs w:val="16"/>
        </w:rPr>
        <w:t>y lugares aledaños Vs. El Salvador. Fondo, Reparaciones y Costas.</w:t>
      </w:r>
      <w:r w:rsidRPr="00EF190F">
        <w:rPr>
          <w:bCs/>
          <w:sz w:val="16"/>
          <w:szCs w:val="16"/>
        </w:rPr>
        <w:t xml:space="preserve"> Sentencia de 25 de octubre de 2012. Serie C No. 252</w:t>
      </w:r>
      <w:r w:rsidRPr="00EF190F">
        <w:rPr>
          <w:sz w:val="16"/>
          <w:szCs w:val="16"/>
        </w:rPr>
        <w:t xml:space="preserve">, párr. 30, y </w:t>
      </w:r>
      <w:r w:rsidRPr="00EF190F">
        <w:rPr>
          <w:rFonts w:eastAsia="Calibri" w:cs="Verdana"/>
          <w:i/>
          <w:iCs/>
          <w:sz w:val="16"/>
          <w:szCs w:val="16"/>
          <w:lang w:eastAsia="en-US"/>
        </w:rPr>
        <w:t xml:space="preserve">Caso González Medina y familiares </w:t>
      </w:r>
      <w:r w:rsidRPr="00EF190F">
        <w:rPr>
          <w:rFonts w:eastAsia="Calibri" w:cs="Verdana"/>
          <w:bCs/>
          <w:i/>
          <w:iCs/>
          <w:sz w:val="16"/>
          <w:szCs w:val="16"/>
          <w:lang w:eastAsia="en-US"/>
        </w:rPr>
        <w:t xml:space="preserve">Vs. República Dominicana. Excepciones Preliminares, Fondo, Reparaciones y Costas. </w:t>
      </w:r>
      <w:r w:rsidRPr="00EF190F">
        <w:rPr>
          <w:rFonts w:eastAsia="Calibri" w:cs="Verdana"/>
          <w:bCs/>
          <w:iCs/>
          <w:sz w:val="16"/>
          <w:szCs w:val="16"/>
          <w:lang w:eastAsia="en-US"/>
        </w:rPr>
        <w:t>Sentencia de 27 de febrero de 2012. Serie C No. 240</w:t>
      </w:r>
      <w:r w:rsidRPr="00EF190F">
        <w:rPr>
          <w:rFonts w:eastAsia="Calibri" w:cs="Verdana"/>
          <w:sz w:val="16"/>
          <w:szCs w:val="16"/>
          <w:lang w:eastAsia="en-US"/>
        </w:rPr>
        <w:t xml:space="preserve">, párr. </w:t>
      </w:r>
      <w:r w:rsidRPr="00EF190F">
        <w:rPr>
          <w:rFonts w:eastAsia="Calibri" w:cs="Verdana"/>
          <w:sz w:val="16"/>
          <w:szCs w:val="16"/>
          <w:lang w:val="es-PR" w:eastAsia="en-US"/>
        </w:rPr>
        <w:t>192.</w:t>
      </w:r>
    </w:p>
  </w:footnote>
  <w:footnote w:id="14">
    <w:p w:rsidR="006A0E1C" w:rsidRPr="00EF190F" w:rsidRDefault="006A0E1C" w:rsidP="006A0E1C">
      <w:pPr>
        <w:pStyle w:val="FootnoteText"/>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lang w:val="es-CR"/>
        </w:rPr>
        <w:t xml:space="preserve">Cfr. </w:t>
      </w:r>
      <w:r w:rsidRPr="00EF190F">
        <w:rPr>
          <w:i/>
          <w:sz w:val="16"/>
          <w:szCs w:val="16"/>
        </w:rPr>
        <w:t xml:space="preserve">Caso Velásquez Rodríguez Vs. Honduras. Fondo. </w:t>
      </w:r>
      <w:r w:rsidRPr="00EF190F">
        <w:rPr>
          <w:sz w:val="16"/>
          <w:szCs w:val="16"/>
        </w:rPr>
        <w:t xml:space="preserve">Sentencia de 29 de julio de 1988. Serie C No. 4, párr. 134, y </w:t>
      </w:r>
      <w:r w:rsidRPr="00EF190F">
        <w:rPr>
          <w:i/>
          <w:sz w:val="16"/>
          <w:szCs w:val="16"/>
        </w:rPr>
        <w:t>Caso Garrido y Baigorria Vs. Argentina. Reparaciones y Costas.</w:t>
      </w:r>
      <w:r w:rsidRPr="00EF190F">
        <w:rPr>
          <w:sz w:val="16"/>
          <w:szCs w:val="16"/>
        </w:rPr>
        <w:t xml:space="preserve"> Sentencia de 27 de agosto de 1998. Serie C No. 39, párr. 44.</w:t>
      </w:r>
    </w:p>
  </w:footnote>
  <w:footnote w:id="15">
    <w:p w:rsidR="006A0E1C" w:rsidRPr="00EF190F" w:rsidRDefault="006A0E1C" w:rsidP="006A0E1C">
      <w:pPr>
        <w:pStyle w:val="FootnoteText"/>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Cfr</w:t>
      </w:r>
      <w:r w:rsidRPr="00EF190F">
        <w:rPr>
          <w:sz w:val="16"/>
          <w:szCs w:val="16"/>
        </w:rPr>
        <w:t xml:space="preserve">. Instrumento de ratificación de la Convención Americana por parte de Guatemala. Disponible en: http://www.oas.org/juridico/spanish/firmas/a-60.html </w:t>
      </w:r>
    </w:p>
  </w:footnote>
  <w:footnote w:id="16">
    <w:p w:rsidR="006A0E1C" w:rsidRPr="00EF190F" w:rsidRDefault="006A0E1C" w:rsidP="006A0E1C">
      <w:pPr>
        <w:spacing w:line="240" w:lineRule="auto"/>
        <w:rPr>
          <w:spacing w:val="-4"/>
          <w:sz w:val="16"/>
          <w:szCs w:val="16"/>
          <w:lang w:eastAsia="en-US"/>
        </w:rPr>
      </w:pPr>
      <w:r w:rsidRPr="00EF190F">
        <w:rPr>
          <w:rStyle w:val="FootnoteReference"/>
          <w:sz w:val="16"/>
          <w:szCs w:val="16"/>
        </w:rPr>
        <w:footnoteRef/>
      </w:r>
      <w:r w:rsidRPr="00EF190F">
        <w:rPr>
          <w:sz w:val="16"/>
          <w:szCs w:val="16"/>
        </w:rPr>
        <w:tab/>
      </w:r>
      <w:r w:rsidRPr="00EF190F">
        <w:rPr>
          <w:i/>
          <w:sz w:val="16"/>
          <w:szCs w:val="16"/>
        </w:rPr>
        <w:t xml:space="preserve">Cfr. Caso Gómez Palomino Vs. Perú. Fondo, Reparaciones y Costas. </w:t>
      </w:r>
      <w:r w:rsidRPr="00EF190F">
        <w:rPr>
          <w:sz w:val="16"/>
          <w:szCs w:val="16"/>
        </w:rPr>
        <w:t>Sentencia de 22 de noviembre de 2005. Serie C No. 136</w:t>
      </w:r>
      <w:r w:rsidRPr="00EF190F">
        <w:rPr>
          <w:iCs/>
          <w:sz w:val="16"/>
          <w:szCs w:val="16"/>
        </w:rPr>
        <w:t>,</w:t>
      </w:r>
      <w:r w:rsidRPr="00EF190F">
        <w:rPr>
          <w:sz w:val="16"/>
          <w:szCs w:val="16"/>
        </w:rPr>
        <w:t xml:space="preserve"> párr. 110; </w:t>
      </w:r>
      <w:r w:rsidRPr="00EF190F">
        <w:rPr>
          <w:i/>
          <w:sz w:val="16"/>
          <w:szCs w:val="16"/>
        </w:rPr>
        <w:t xml:space="preserve">Caso Radilla Pacheco Vs. México. Excepciones Preliminares, Fondo, Reparaciones y Costas. </w:t>
      </w:r>
      <w:r w:rsidRPr="00EF190F">
        <w:rPr>
          <w:sz w:val="16"/>
          <w:szCs w:val="16"/>
        </w:rPr>
        <w:t xml:space="preserve">Sentencia de 23 de noviembre de 2009. Serie C No. 209, párr. </w:t>
      </w:r>
      <w:r w:rsidRPr="00EF190F">
        <w:rPr>
          <w:sz w:val="16"/>
          <w:szCs w:val="16"/>
          <w:lang w:val="es-ES"/>
        </w:rPr>
        <w:t>303; Cas</w:t>
      </w:r>
      <w:r w:rsidRPr="00EF190F">
        <w:rPr>
          <w:i/>
          <w:sz w:val="16"/>
          <w:szCs w:val="16"/>
          <w:lang w:val="es-ES"/>
        </w:rPr>
        <w:t xml:space="preserve">o Osorio Rivera y familiares Vs. Perú. Excepciones Preliminares, Fondo, Reparaciones y Costas. </w:t>
      </w:r>
      <w:r w:rsidRPr="00EF190F">
        <w:rPr>
          <w:sz w:val="16"/>
          <w:szCs w:val="16"/>
          <w:lang w:val="es-ES"/>
        </w:rPr>
        <w:t xml:space="preserve">Sentencia de 26 de noviembre de 2013. Serie C No. 274, párr. 29; </w:t>
      </w:r>
      <w:r w:rsidRPr="00EF190F">
        <w:rPr>
          <w:i/>
          <w:sz w:val="16"/>
          <w:szCs w:val="16"/>
          <w:lang w:val="es-ES"/>
        </w:rPr>
        <w:t xml:space="preserve">Caso Rodríguez Vera y otros (Desaparecidos del Palacio de Justicia) Vs. Colombia. Excepciones Preliminares, Fondo, Reparaciones y Costas. </w:t>
      </w:r>
      <w:r w:rsidRPr="00EF190F">
        <w:rPr>
          <w:sz w:val="16"/>
          <w:szCs w:val="16"/>
          <w:lang w:val="es-ES"/>
        </w:rPr>
        <w:t xml:space="preserve">Sentencia de 14 de noviembre de 2014. Serie C No. 287, párr. </w:t>
      </w:r>
      <w:r w:rsidRPr="00EF190F">
        <w:rPr>
          <w:sz w:val="16"/>
          <w:szCs w:val="16"/>
        </w:rPr>
        <w:t xml:space="preserve">43 y </w:t>
      </w:r>
      <w:r w:rsidRPr="00EF190F">
        <w:rPr>
          <w:i/>
          <w:sz w:val="16"/>
          <w:szCs w:val="16"/>
        </w:rPr>
        <w:t xml:space="preserve">Caso Tenorio Roca y otros Vs. Perú. Excepciones Preliminares, Fondo, Reparaciones y Costas. </w:t>
      </w:r>
      <w:r w:rsidRPr="00EF190F">
        <w:rPr>
          <w:sz w:val="16"/>
          <w:szCs w:val="16"/>
        </w:rPr>
        <w:t>Sentencia de 22 de junio de 2016. Serie C No. 314, párr. 30.</w:t>
      </w:r>
    </w:p>
  </w:footnote>
  <w:footnote w:id="17">
    <w:p w:rsidR="006A0E1C" w:rsidRPr="00EF190F" w:rsidRDefault="006A0E1C" w:rsidP="006A0E1C">
      <w:pPr>
        <w:pStyle w:val="FootnoteText"/>
        <w:rPr>
          <w:sz w:val="16"/>
          <w:szCs w:val="16"/>
          <w:lang w:val="es-CR"/>
        </w:rPr>
      </w:pPr>
      <w:r w:rsidRPr="00EF190F">
        <w:rPr>
          <w:rStyle w:val="FootnoteReference"/>
          <w:sz w:val="16"/>
          <w:szCs w:val="16"/>
        </w:rPr>
        <w:footnoteRef/>
      </w:r>
      <w:r w:rsidRPr="00EF190F">
        <w:rPr>
          <w:sz w:val="16"/>
          <w:szCs w:val="16"/>
        </w:rPr>
        <w:t xml:space="preserve"> </w:t>
      </w:r>
      <w:r w:rsidRPr="00EF190F">
        <w:rPr>
          <w:sz w:val="16"/>
          <w:szCs w:val="16"/>
          <w:lang w:val="es-PR"/>
        </w:rPr>
        <w:tab/>
        <w:t>El artículo XIII establece: “Para los efectos de la presente Convención, el trámite de las peticiones o comunicaciones presentadas ante la Comisión Interamericana de Derechos Humanos en que se alegue la desaparición forzada de personas estará sujeto a los procedimientos establecidos en la Convención Americana sobre Derechos Humanos, y en los Estatutos y Reglamentos de la Comisión y de la Corte Interamericana de Derechos Humanos […]”.</w:t>
      </w:r>
    </w:p>
  </w:footnote>
  <w:footnote w:id="18">
    <w:p w:rsidR="006A0E1C" w:rsidRPr="00EF190F" w:rsidRDefault="006A0E1C" w:rsidP="006A0E1C">
      <w:pPr>
        <w:pStyle w:val="FootnoteText"/>
        <w:contextualSpacing/>
        <w:rPr>
          <w:rFonts w:cs="Microsoft Sans Serif"/>
          <w:spacing w:val="-4"/>
          <w:sz w:val="16"/>
          <w:szCs w:val="16"/>
          <w:lang w:val="es-PR"/>
        </w:rPr>
      </w:pPr>
      <w:r w:rsidRPr="00EF190F">
        <w:rPr>
          <w:rStyle w:val="FootnoteReference"/>
          <w:rFonts w:cs="Microsoft Sans Serif"/>
          <w:spacing w:val="-4"/>
          <w:sz w:val="16"/>
          <w:szCs w:val="16"/>
        </w:rPr>
        <w:footnoteRef/>
      </w:r>
      <w:r w:rsidRPr="00EF190F">
        <w:rPr>
          <w:rFonts w:cs="Microsoft Sans Serif"/>
          <w:spacing w:val="-4"/>
          <w:sz w:val="16"/>
          <w:szCs w:val="16"/>
          <w:lang w:val="es-PR"/>
        </w:rPr>
        <w:t xml:space="preserve"> </w:t>
      </w:r>
      <w:r w:rsidRPr="00EF190F">
        <w:rPr>
          <w:rFonts w:cs="Microsoft Sans Serif"/>
          <w:spacing w:val="-4"/>
          <w:sz w:val="16"/>
          <w:szCs w:val="16"/>
          <w:lang w:val="es-PR"/>
        </w:rPr>
        <w:tab/>
      </w:r>
      <w:r w:rsidRPr="00EF190F">
        <w:rPr>
          <w:rFonts w:eastAsia="Calibri" w:cs="Arial"/>
          <w:sz w:val="16"/>
          <w:szCs w:val="16"/>
        </w:rPr>
        <w:t xml:space="preserve">El artículo 12 de ese tratado indica la posibilidad de la presentación de “peticiones” a la Comisión, referidas a “denuncias o quejas de violación de [su] artículo 7”, estableciendo que “la Comisión las considerará de acuerdo con las normas y los requisitos de procedimiento para la presentación y consideración de </w:t>
      </w:r>
      <w:r w:rsidRPr="00EF190F">
        <w:rPr>
          <w:sz w:val="16"/>
          <w:szCs w:val="16"/>
        </w:rPr>
        <w:t>peticiones</w:t>
      </w:r>
      <w:r w:rsidRPr="00EF190F">
        <w:rPr>
          <w:rFonts w:eastAsia="Calibri" w:cs="Arial"/>
          <w:sz w:val="16"/>
          <w:szCs w:val="16"/>
        </w:rPr>
        <w:t xml:space="preserve"> estipulados en la Convención Americana sobre Derechos Humanos y en el Estatuto y el Reglamento de la Comisión”. </w:t>
      </w:r>
      <w:r w:rsidRPr="00EF190F">
        <w:rPr>
          <w:rFonts w:cs="Microsoft Sans Serif"/>
          <w:spacing w:val="-4"/>
          <w:sz w:val="16"/>
          <w:szCs w:val="16"/>
          <w:lang w:val="es-PR"/>
        </w:rPr>
        <w:t>Al respecto, la Corte ha señalado que en la formulación del artículo 12 de la Convención de Belém de Pará “</w:t>
      </w:r>
      <w:r w:rsidRPr="00EF190F">
        <w:rPr>
          <w:rFonts w:cs="Microsoft Sans Serif"/>
          <w:spacing w:val="-4"/>
          <w:sz w:val="16"/>
          <w:szCs w:val="16"/>
          <w:lang w:val="es-EC" w:bidi="en-US"/>
        </w:rPr>
        <w:t xml:space="preserve">no se excluye ninguna disposición de la Convención Americana, por lo que habrá que concluir que la </w:t>
      </w:r>
      <w:r w:rsidRPr="00EF190F">
        <w:rPr>
          <w:rFonts w:cs="Microsoft Sans Serif"/>
          <w:spacing w:val="-4"/>
          <w:sz w:val="16"/>
          <w:szCs w:val="16"/>
          <w:lang w:val="es-EC"/>
        </w:rPr>
        <w:t xml:space="preserve">Comisión actuará en las peticiones sobre el artículo 7 de la Convención Belém do Pará ‘de conformidad con lo dispuesto en los artículos 44 al 51 de [la Convención Americana]’, como lo dispone el artículo 41 de la misma Convención. El artículo 51 de la Convención […] se refiere […] expresamente al sometimiento de casos ante la Corte”. </w:t>
      </w:r>
      <w:r w:rsidRPr="00EF190F">
        <w:rPr>
          <w:rFonts w:cs="Microsoft Sans Serif"/>
          <w:i/>
          <w:spacing w:val="-4"/>
          <w:sz w:val="16"/>
          <w:szCs w:val="16"/>
          <w:lang w:val="es-EC"/>
        </w:rPr>
        <w:t xml:space="preserve">Cfr. </w:t>
      </w:r>
      <w:r w:rsidRPr="00EF190F">
        <w:rPr>
          <w:rFonts w:cs="Microsoft Sans Serif"/>
          <w:i/>
          <w:spacing w:val="-4"/>
          <w:sz w:val="16"/>
          <w:szCs w:val="16"/>
          <w:lang w:val="es-PR"/>
        </w:rPr>
        <w:t>Caso González y otras (“Campo Algodonero”) Vs. México</w:t>
      </w:r>
      <w:r w:rsidRPr="00EF190F">
        <w:rPr>
          <w:rFonts w:cs="Microsoft Sans Serif"/>
          <w:spacing w:val="-4"/>
          <w:sz w:val="16"/>
          <w:szCs w:val="16"/>
          <w:lang w:val="es-PR"/>
        </w:rPr>
        <w:t xml:space="preserve">, </w:t>
      </w:r>
      <w:r w:rsidRPr="00EF190F">
        <w:rPr>
          <w:rFonts w:cs="Microsoft Sans Serif"/>
          <w:bCs/>
          <w:i/>
          <w:spacing w:val="-4"/>
          <w:sz w:val="16"/>
          <w:szCs w:val="16"/>
          <w:lang w:val="es-CR"/>
        </w:rPr>
        <w:t>Excepción Preliminar, Fondo, Reparaciones y Costas.</w:t>
      </w:r>
      <w:r w:rsidRPr="00EF190F">
        <w:rPr>
          <w:rFonts w:cs="Microsoft Sans Serif"/>
          <w:bCs/>
          <w:spacing w:val="-4"/>
          <w:sz w:val="16"/>
          <w:szCs w:val="16"/>
          <w:lang w:val="es-CR"/>
        </w:rPr>
        <w:t xml:space="preserve"> Sentencia de 16 de noviembre de 2009. Serie C No. 205,</w:t>
      </w:r>
      <w:r w:rsidRPr="00EF190F">
        <w:rPr>
          <w:rFonts w:cs="Microsoft Sans Serif"/>
          <w:spacing w:val="-4"/>
          <w:sz w:val="16"/>
          <w:szCs w:val="16"/>
          <w:lang w:val="es-PR"/>
        </w:rPr>
        <w:t xml:space="preserve"> párr. 41. </w:t>
      </w:r>
      <w:r w:rsidRPr="00EF190F">
        <w:rPr>
          <w:rFonts w:cs="Microsoft Sans Serif"/>
          <w:spacing w:val="-4"/>
          <w:sz w:val="16"/>
          <w:szCs w:val="16"/>
          <w:lang w:val="es-EC"/>
        </w:rPr>
        <w:t>En el mismo sentido, véase</w:t>
      </w:r>
      <w:r w:rsidRPr="00EF190F">
        <w:rPr>
          <w:rFonts w:cs="Microsoft Sans Serif"/>
          <w:i/>
          <w:spacing w:val="-4"/>
          <w:sz w:val="16"/>
          <w:szCs w:val="16"/>
          <w:lang w:val="es-EC"/>
        </w:rPr>
        <w:t xml:space="preserve"> Caso Veliz Franco y otros Vs. Guatemala. </w:t>
      </w:r>
      <w:r w:rsidRPr="00EF190F">
        <w:rPr>
          <w:rFonts w:cs="Microsoft Sans Serif"/>
          <w:bCs/>
          <w:i/>
          <w:spacing w:val="-4"/>
          <w:sz w:val="16"/>
          <w:szCs w:val="16"/>
          <w:lang w:val="es-CR"/>
        </w:rPr>
        <w:t xml:space="preserve">Excepciones Preliminares, Fondo, Reparaciones y Costas. </w:t>
      </w:r>
      <w:r w:rsidRPr="00EF190F">
        <w:rPr>
          <w:rFonts w:cs="Microsoft Sans Serif"/>
          <w:bCs/>
          <w:spacing w:val="-4"/>
          <w:sz w:val="16"/>
          <w:szCs w:val="16"/>
          <w:lang w:val="es-CR"/>
        </w:rPr>
        <w:t>Sentencia de 19 de mayo de 2014. Serie C No. 277</w:t>
      </w:r>
      <w:r w:rsidRPr="00EF190F">
        <w:rPr>
          <w:rFonts w:cs="Microsoft Sans Serif"/>
          <w:spacing w:val="-4"/>
          <w:sz w:val="16"/>
          <w:szCs w:val="16"/>
          <w:lang w:val="es-EC"/>
        </w:rPr>
        <w:t xml:space="preserve">, nota al pie 22; </w:t>
      </w:r>
      <w:r w:rsidRPr="00EF190F">
        <w:rPr>
          <w:rFonts w:cs="Microsoft Sans Serif"/>
          <w:i/>
          <w:spacing w:val="-4"/>
          <w:sz w:val="16"/>
          <w:szCs w:val="16"/>
          <w:lang w:val="es-EC"/>
        </w:rPr>
        <w:t xml:space="preserve">Caso Espinoza Gonzáles Vs. Perú. </w:t>
      </w:r>
      <w:r w:rsidRPr="00EF190F">
        <w:rPr>
          <w:rFonts w:cs="Microsoft Sans Serif"/>
          <w:bCs/>
          <w:i/>
          <w:spacing w:val="-4"/>
          <w:sz w:val="16"/>
          <w:szCs w:val="16"/>
          <w:lang w:val="es-CR"/>
        </w:rPr>
        <w:t xml:space="preserve">Excepciones Preliminares, Fondo, Reparaciones y Costas. </w:t>
      </w:r>
      <w:r w:rsidRPr="00EF190F">
        <w:rPr>
          <w:rFonts w:cs="Microsoft Sans Serif"/>
          <w:bCs/>
          <w:spacing w:val="-4"/>
          <w:sz w:val="16"/>
          <w:szCs w:val="16"/>
          <w:lang w:val="es-CR"/>
        </w:rPr>
        <w:t>Sentencia de 20 de noviembre de 2014. Serie C No. 289,</w:t>
      </w:r>
      <w:r w:rsidRPr="00EF190F">
        <w:rPr>
          <w:rFonts w:cs="Microsoft Sans Serif"/>
          <w:spacing w:val="-4"/>
          <w:sz w:val="16"/>
          <w:szCs w:val="16"/>
          <w:lang w:val="es-EC"/>
        </w:rPr>
        <w:t xml:space="preserve"> </w:t>
      </w:r>
      <w:r w:rsidRPr="00EF190F">
        <w:rPr>
          <w:sz w:val="16"/>
          <w:szCs w:val="16"/>
        </w:rPr>
        <w:t>nota al pie 5</w:t>
      </w:r>
      <w:r w:rsidRPr="00EF190F">
        <w:rPr>
          <w:rFonts w:cs="Microsoft Sans Serif"/>
          <w:spacing w:val="-4"/>
          <w:sz w:val="16"/>
          <w:szCs w:val="16"/>
          <w:lang w:val="es-EC"/>
        </w:rPr>
        <w:t xml:space="preserve"> y </w:t>
      </w:r>
      <w:r w:rsidRPr="00EF190F">
        <w:rPr>
          <w:rFonts w:cs="Microsoft Sans Serif"/>
          <w:i/>
          <w:spacing w:val="-4"/>
          <w:sz w:val="16"/>
          <w:szCs w:val="16"/>
          <w:lang w:val="es-EC"/>
        </w:rPr>
        <w:t xml:space="preserve">Velásquez Paiz y otros Vs. Guatemala. </w:t>
      </w:r>
      <w:r w:rsidRPr="00EF190F">
        <w:rPr>
          <w:rFonts w:cs="Microsoft Sans Serif"/>
          <w:bCs/>
          <w:i/>
          <w:spacing w:val="-4"/>
          <w:sz w:val="16"/>
          <w:szCs w:val="16"/>
          <w:lang w:val="es-CR"/>
        </w:rPr>
        <w:t>Excepciones Preliminares, Fondo, Reparaciones y Costas.</w:t>
      </w:r>
      <w:r w:rsidRPr="00EF190F">
        <w:rPr>
          <w:rFonts w:cs="Microsoft Sans Serif"/>
          <w:bCs/>
          <w:spacing w:val="-4"/>
          <w:sz w:val="16"/>
          <w:szCs w:val="16"/>
          <w:lang w:val="es-CR"/>
        </w:rPr>
        <w:t xml:space="preserve"> Sentencia de 19 de noviembre de 2015. Serie C No. 307</w:t>
      </w:r>
      <w:r w:rsidRPr="00EF190F">
        <w:rPr>
          <w:rFonts w:cs="Microsoft Sans Serif"/>
          <w:spacing w:val="-4"/>
          <w:sz w:val="16"/>
          <w:szCs w:val="16"/>
          <w:lang w:val="es-EC"/>
        </w:rPr>
        <w:t>, párr. 19.</w:t>
      </w:r>
    </w:p>
  </w:footnote>
  <w:footnote w:id="19">
    <w:p w:rsidR="006A0E1C" w:rsidRPr="00EF190F" w:rsidRDefault="006A0E1C" w:rsidP="006A0E1C">
      <w:pPr>
        <w:pStyle w:val="FootnoteText"/>
        <w:contextualSpacing/>
        <w:rPr>
          <w:rFonts w:cs="Microsoft Sans Serif"/>
          <w:b/>
          <w:spacing w:val="-4"/>
          <w:sz w:val="16"/>
          <w:szCs w:val="16"/>
          <w:lang w:val="es-MX"/>
        </w:rPr>
      </w:pPr>
      <w:r w:rsidRPr="00EF190F">
        <w:rPr>
          <w:rStyle w:val="FootnoteReference"/>
          <w:rFonts w:cs="Microsoft Sans Serif"/>
          <w:spacing w:val="-4"/>
          <w:sz w:val="16"/>
          <w:szCs w:val="16"/>
        </w:rPr>
        <w:footnoteRef/>
      </w:r>
      <w:r w:rsidRPr="00EF190F">
        <w:rPr>
          <w:rFonts w:cs="Microsoft Sans Serif"/>
          <w:spacing w:val="-4"/>
          <w:sz w:val="16"/>
          <w:szCs w:val="16"/>
          <w:lang w:val="es-PR"/>
        </w:rPr>
        <w:t xml:space="preserve"> </w:t>
      </w:r>
      <w:r w:rsidRPr="00EF190F">
        <w:rPr>
          <w:rFonts w:cs="Microsoft Sans Serif"/>
          <w:spacing w:val="-4"/>
          <w:sz w:val="16"/>
          <w:szCs w:val="16"/>
        </w:rPr>
        <w:tab/>
      </w:r>
      <w:r w:rsidRPr="00EF190F">
        <w:rPr>
          <w:i/>
          <w:sz w:val="16"/>
          <w:szCs w:val="16"/>
        </w:rPr>
        <w:t>Cfr.</w:t>
      </w:r>
      <w:r w:rsidRPr="00EF190F">
        <w:rPr>
          <w:sz w:val="16"/>
          <w:szCs w:val="16"/>
        </w:rPr>
        <w:t xml:space="preserve"> </w:t>
      </w:r>
      <w:r w:rsidRPr="00EF190F">
        <w:rPr>
          <w:i/>
          <w:sz w:val="16"/>
          <w:szCs w:val="16"/>
        </w:rPr>
        <w:t xml:space="preserve">Caso Masacres de Río Negro Vs. Guatemala. Excepción Preliminar, Fondo, Reparaciones y Costas. </w:t>
      </w:r>
      <w:r w:rsidRPr="00EF190F">
        <w:rPr>
          <w:sz w:val="16"/>
          <w:szCs w:val="16"/>
        </w:rPr>
        <w:t xml:space="preserve">Sentencia de 4 de septiembre de 2012. Serie C No. 250, párr. 17; </w:t>
      </w:r>
      <w:r w:rsidRPr="00EF190F">
        <w:rPr>
          <w:i/>
          <w:sz w:val="16"/>
          <w:szCs w:val="16"/>
        </w:rPr>
        <w:t>Caso Gudiel Álvarez y otros ("Diario Militar") Vs. Guatemala. Fondo Reparaciones y Costas.</w:t>
      </w:r>
      <w:r w:rsidRPr="00EF190F">
        <w:rPr>
          <w:sz w:val="16"/>
          <w:szCs w:val="16"/>
        </w:rPr>
        <w:t xml:space="preserve"> Sentencia de 20 noviembre de 2012. Serie C No. 253, párr. 17; </w:t>
      </w:r>
      <w:r w:rsidRPr="00EF190F">
        <w:rPr>
          <w:rFonts w:cs="Microsoft Sans Serif"/>
          <w:i/>
          <w:spacing w:val="-4"/>
          <w:sz w:val="16"/>
          <w:szCs w:val="16"/>
          <w:lang w:val="es-EC"/>
        </w:rPr>
        <w:t xml:space="preserve">Caso Veliz Franco y otros Vs. Guatemala, </w:t>
      </w:r>
      <w:r w:rsidRPr="00EF190F">
        <w:rPr>
          <w:rFonts w:cs="Microsoft Sans Serif"/>
          <w:spacing w:val="-4"/>
          <w:sz w:val="16"/>
          <w:szCs w:val="16"/>
          <w:lang w:val="es-EC"/>
        </w:rPr>
        <w:t xml:space="preserve">párr. 36, y </w:t>
      </w:r>
      <w:r w:rsidRPr="00EF190F">
        <w:rPr>
          <w:rFonts w:cs="Microsoft Sans Serif"/>
          <w:i/>
          <w:spacing w:val="-4"/>
          <w:sz w:val="16"/>
          <w:szCs w:val="16"/>
          <w:lang w:val="es-EC"/>
        </w:rPr>
        <w:t>Caso Velásquez Paiz y otros Vs. Guatemala</w:t>
      </w:r>
      <w:r w:rsidRPr="00EF190F">
        <w:rPr>
          <w:rFonts w:cs="Microsoft Sans Serif"/>
          <w:spacing w:val="-4"/>
          <w:sz w:val="16"/>
          <w:szCs w:val="16"/>
          <w:lang w:val="es-EC"/>
        </w:rPr>
        <w:t>, párr. 19.</w:t>
      </w:r>
    </w:p>
  </w:footnote>
  <w:footnote w:id="20">
    <w:p w:rsidR="006A0E1C" w:rsidRPr="00EF190F" w:rsidRDefault="006A0E1C" w:rsidP="006A0E1C">
      <w:pPr>
        <w:pStyle w:val="FootnoteText"/>
        <w:contextualSpacing/>
        <w:rPr>
          <w:i/>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Véase, por ejemplo, </w:t>
      </w:r>
      <w:r w:rsidRPr="00EF190F">
        <w:rPr>
          <w:i/>
          <w:sz w:val="16"/>
          <w:szCs w:val="16"/>
        </w:rPr>
        <w:t xml:space="preserve">Caso de las comunidades afrodescendientes desplazadas de la Cuenca del Río Cacarica (Operación Génesis) Vs. Colombia. </w:t>
      </w:r>
      <w:r w:rsidRPr="00EF190F">
        <w:rPr>
          <w:bCs/>
          <w:i/>
          <w:sz w:val="16"/>
          <w:szCs w:val="16"/>
          <w:lang w:val="es-CR"/>
        </w:rPr>
        <w:t xml:space="preserve">Excepciones Preliminares, Fondo, Reparaciones y Costas. </w:t>
      </w:r>
      <w:r w:rsidRPr="00EF190F">
        <w:rPr>
          <w:bCs/>
          <w:sz w:val="16"/>
          <w:szCs w:val="16"/>
          <w:lang w:val="es-CR"/>
        </w:rPr>
        <w:t>Sentencia de 20 de noviembre de 2013. Serie C No. 270</w:t>
      </w:r>
      <w:r w:rsidRPr="00EF190F">
        <w:rPr>
          <w:sz w:val="16"/>
          <w:szCs w:val="16"/>
        </w:rPr>
        <w:t>,</w:t>
      </w:r>
      <w:r w:rsidRPr="00EF190F">
        <w:rPr>
          <w:spacing w:val="-4"/>
          <w:sz w:val="16"/>
          <w:szCs w:val="16"/>
        </w:rPr>
        <w:t xml:space="preserve"> párr. 221. y </w:t>
      </w:r>
      <w:r w:rsidRPr="00EF190F">
        <w:rPr>
          <w:i/>
          <w:spacing w:val="-4"/>
          <w:sz w:val="16"/>
          <w:szCs w:val="16"/>
        </w:rPr>
        <w:t>Masacre de Santo Domingo Vs. Colombia</w:t>
      </w:r>
      <w:r w:rsidRPr="00EF190F">
        <w:rPr>
          <w:spacing w:val="-4"/>
          <w:sz w:val="16"/>
          <w:szCs w:val="16"/>
        </w:rPr>
        <w:t xml:space="preserve">, </w:t>
      </w:r>
      <w:r w:rsidRPr="00EF190F">
        <w:rPr>
          <w:bCs/>
          <w:i/>
          <w:spacing w:val="-4"/>
          <w:sz w:val="16"/>
          <w:szCs w:val="16"/>
          <w:lang w:val="es-CR"/>
        </w:rPr>
        <w:t xml:space="preserve">Excepciones Preliminares, Fondo y Reparaciones. </w:t>
      </w:r>
      <w:r w:rsidRPr="00EF190F">
        <w:rPr>
          <w:bCs/>
          <w:spacing w:val="-4"/>
          <w:sz w:val="16"/>
          <w:szCs w:val="16"/>
          <w:lang w:val="es-CR"/>
        </w:rPr>
        <w:t>Sentencia de 30 de noviembre de 2012. Serie C No. 259.</w:t>
      </w:r>
      <w:r w:rsidRPr="00EF190F">
        <w:rPr>
          <w:spacing w:val="-4"/>
          <w:sz w:val="16"/>
          <w:szCs w:val="16"/>
        </w:rPr>
        <w:t xml:space="preserve"> párr. 187.</w:t>
      </w:r>
    </w:p>
  </w:footnote>
  <w:footnote w:id="21">
    <w:p w:rsidR="006A0E1C" w:rsidRPr="00EF190F" w:rsidRDefault="006A0E1C" w:rsidP="006A0E1C">
      <w:pPr>
        <w:pStyle w:val="FootnoteText"/>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Véase, </w:t>
      </w:r>
      <w:r w:rsidRPr="00EF190F">
        <w:rPr>
          <w:i/>
          <w:spacing w:val="-4"/>
          <w:sz w:val="16"/>
          <w:szCs w:val="16"/>
        </w:rPr>
        <w:t>Caso de la Masacre de Las Dos Erres Vs. Guatemala</w:t>
      </w:r>
      <w:r w:rsidRPr="00EF190F">
        <w:rPr>
          <w:sz w:val="16"/>
          <w:szCs w:val="16"/>
        </w:rPr>
        <w:t xml:space="preserve">. </w:t>
      </w:r>
      <w:r w:rsidRPr="00EF190F">
        <w:rPr>
          <w:bCs/>
          <w:i/>
          <w:sz w:val="16"/>
          <w:szCs w:val="16"/>
          <w:lang w:val="es-CR"/>
        </w:rPr>
        <w:t xml:space="preserve">Excepción Preliminar, Fondo, Reparaciones y Costas. </w:t>
      </w:r>
      <w:r w:rsidRPr="00EF190F">
        <w:rPr>
          <w:bCs/>
          <w:sz w:val="16"/>
          <w:szCs w:val="16"/>
          <w:lang w:val="es-CR"/>
        </w:rPr>
        <w:t>Sentencia de 24 de noviembre de 2009. Serie C No. 211,</w:t>
      </w:r>
      <w:r w:rsidRPr="00EF190F">
        <w:rPr>
          <w:spacing w:val="-4"/>
          <w:sz w:val="16"/>
          <w:szCs w:val="16"/>
        </w:rPr>
        <w:t xml:space="preserve"> párr. 140; </w:t>
      </w:r>
      <w:r w:rsidRPr="00EF190F">
        <w:rPr>
          <w:rStyle w:val="Strong"/>
          <w:rFonts w:eastAsia="MS Gothic"/>
          <w:b w:val="0"/>
          <w:i/>
          <w:color w:val="000000"/>
          <w:sz w:val="16"/>
          <w:szCs w:val="16"/>
          <w:shd w:val="clear" w:color="auto" w:fill="FFFFFF"/>
        </w:rPr>
        <w:t>Caso Almonacid Arellano y otros Vs. Chile. Excepciones Preliminares, Fondo, Reparaciones y Costas.</w:t>
      </w:r>
      <w:r w:rsidRPr="00EF190F">
        <w:rPr>
          <w:rStyle w:val="Strong"/>
          <w:rFonts w:eastAsia="MS Gothic"/>
          <w:b w:val="0"/>
          <w:color w:val="000000"/>
          <w:sz w:val="16"/>
          <w:szCs w:val="16"/>
          <w:shd w:val="clear" w:color="auto" w:fill="FFFFFF"/>
        </w:rPr>
        <w:t xml:space="preserve"> Sentencia de 26 de septiembre de 2006. Serie C No. 154, párr. 93 </w:t>
      </w:r>
      <w:r w:rsidRPr="00EF190F">
        <w:rPr>
          <w:rStyle w:val="Strong"/>
          <w:rFonts w:eastAsia="MS Gothic"/>
          <w:b w:val="0"/>
          <w:i/>
          <w:color w:val="000000"/>
          <w:sz w:val="16"/>
          <w:szCs w:val="16"/>
          <w:shd w:val="clear" w:color="auto" w:fill="FFFFFF"/>
        </w:rPr>
        <w:t>et seq</w:t>
      </w:r>
      <w:r w:rsidRPr="00EF190F">
        <w:rPr>
          <w:rStyle w:val="Strong"/>
          <w:rFonts w:eastAsia="MS Gothic"/>
          <w:b w:val="0"/>
          <w:color w:val="000000"/>
          <w:sz w:val="16"/>
          <w:szCs w:val="16"/>
          <w:shd w:val="clear" w:color="auto" w:fill="FFFFFF"/>
        </w:rPr>
        <w:t>.</w:t>
      </w:r>
      <w:r w:rsidRPr="00EF190F">
        <w:rPr>
          <w:rStyle w:val="Strong"/>
          <w:rFonts w:eastAsia="MS Gothic"/>
          <w:b w:val="0"/>
          <w:i/>
          <w:color w:val="000000"/>
          <w:sz w:val="16"/>
          <w:szCs w:val="16"/>
          <w:shd w:val="clear" w:color="auto" w:fill="FFFFFF"/>
        </w:rPr>
        <w:t>;</w:t>
      </w:r>
      <w:r w:rsidRPr="00EF190F">
        <w:rPr>
          <w:rStyle w:val="Strong"/>
          <w:rFonts w:eastAsia="MS Gothic"/>
          <w:color w:val="000000"/>
          <w:sz w:val="16"/>
          <w:szCs w:val="16"/>
          <w:shd w:val="clear" w:color="auto" w:fill="FFFFFF"/>
        </w:rPr>
        <w:t xml:space="preserve"> </w:t>
      </w:r>
      <w:r w:rsidRPr="00EF190F">
        <w:rPr>
          <w:rStyle w:val="Strong"/>
          <w:rFonts w:eastAsia="MS Gothic"/>
          <w:b w:val="0"/>
          <w:i/>
          <w:color w:val="000000"/>
          <w:sz w:val="16"/>
          <w:szCs w:val="16"/>
          <w:shd w:val="clear" w:color="auto" w:fill="FFFFFF"/>
        </w:rPr>
        <w:t xml:space="preserve">Caso Gelman Vs. Uruguay. Fondo y Reparaciones. </w:t>
      </w:r>
      <w:r w:rsidRPr="00EF190F">
        <w:rPr>
          <w:rStyle w:val="Strong"/>
          <w:rFonts w:eastAsia="MS Gothic"/>
          <w:b w:val="0"/>
          <w:color w:val="000000"/>
          <w:sz w:val="16"/>
          <w:szCs w:val="16"/>
          <w:shd w:val="clear" w:color="auto" w:fill="FFFFFF"/>
        </w:rPr>
        <w:t>Sentencia de 24 de febrero de 2011. Serie C No. 221, párr. 99, píe de página 113</w:t>
      </w:r>
      <w:r w:rsidRPr="00EF190F">
        <w:rPr>
          <w:spacing w:val="-4"/>
          <w:sz w:val="16"/>
          <w:szCs w:val="16"/>
        </w:rPr>
        <w:t>,</w:t>
      </w:r>
      <w:r w:rsidRPr="00EF190F">
        <w:rPr>
          <w:b/>
          <w:bCs/>
          <w:color w:val="000000"/>
          <w:sz w:val="16"/>
          <w:szCs w:val="16"/>
          <w:shd w:val="clear" w:color="auto" w:fill="FFFFFF"/>
          <w:lang w:val="es-CR"/>
        </w:rPr>
        <w:t xml:space="preserve"> </w:t>
      </w:r>
      <w:r w:rsidRPr="00EF190F">
        <w:rPr>
          <w:bCs/>
          <w:i/>
          <w:spacing w:val="-4"/>
          <w:sz w:val="16"/>
          <w:szCs w:val="16"/>
          <w:lang w:val="es-CR"/>
        </w:rPr>
        <w:t>Caso Contreras y otros Vs. El Salvador. Fondo, Reparaciones y Costas</w:t>
      </w:r>
      <w:r w:rsidRPr="00EF190F">
        <w:rPr>
          <w:bCs/>
          <w:spacing w:val="-4"/>
          <w:sz w:val="16"/>
          <w:szCs w:val="16"/>
          <w:lang w:val="es-CR"/>
        </w:rPr>
        <w:t>. Sentencia de 31 de agosto de 2011. Serie C No. 232, párr. 82, pie de página 102.</w:t>
      </w:r>
    </w:p>
  </w:footnote>
  <w:footnote w:id="22">
    <w:p w:rsidR="006A0E1C" w:rsidRPr="00EF190F" w:rsidRDefault="006A0E1C" w:rsidP="006A0E1C">
      <w:pPr>
        <w:pStyle w:val="FootnoteText"/>
        <w:rPr>
          <w:i/>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Véase, </w:t>
      </w:r>
      <w:r w:rsidRPr="00EF190F">
        <w:rPr>
          <w:sz w:val="16"/>
          <w:szCs w:val="16"/>
        </w:rPr>
        <w:t>el artículo 64 de la Convención Americana.</w:t>
      </w:r>
    </w:p>
  </w:footnote>
  <w:footnote w:id="23">
    <w:p w:rsidR="006A0E1C" w:rsidRPr="00EF190F" w:rsidRDefault="006A0E1C" w:rsidP="006A0E1C">
      <w:pPr>
        <w:pStyle w:val="FootnoteText"/>
        <w:contextualSpacing/>
        <w:rPr>
          <w:spacing w:val="-4"/>
          <w:sz w:val="16"/>
          <w:szCs w:val="16"/>
        </w:rPr>
      </w:pPr>
      <w:r w:rsidRPr="00EF190F">
        <w:rPr>
          <w:spacing w:val="-4"/>
          <w:sz w:val="16"/>
          <w:szCs w:val="16"/>
          <w:vertAlign w:val="superscript"/>
        </w:rPr>
        <w:footnoteRef/>
      </w:r>
      <w:r w:rsidRPr="00EF190F">
        <w:rPr>
          <w:spacing w:val="-4"/>
          <w:sz w:val="16"/>
          <w:szCs w:val="16"/>
          <w:vertAlign w:val="superscript"/>
        </w:rPr>
        <w:t xml:space="preserve"> </w:t>
      </w:r>
      <w:r w:rsidRPr="00EF190F">
        <w:rPr>
          <w:spacing w:val="-4"/>
          <w:sz w:val="16"/>
          <w:szCs w:val="16"/>
        </w:rPr>
        <w:t xml:space="preserve"> </w:t>
      </w:r>
      <w:r w:rsidRPr="00EF190F">
        <w:rPr>
          <w:spacing w:val="-4"/>
          <w:sz w:val="16"/>
          <w:szCs w:val="16"/>
        </w:rPr>
        <w:tab/>
        <w:t xml:space="preserve">Al respecto, citó el </w:t>
      </w:r>
      <w:r w:rsidRPr="00EF190F">
        <w:rPr>
          <w:i/>
          <w:spacing w:val="-4"/>
          <w:sz w:val="16"/>
          <w:szCs w:val="16"/>
        </w:rPr>
        <w:t>Caso Masacres de El Mozote y lugares aledaños Vs. El Salvador</w:t>
      </w:r>
      <w:r w:rsidRPr="00EF190F">
        <w:rPr>
          <w:spacing w:val="-4"/>
          <w:sz w:val="16"/>
          <w:szCs w:val="16"/>
        </w:rPr>
        <w:t xml:space="preserve"> y el Voto Concurrente del Juez Diego García Sayán en el mismo.</w:t>
      </w:r>
    </w:p>
  </w:footnote>
  <w:footnote w:id="24">
    <w:p w:rsidR="006A0E1C" w:rsidRPr="00EF190F" w:rsidRDefault="006A0E1C" w:rsidP="006A0E1C">
      <w:pPr>
        <w:pStyle w:val="FootnoteText"/>
        <w:contextualSpacing/>
        <w:rPr>
          <w:rFonts w:eastAsia="Batang"/>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w:t>
      </w:r>
      <w:r w:rsidRPr="00EF190F">
        <w:rPr>
          <w:rFonts w:eastAsia="Verdana" w:cs="Verdana"/>
          <w:i/>
          <w:sz w:val="16"/>
          <w:szCs w:val="16"/>
        </w:rPr>
        <w:t xml:space="preserve">Caso Velásquez Rodríguez Vs. Honduras. Excepciones Preliminares. </w:t>
      </w:r>
      <w:r w:rsidRPr="00EF190F">
        <w:rPr>
          <w:rFonts w:eastAsia="Verdana" w:cs="Verdana"/>
          <w:sz w:val="16"/>
          <w:szCs w:val="16"/>
        </w:rPr>
        <w:t>Sentencia de 26 de junio de 1987. Serie C No. 1</w:t>
      </w:r>
      <w:r w:rsidRPr="00EF190F">
        <w:rPr>
          <w:rFonts w:eastAsia="Verdana" w:cs="Verdana"/>
          <w:i/>
          <w:sz w:val="16"/>
          <w:szCs w:val="16"/>
        </w:rPr>
        <w:t>,</w:t>
      </w:r>
      <w:r w:rsidRPr="00EF190F">
        <w:rPr>
          <w:rFonts w:eastAsia="Verdana" w:cs="Verdana"/>
          <w:i/>
          <w:spacing w:val="15"/>
          <w:sz w:val="16"/>
          <w:szCs w:val="16"/>
        </w:rPr>
        <w:t xml:space="preserve"> </w:t>
      </w:r>
      <w:r w:rsidRPr="00EF190F">
        <w:rPr>
          <w:rFonts w:eastAsia="Verdana" w:cs="Verdana"/>
          <w:sz w:val="16"/>
          <w:szCs w:val="16"/>
        </w:rPr>
        <w:t>p</w:t>
      </w:r>
      <w:r w:rsidRPr="00EF190F">
        <w:rPr>
          <w:rFonts w:eastAsia="Verdana" w:cs="Verdana"/>
          <w:spacing w:val="-3"/>
          <w:sz w:val="16"/>
          <w:szCs w:val="16"/>
        </w:rPr>
        <w:t>á</w:t>
      </w:r>
      <w:r w:rsidRPr="00EF190F">
        <w:rPr>
          <w:rFonts w:eastAsia="Verdana" w:cs="Verdana"/>
          <w:spacing w:val="1"/>
          <w:sz w:val="16"/>
          <w:szCs w:val="16"/>
        </w:rPr>
        <w:t>rr</w:t>
      </w:r>
      <w:r w:rsidRPr="00EF190F">
        <w:rPr>
          <w:rFonts w:eastAsia="Verdana" w:cs="Verdana"/>
          <w:sz w:val="16"/>
          <w:szCs w:val="16"/>
        </w:rPr>
        <w:t>.</w:t>
      </w:r>
      <w:r w:rsidRPr="00EF190F">
        <w:rPr>
          <w:rFonts w:eastAsia="Verdana" w:cs="Verdana"/>
          <w:spacing w:val="15"/>
          <w:sz w:val="16"/>
          <w:szCs w:val="16"/>
        </w:rPr>
        <w:t xml:space="preserve"> </w:t>
      </w:r>
      <w:r w:rsidRPr="00EF190F">
        <w:rPr>
          <w:rFonts w:eastAsia="Verdana" w:cs="Verdana"/>
          <w:spacing w:val="-1"/>
          <w:sz w:val="16"/>
          <w:szCs w:val="16"/>
        </w:rPr>
        <w:t>8</w:t>
      </w:r>
      <w:r w:rsidRPr="00EF190F">
        <w:rPr>
          <w:rFonts w:eastAsia="Verdana" w:cs="Verdana"/>
          <w:spacing w:val="1"/>
          <w:sz w:val="16"/>
          <w:szCs w:val="16"/>
        </w:rPr>
        <w:t>8</w:t>
      </w:r>
      <w:r w:rsidRPr="00EF190F">
        <w:rPr>
          <w:sz w:val="16"/>
          <w:szCs w:val="16"/>
        </w:rPr>
        <w:t xml:space="preserve">, </w:t>
      </w:r>
      <w:r w:rsidRPr="00EF190F">
        <w:rPr>
          <w:i/>
          <w:sz w:val="16"/>
          <w:szCs w:val="16"/>
        </w:rPr>
        <w:t>Caso Herrera Espinoza y otros Vs. Ecuador. Excepciones Preliminares, Fondo, Reparaciones y Costas</w:t>
      </w:r>
      <w:r w:rsidRPr="00EF190F">
        <w:rPr>
          <w:sz w:val="16"/>
          <w:szCs w:val="16"/>
        </w:rPr>
        <w:t>. Sentencia de 1 de septiembre de 2016. Serie C No. 316, párr. 25.</w:t>
      </w:r>
    </w:p>
  </w:footnote>
  <w:footnote w:id="25">
    <w:p w:rsidR="006A0E1C" w:rsidRPr="00EF190F" w:rsidRDefault="006A0E1C" w:rsidP="006A0E1C">
      <w:pPr>
        <w:pStyle w:val="FootnoteText"/>
        <w:contextualSpacing/>
        <w:rPr>
          <w:i/>
          <w:sz w:val="16"/>
          <w:szCs w:val="16"/>
        </w:rPr>
      </w:pPr>
      <w:r w:rsidRPr="00EF190F">
        <w:rPr>
          <w:rStyle w:val="FootnoteReference"/>
          <w:sz w:val="16"/>
          <w:szCs w:val="16"/>
        </w:rPr>
        <w:footnoteRef/>
      </w:r>
      <w:r w:rsidRPr="00EF190F">
        <w:rPr>
          <w:sz w:val="16"/>
          <w:szCs w:val="16"/>
        </w:rPr>
        <w:tab/>
      </w:r>
      <w:r w:rsidRPr="00EF190F">
        <w:rPr>
          <w:i/>
          <w:sz w:val="16"/>
          <w:szCs w:val="16"/>
        </w:rPr>
        <w:t xml:space="preserve">Cfr. Caso Reverón Trujillo Vs. Venezuela. Excepción Preliminar, Fondo, Reparaciones y Costas. </w:t>
      </w:r>
      <w:r w:rsidRPr="00EF190F">
        <w:rPr>
          <w:sz w:val="16"/>
          <w:szCs w:val="16"/>
        </w:rPr>
        <w:t xml:space="preserve">Sentencia de 30 de junio de 2009. Serie C No. 197, párr. 23, y </w:t>
      </w:r>
      <w:r w:rsidRPr="00EF190F">
        <w:rPr>
          <w:i/>
          <w:sz w:val="16"/>
          <w:szCs w:val="16"/>
        </w:rPr>
        <w:t>Caso Flor Freire Vs. Ecuador. Excepción Preliminar, Fondo, Reparaciones y Costas</w:t>
      </w:r>
      <w:r w:rsidRPr="00EF190F">
        <w:rPr>
          <w:sz w:val="16"/>
          <w:szCs w:val="16"/>
        </w:rPr>
        <w:t>. Sentencia de 31 de agosto de 2016. Serie C No. 315</w:t>
      </w:r>
      <w:r w:rsidRPr="00EF190F">
        <w:rPr>
          <w:i/>
          <w:sz w:val="16"/>
          <w:szCs w:val="16"/>
        </w:rPr>
        <w:t xml:space="preserve">, </w:t>
      </w:r>
      <w:r w:rsidRPr="00EF190F">
        <w:rPr>
          <w:sz w:val="16"/>
          <w:szCs w:val="16"/>
        </w:rPr>
        <w:t xml:space="preserve">párr. 24. </w:t>
      </w:r>
    </w:p>
  </w:footnote>
  <w:footnote w:id="26">
    <w:p w:rsidR="006A0E1C" w:rsidRPr="00EF190F" w:rsidRDefault="006A0E1C" w:rsidP="006A0E1C">
      <w:pPr>
        <w:pStyle w:val="FootnoteText"/>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Escrito del Estado de 10 de septiembre de 2008 (expediente de prueba, folio 2954).</w:t>
      </w:r>
    </w:p>
  </w:footnote>
  <w:footnote w:id="27">
    <w:p w:rsidR="006A0E1C" w:rsidRPr="00EF190F" w:rsidRDefault="006A0E1C" w:rsidP="006A0E1C">
      <w:pPr>
        <w:pStyle w:val="FootnoteText"/>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Escrito del Estado de 10 de septiembre de 2008 (expediente de prueba, folio 2954).</w:t>
      </w:r>
    </w:p>
  </w:footnote>
  <w:footnote w:id="28">
    <w:p w:rsidR="006A0E1C" w:rsidRPr="00EF190F" w:rsidRDefault="006A0E1C" w:rsidP="006A0E1C">
      <w:pPr>
        <w:pStyle w:val="FootnoteText"/>
        <w:contextualSpacing/>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t xml:space="preserve">Escrito de contestación del Estado. (expediente de fondo, folio 1042), y </w:t>
      </w:r>
      <w:r w:rsidRPr="00EF190F">
        <w:rPr>
          <w:sz w:val="16"/>
          <w:szCs w:val="16"/>
        </w:rPr>
        <w:t>Escrito del Estado de 28 de abril de 2010 (expediente de prueba, folio 3220 y 3221).</w:t>
      </w:r>
    </w:p>
  </w:footnote>
  <w:footnote w:id="29">
    <w:p w:rsidR="006A0E1C" w:rsidRPr="00EF190F" w:rsidRDefault="006A0E1C" w:rsidP="006A0E1C">
      <w:pPr>
        <w:pStyle w:val="FootnoteText"/>
        <w:contextualSpacing/>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t xml:space="preserve">Véase, </w:t>
      </w:r>
      <w:r w:rsidRPr="00EF190F">
        <w:rPr>
          <w:i/>
          <w:sz w:val="16"/>
          <w:szCs w:val="16"/>
          <w:lang w:val="es-PR"/>
        </w:rPr>
        <w:t>Caso Masacres de Río Negro Vs. Guatemala</w:t>
      </w:r>
      <w:r w:rsidRPr="00EF190F">
        <w:rPr>
          <w:sz w:val="16"/>
          <w:szCs w:val="16"/>
          <w:lang w:val="es-PR"/>
        </w:rPr>
        <w:t xml:space="preserve">, párr. 194, y </w:t>
      </w:r>
      <w:r w:rsidRPr="00EF190F">
        <w:rPr>
          <w:i/>
          <w:sz w:val="16"/>
          <w:szCs w:val="16"/>
          <w:lang w:val="es-PR"/>
        </w:rPr>
        <w:t>Caso Masacres de El Mozote y lugares aledaños Vs. El Salvador,</w:t>
      </w:r>
      <w:r w:rsidRPr="00EF190F">
        <w:rPr>
          <w:sz w:val="16"/>
          <w:szCs w:val="16"/>
          <w:lang w:val="es-PR"/>
        </w:rPr>
        <w:t xml:space="preserve"> párrs. 242 a 244.</w:t>
      </w:r>
    </w:p>
  </w:footnote>
  <w:footnote w:id="30">
    <w:p w:rsidR="006A0E1C" w:rsidRPr="00EF190F" w:rsidRDefault="006A0E1C" w:rsidP="006A0E1C">
      <w:pPr>
        <w:pStyle w:val="FootnoteText"/>
        <w:contextualSpacing/>
        <w:rPr>
          <w:sz w:val="16"/>
          <w:szCs w:val="16"/>
          <w:lang w:val="es-PR"/>
        </w:rPr>
      </w:pPr>
      <w:r w:rsidRPr="00EF190F">
        <w:rPr>
          <w:rStyle w:val="FootnoteReference"/>
          <w:sz w:val="16"/>
          <w:szCs w:val="16"/>
        </w:rPr>
        <w:footnoteRef/>
      </w:r>
      <w:r w:rsidRPr="00EF190F">
        <w:rPr>
          <w:i/>
          <w:sz w:val="16"/>
          <w:szCs w:val="16"/>
        </w:rPr>
        <w:t xml:space="preserve"> </w:t>
      </w:r>
      <w:r w:rsidRPr="00EF190F">
        <w:rPr>
          <w:i/>
          <w:sz w:val="16"/>
          <w:szCs w:val="16"/>
        </w:rPr>
        <w:tab/>
      </w:r>
      <w:r w:rsidRPr="00EF190F">
        <w:rPr>
          <w:sz w:val="16"/>
          <w:szCs w:val="16"/>
        </w:rPr>
        <w:t xml:space="preserve">Este Tribunal ha sostenido que la responsabilidad estatal bajo la Convención sólo puede ser exigida a nivel internacional después de que el Estado haya tenido la oportunidad de declarar la violación y reparar el daño ocasionado por sus propios medios. Esto se asienta en el principio de complementariedad, que informa transversalmente el sistema interamericano de derechos humanos, el cual es, tal como lo expresa el Preámbulo de la misma Convención, “coadyuvante o complementario de la [protección] que ofrece el derecho interno de los Estados americanos”. </w:t>
      </w:r>
      <w:r w:rsidRPr="00EF190F">
        <w:rPr>
          <w:i/>
          <w:sz w:val="16"/>
          <w:szCs w:val="16"/>
          <w:lang w:val="es-PR"/>
        </w:rPr>
        <w:t>Cfr</w:t>
      </w:r>
      <w:r w:rsidRPr="00EF190F">
        <w:rPr>
          <w:sz w:val="16"/>
          <w:szCs w:val="16"/>
          <w:lang w:val="es-PR"/>
        </w:rPr>
        <w:t xml:space="preserve">. </w:t>
      </w:r>
      <w:r w:rsidRPr="00EF190F">
        <w:rPr>
          <w:i/>
          <w:sz w:val="16"/>
          <w:szCs w:val="16"/>
          <w:lang w:val="es-PR"/>
        </w:rPr>
        <w:t>Caso Tarazona Arrieta,</w:t>
      </w:r>
      <w:r w:rsidRPr="00EF190F">
        <w:rPr>
          <w:bCs/>
          <w:color w:val="000000"/>
          <w:sz w:val="16"/>
          <w:szCs w:val="16"/>
          <w:shd w:val="clear" w:color="auto" w:fill="FFFFFF"/>
          <w:lang w:val="es-CR"/>
        </w:rPr>
        <w:t xml:space="preserve"> </w:t>
      </w:r>
      <w:r w:rsidRPr="00EF190F">
        <w:rPr>
          <w:bCs/>
          <w:i/>
          <w:sz w:val="16"/>
          <w:szCs w:val="16"/>
          <w:lang w:val="es-CR"/>
        </w:rPr>
        <w:t xml:space="preserve">Excepción Preliminar, Fondo, Reparaciones y Costas. </w:t>
      </w:r>
      <w:r w:rsidRPr="00EF190F">
        <w:rPr>
          <w:bCs/>
          <w:sz w:val="16"/>
          <w:szCs w:val="16"/>
          <w:lang w:val="es-CR"/>
        </w:rPr>
        <w:t>Sentencia de 15 de octubre de 2014. Serie C No. 286.</w:t>
      </w:r>
      <w:r w:rsidRPr="00EF190F">
        <w:rPr>
          <w:i/>
          <w:sz w:val="16"/>
          <w:szCs w:val="16"/>
          <w:lang w:val="es-PR"/>
        </w:rPr>
        <w:t xml:space="preserve"> </w:t>
      </w:r>
      <w:r w:rsidRPr="00EF190F">
        <w:rPr>
          <w:sz w:val="16"/>
          <w:szCs w:val="16"/>
          <w:lang w:val="es-PR"/>
        </w:rPr>
        <w:t>párr. 137.</w:t>
      </w:r>
    </w:p>
  </w:footnote>
  <w:footnote w:id="31">
    <w:p w:rsidR="006A0E1C" w:rsidRPr="00EF190F" w:rsidRDefault="006A0E1C" w:rsidP="006A0E1C">
      <w:pPr>
        <w:pStyle w:val="FootnoteText"/>
        <w:contextualSpacing/>
        <w:rPr>
          <w:sz w:val="16"/>
          <w:szCs w:val="16"/>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i/>
          <w:sz w:val="16"/>
          <w:szCs w:val="16"/>
          <w:lang w:val="es-PR"/>
        </w:rPr>
        <w:t xml:space="preserve">Cfr. Masacres de Rio Negro Vs. </w:t>
      </w:r>
      <w:r w:rsidRPr="00EF190F">
        <w:rPr>
          <w:i/>
          <w:sz w:val="16"/>
          <w:szCs w:val="16"/>
        </w:rPr>
        <w:t>Guatemala</w:t>
      </w:r>
      <w:r w:rsidRPr="00EF190F">
        <w:rPr>
          <w:bCs/>
          <w:i/>
          <w:sz w:val="16"/>
          <w:szCs w:val="16"/>
          <w:lang w:val="es-CR"/>
        </w:rPr>
        <w:t xml:space="preserve">, </w:t>
      </w:r>
      <w:r w:rsidRPr="00EF190F">
        <w:rPr>
          <w:sz w:val="16"/>
          <w:szCs w:val="16"/>
        </w:rPr>
        <w:t>párr. 296</w:t>
      </w:r>
      <w:r w:rsidRPr="00EF190F">
        <w:rPr>
          <w:i/>
          <w:sz w:val="16"/>
          <w:szCs w:val="16"/>
        </w:rPr>
        <w:t>; Caso de las comunidades afrodescendientes desplazadas de la Cuenca del Río Cacarica (Operación Génesis) Vs. Colombia</w:t>
      </w:r>
      <w:r w:rsidRPr="00EF190F">
        <w:rPr>
          <w:sz w:val="16"/>
          <w:szCs w:val="16"/>
        </w:rPr>
        <w:t>, párrs. 469 a 476</w:t>
      </w:r>
      <w:r w:rsidRPr="00EF190F">
        <w:rPr>
          <w:i/>
          <w:sz w:val="16"/>
          <w:szCs w:val="16"/>
        </w:rPr>
        <w:t xml:space="preserve">, y Caso </w:t>
      </w:r>
      <w:r w:rsidRPr="00EF190F">
        <w:rPr>
          <w:bCs/>
          <w:i/>
          <w:sz w:val="16"/>
          <w:szCs w:val="16"/>
        </w:rPr>
        <w:t xml:space="preserve">Rodríguez Vera y otros (Desaparecidos del Palacio de Justicia) Vs. Colombia, </w:t>
      </w:r>
      <w:r w:rsidRPr="00EF190F">
        <w:rPr>
          <w:bCs/>
          <w:sz w:val="16"/>
          <w:szCs w:val="16"/>
        </w:rPr>
        <w:t>párr. 548.</w:t>
      </w:r>
    </w:p>
  </w:footnote>
  <w:footnote w:id="32">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rPr>
        <w:t xml:space="preserve"> </w:t>
      </w:r>
      <w:r w:rsidRPr="00EF190F">
        <w:rPr>
          <w:sz w:val="16"/>
          <w:szCs w:val="16"/>
        </w:rPr>
        <w:tab/>
      </w:r>
      <w:r w:rsidRPr="00EF190F">
        <w:rPr>
          <w:sz w:val="16"/>
          <w:szCs w:val="16"/>
          <w:lang w:val="es-PR"/>
        </w:rPr>
        <w:t xml:space="preserve">Mediante escrito de 29 de julio de 2011, presentado en el trámite ante la Comisión, Guatemala manifestó que, “tomando en consideración que el Presidente de la República […] ha pedido perdón en el nombre del Estado a familiares de algunas víctimas por las angustias y el dolor causado durante el conflicto armado interno, […] en el presente caso acepta su responsabilidad internacional por las violaciones alegadas y fundamentadas por los peticionarios, a partir de la ejecución de los hechos hasta la presente fecha, respecto a las víctimas plenamente identificadas, cuya violación de derechos se comprueba mediante los expedientes abiertos ante las instituciones de justicia nacional, y respecto a las víctimas individualizadas que se encuentren documentadas en el Informe de la Comisión para el Esclarecimiento Histórico” </w:t>
      </w:r>
      <w:r w:rsidRPr="00EF190F">
        <w:rPr>
          <w:sz w:val="16"/>
          <w:szCs w:val="16"/>
        </w:rPr>
        <w:t>(expediente de prueba, folio 3159).</w:t>
      </w:r>
    </w:p>
  </w:footnote>
  <w:footnote w:id="33">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Artículo 62. Reconocimiento. “Si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 </w:t>
      </w:r>
    </w:p>
  </w:footnote>
  <w:footnote w:id="34">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Artículo 64. Prosecución del examen del caso. “La Corte, teniendo en cuenta las responsabilidades que le incumben de proteger los derechos humanos, podrá decidir que prosiga el examen del caso, aun en presencia de los supuestos señalados en los artículos precedentes”. </w:t>
      </w:r>
    </w:p>
  </w:footnote>
  <w:footnote w:id="35">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Artículo 41.3: “La Corte podrá considerar aceptados aquellos hechos que no hayan sido expresamente negados y las pretensiones que no hayan sido expresamente controvertidas”.</w:t>
      </w:r>
    </w:p>
  </w:footnote>
  <w:footnote w:id="36">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Según la práctica internacional, cuando una parte en un litigio ha adoptado una actitud determinada que redunda en deterioro propio o en beneficio de la contraria, no puede luego, en virtud del principio del </w:t>
      </w:r>
      <w:r w:rsidRPr="00EF190F">
        <w:rPr>
          <w:i/>
          <w:sz w:val="16"/>
          <w:szCs w:val="16"/>
        </w:rPr>
        <w:t>estoppel</w:t>
      </w:r>
      <w:r w:rsidRPr="00EF190F">
        <w:rPr>
          <w:sz w:val="16"/>
          <w:szCs w:val="16"/>
        </w:rPr>
        <w:t xml:space="preserve">, asumir otra conducta que sea contradictoria con la primera. </w:t>
      </w:r>
      <w:r w:rsidRPr="00EF190F">
        <w:rPr>
          <w:i/>
          <w:sz w:val="16"/>
          <w:szCs w:val="16"/>
        </w:rPr>
        <w:t>Cfr. Caso Huilca Tecse Vs. Perú. Fondo, Reparaciones y Costas</w:t>
      </w:r>
      <w:r w:rsidRPr="00EF190F">
        <w:rPr>
          <w:sz w:val="16"/>
          <w:szCs w:val="16"/>
        </w:rPr>
        <w:t xml:space="preserve">. Sentencia de 3 de marzo de 2005. Serie C No. 121, párr. 56, y </w:t>
      </w:r>
      <w:r w:rsidRPr="00EF190F">
        <w:rPr>
          <w:i/>
          <w:sz w:val="16"/>
          <w:szCs w:val="16"/>
        </w:rPr>
        <w:t>Caso Comunidad Campesina de Santa Bárbara Vs. Perú. Excepciones Preliminares, Fondo, Reparaciones y Costas</w:t>
      </w:r>
      <w:r w:rsidRPr="00EF190F">
        <w:rPr>
          <w:sz w:val="16"/>
          <w:szCs w:val="16"/>
        </w:rPr>
        <w:t>. Sentencia de 1 de septiembre de 2015. Serie C No. 299, párr. 27.</w:t>
      </w:r>
    </w:p>
  </w:footnote>
  <w:footnote w:id="37">
    <w:p w:rsidR="006A0E1C" w:rsidRPr="00EF190F" w:rsidRDefault="006A0E1C" w:rsidP="006A0E1C">
      <w:pPr>
        <w:spacing w:line="240" w:lineRule="auto"/>
        <w:ind w:right="4"/>
        <w:rPr>
          <w:sz w:val="16"/>
          <w:szCs w:val="16"/>
          <w:lang w:val="es-ES"/>
        </w:rPr>
      </w:pPr>
      <w:r w:rsidRPr="00EF190F">
        <w:rPr>
          <w:rStyle w:val="FootnoteReference"/>
          <w:sz w:val="16"/>
          <w:szCs w:val="16"/>
        </w:rPr>
        <w:footnoteRef/>
      </w:r>
      <w:r w:rsidRPr="00EF190F">
        <w:rPr>
          <w:sz w:val="16"/>
          <w:szCs w:val="16"/>
        </w:rPr>
        <w:t xml:space="preserve"> </w:t>
      </w:r>
      <w:r w:rsidRPr="00EF190F">
        <w:rPr>
          <w:sz w:val="16"/>
          <w:szCs w:val="16"/>
        </w:rPr>
        <w:tab/>
        <w:t>Mediante escritos de 30 de julio y 14 de septiembre de 2015, el Estado reiteró su rechazo a la inclusión de nuevas presuntas víctimas.</w:t>
      </w:r>
      <w:r w:rsidRPr="00EF190F">
        <w:rPr>
          <w:b/>
          <w:sz w:val="16"/>
          <w:szCs w:val="16"/>
        </w:rPr>
        <w:t xml:space="preserve"> </w:t>
      </w:r>
      <w:r w:rsidRPr="00EF190F">
        <w:rPr>
          <w:sz w:val="16"/>
          <w:szCs w:val="16"/>
          <w:lang w:val="es-PR"/>
        </w:rPr>
        <w:t xml:space="preserve">La presentación por parte del Estado del escrito de 30 de </w:t>
      </w:r>
      <w:r w:rsidRPr="00EF190F">
        <w:rPr>
          <w:sz w:val="16"/>
          <w:szCs w:val="16"/>
        </w:rPr>
        <w:t>julio</w:t>
      </w:r>
      <w:r w:rsidRPr="00EF190F">
        <w:rPr>
          <w:sz w:val="16"/>
          <w:szCs w:val="16"/>
          <w:lang w:val="es-PR"/>
        </w:rPr>
        <w:t xml:space="preserve"> de 2015, titulado “Postura del Estado de Guatemala en relación con la inclusión de nuevas </w:t>
      </w:r>
      <w:r w:rsidRPr="00EF190F">
        <w:rPr>
          <w:sz w:val="16"/>
          <w:szCs w:val="16"/>
          <w:lang w:val="es-ES_tradnl"/>
        </w:rPr>
        <w:t>víctimas</w:t>
      </w:r>
      <w:r w:rsidRPr="00EF190F">
        <w:rPr>
          <w:sz w:val="16"/>
          <w:szCs w:val="16"/>
          <w:lang w:val="es-PR"/>
        </w:rPr>
        <w:t xml:space="preserve"> en el Caso […]”, no se encuentra prevista dentro del Reglamento de la Corte. Por tanto, los alegatos expuestos a través de dicho escrito son extemporáneos y no serán tomados en cuenta. Del mismo modo, a fin de garantizar la posibilidad de contradictorio, mediante nota de Secretaría de 4 de agosto de 2015 se solicitó a los representantes y a la Comisión presentar las observaciones que estimaran pertinentes al mencionado escrito del Estado. Sin embargo, debido a que dicho escrito no forma parte del proceso, el Tribunal tampoco tomará en cuenta las observaciones de los representantes y la Comisión en cuanto a este punto, remitidas mediante escritos de 30 y 31 de agosto de 2015, respectivamente. Por otra parte, a través de su escrito de observaciones a las listas definitivas de declarantes de la Comisión y los representantes, presentado el 14 de septiembre de 2015, el Estado nuevamente expuso alegatos relativos a la inclusión de otras presuntas víctimas. Dichos alegatos tampoco serán tomados en cuenta por el Tribunal, debido a que este no era el momento procesal oportuno para ello. </w:t>
      </w:r>
    </w:p>
  </w:footnote>
  <w:footnote w:id="38">
    <w:p w:rsidR="006A0E1C" w:rsidRPr="00EF190F" w:rsidRDefault="006A0E1C" w:rsidP="006A0E1C">
      <w:pPr>
        <w:pStyle w:val="FootnoteText"/>
        <w:contextualSpacing/>
        <w:rPr>
          <w:sz w:val="16"/>
          <w:szCs w:val="16"/>
          <w:lang w:val="es-PR"/>
        </w:rPr>
      </w:pPr>
      <w:r w:rsidRPr="00EF190F">
        <w:rPr>
          <w:rStyle w:val="FootnoteReference"/>
          <w:sz w:val="16"/>
          <w:szCs w:val="16"/>
          <w:lang w:val="es-PR"/>
        </w:rPr>
        <w:footnoteRef/>
      </w:r>
      <w:r w:rsidRPr="00EF190F">
        <w:rPr>
          <w:sz w:val="16"/>
          <w:szCs w:val="16"/>
          <w:lang w:val="es-PR"/>
        </w:rPr>
        <w:t xml:space="preserve"> </w:t>
      </w:r>
      <w:r w:rsidRPr="00EF190F">
        <w:rPr>
          <w:sz w:val="16"/>
          <w:szCs w:val="16"/>
          <w:lang w:val="es-PR"/>
        </w:rPr>
        <w:tab/>
        <w:t xml:space="preserve">Cabe destacar que la Corte ha aplicado el artículo 35.2 de su Reglamento en los siguientes casos: </w:t>
      </w:r>
      <w:r w:rsidRPr="00EF190F">
        <w:rPr>
          <w:i/>
          <w:sz w:val="16"/>
          <w:szCs w:val="16"/>
          <w:lang w:val="es-PR"/>
        </w:rPr>
        <w:t>Caso Masacres de Río Negro Vs. Guatemala</w:t>
      </w:r>
      <w:r w:rsidRPr="00EF190F">
        <w:rPr>
          <w:sz w:val="16"/>
          <w:szCs w:val="16"/>
          <w:lang w:val="es-PR"/>
        </w:rPr>
        <w:t xml:space="preserve">, párrs. 48 a 51; </w:t>
      </w:r>
      <w:r w:rsidRPr="00EF190F">
        <w:rPr>
          <w:i/>
          <w:sz w:val="16"/>
          <w:szCs w:val="16"/>
          <w:lang w:val="es-PR"/>
        </w:rPr>
        <w:t xml:space="preserve">Caso Nadege Dorzema y otros Vs. República Dominicana. Fondo Reparaciones y Costas. </w:t>
      </w:r>
      <w:r w:rsidRPr="00EF190F">
        <w:rPr>
          <w:sz w:val="16"/>
          <w:szCs w:val="16"/>
          <w:lang w:val="es-PR"/>
        </w:rPr>
        <w:t xml:space="preserve">Sentencia de 24 de octubre de 2012. Serie C No. 251, párrs. 29 a 37; </w:t>
      </w:r>
      <w:r w:rsidRPr="00EF190F">
        <w:rPr>
          <w:i/>
          <w:sz w:val="16"/>
          <w:szCs w:val="16"/>
          <w:lang w:val="es-PR"/>
        </w:rPr>
        <w:t xml:space="preserve">Caso Masacres de El Mozote y lugares aledaños Vs. El Salvador, </w:t>
      </w:r>
      <w:r w:rsidRPr="00EF190F">
        <w:rPr>
          <w:sz w:val="16"/>
          <w:szCs w:val="16"/>
          <w:lang w:val="es-PR"/>
        </w:rPr>
        <w:t>párrs. 49 a 57</w:t>
      </w:r>
      <w:r w:rsidRPr="00EF190F">
        <w:rPr>
          <w:i/>
          <w:sz w:val="16"/>
          <w:szCs w:val="16"/>
          <w:lang w:val="es-PR"/>
        </w:rPr>
        <w:t>;</w:t>
      </w:r>
      <w:r w:rsidRPr="00EF190F">
        <w:rPr>
          <w:sz w:val="16"/>
          <w:szCs w:val="16"/>
          <w:lang w:val="es-PR"/>
        </w:rPr>
        <w:t xml:space="preserve"> </w:t>
      </w:r>
      <w:r w:rsidRPr="00EF190F">
        <w:rPr>
          <w:i/>
          <w:sz w:val="16"/>
          <w:szCs w:val="16"/>
          <w:lang w:val="es-PR"/>
        </w:rPr>
        <w:t>Caso de las comunidades afrodescendientes desplazadas de la Cuenca del Río Cacarica (Operación Génesis) Vs. Colombia</w:t>
      </w:r>
      <w:r w:rsidRPr="00EF190F">
        <w:rPr>
          <w:sz w:val="16"/>
          <w:szCs w:val="16"/>
          <w:lang w:val="es-PR"/>
        </w:rPr>
        <w:t>, párrs. 33 a 36</w:t>
      </w:r>
      <w:r w:rsidRPr="00EF190F">
        <w:rPr>
          <w:i/>
          <w:sz w:val="16"/>
          <w:szCs w:val="16"/>
          <w:lang w:val="es-PR"/>
        </w:rPr>
        <w:t xml:space="preserve">, y Caso Comunidad Campesina de Santa Bárbara Vs. Perú, </w:t>
      </w:r>
      <w:r w:rsidRPr="00EF190F">
        <w:rPr>
          <w:spacing w:val="-4"/>
          <w:sz w:val="16"/>
          <w:szCs w:val="16"/>
          <w:lang w:val="es-PR"/>
        </w:rPr>
        <w:t>párrs. 54 a 57.</w:t>
      </w:r>
      <w:r w:rsidRPr="00EF190F">
        <w:rPr>
          <w:sz w:val="16"/>
          <w:szCs w:val="16"/>
          <w:lang w:val="es-PR"/>
        </w:rPr>
        <w:t xml:space="preserve"> Asimismo, ha rechazado su aplicación en los siguientes casos: </w:t>
      </w:r>
      <w:r w:rsidRPr="00EF190F">
        <w:rPr>
          <w:i/>
          <w:sz w:val="16"/>
          <w:szCs w:val="16"/>
          <w:lang w:val="es-PR"/>
        </w:rPr>
        <w:t>Barbani Duarte y otros Vs. Uruguay. Fondo, Reparaciones y Costas</w:t>
      </w:r>
      <w:r w:rsidRPr="00EF190F">
        <w:rPr>
          <w:sz w:val="16"/>
          <w:szCs w:val="16"/>
          <w:lang w:val="es-PR"/>
        </w:rPr>
        <w:t xml:space="preserve">. Sentencia de 13 de octubre de 2011. Serie C No. 234, párr. 43; </w:t>
      </w:r>
      <w:r w:rsidRPr="00EF190F">
        <w:rPr>
          <w:i/>
          <w:sz w:val="16"/>
          <w:szCs w:val="16"/>
          <w:lang w:val="es-PR"/>
        </w:rPr>
        <w:t xml:space="preserve">Caso Defensor de Derechos Humanos y otros Vs. Guatemala. Excepciones Preliminares, Fondo, Reparaciones y Costas. </w:t>
      </w:r>
      <w:r w:rsidRPr="00EF190F">
        <w:rPr>
          <w:sz w:val="16"/>
          <w:szCs w:val="16"/>
          <w:lang w:val="es-PR"/>
        </w:rPr>
        <w:t xml:space="preserve">Sentencia de 28 de agosto de 2014. Serie C No. 283, párr. 47; </w:t>
      </w:r>
      <w:r w:rsidRPr="00EF190F">
        <w:rPr>
          <w:i/>
          <w:sz w:val="16"/>
          <w:szCs w:val="16"/>
          <w:lang w:val="es-PR"/>
        </w:rPr>
        <w:t xml:space="preserve">Caso García y familiares Vs. Guatemala. Fondo Reparaciones y Costas. </w:t>
      </w:r>
      <w:r w:rsidRPr="00EF190F">
        <w:rPr>
          <w:sz w:val="16"/>
          <w:szCs w:val="16"/>
          <w:lang w:val="es-PR"/>
        </w:rPr>
        <w:t xml:space="preserve">Sentencia de 29 noviembre de 2012. Serie C No. 258, párrs. 34 a 37; </w:t>
      </w:r>
      <w:r w:rsidRPr="00EF190F">
        <w:rPr>
          <w:i/>
          <w:sz w:val="16"/>
          <w:szCs w:val="16"/>
          <w:lang w:val="es-PR"/>
        </w:rPr>
        <w:t xml:space="preserve">Caso Suárez Peralta Vs. Ecuador. Excepciones Preliminares, Fondo, Reparaciones y Costas. </w:t>
      </w:r>
      <w:r w:rsidRPr="00EF190F">
        <w:rPr>
          <w:sz w:val="16"/>
          <w:szCs w:val="16"/>
          <w:lang w:val="es-PR"/>
        </w:rPr>
        <w:t xml:space="preserve">Sentencia de 21 de mayo de 2013. Serie C No. 261, párrs. 26 a 28; </w:t>
      </w:r>
      <w:r w:rsidRPr="00EF190F">
        <w:rPr>
          <w:i/>
          <w:sz w:val="16"/>
          <w:szCs w:val="16"/>
          <w:lang w:val="es-PR"/>
        </w:rPr>
        <w:t xml:space="preserve">Caso J. Vs. Perú. Excepción Preliminar, Fondo, Reparaciones y Costas. </w:t>
      </w:r>
      <w:r w:rsidRPr="00EF190F">
        <w:rPr>
          <w:sz w:val="16"/>
          <w:szCs w:val="16"/>
          <w:lang w:val="es-PR"/>
        </w:rPr>
        <w:t xml:space="preserve">Sentencia de 27 de noviembre de 2013. Serie C No. 275, párrs. 23 a 25; </w:t>
      </w:r>
      <w:r w:rsidRPr="00EF190F">
        <w:rPr>
          <w:i/>
          <w:sz w:val="16"/>
          <w:szCs w:val="16"/>
          <w:lang w:val="es-PR"/>
        </w:rPr>
        <w:t xml:space="preserve">Caso Rochac Hernández y otros Vs. El Salvador. Fondo, Reparaciones y Costas. </w:t>
      </w:r>
      <w:r w:rsidRPr="00EF190F">
        <w:rPr>
          <w:sz w:val="16"/>
          <w:szCs w:val="16"/>
          <w:lang w:val="es-PR"/>
        </w:rPr>
        <w:t xml:space="preserve">Sentencia de 14 de octubre de 2014. Serie C No. 285, párr. 34, y </w:t>
      </w:r>
      <w:r w:rsidRPr="00EF190F">
        <w:rPr>
          <w:i/>
          <w:sz w:val="16"/>
          <w:szCs w:val="16"/>
          <w:lang w:val="es-PR"/>
        </w:rPr>
        <w:t xml:space="preserve">Caso Argüelles y otros Vs. Argentina. Excepciones Preliminares, Fondo, Reparaciones y Costas. </w:t>
      </w:r>
      <w:r w:rsidRPr="00EF190F">
        <w:rPr>
          <w:sz w:val="16"/>
          <w:szCs w:val="16"/>
          <w:lang w:val="es-PR"/>
        </w:rPr>
        <w:t>Sentencia de 20 de noviembre de 2014. Serie C No. 288, párr. 236.</w:t>
      </w:r>
    </w:p>
  </w:footnote>
  <w:footnote w:id="39">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spacing w:val="-4"/>
          <w:sz w:val="16"/>
          <w:szCs w:val="16"/>
          <w:lang w:val="es-ES"/>
        </w:rPr>
        <w:t>Declaración</w:t>
      </w:r>
      <w:r w:rsidRPr="00EF190F">
        <w:rPr>
          <w:sz w:val="16"/>
          <w:szCs w:val="16"/>
        </w:rPr>
        <w:t xml:space="preserve"> ante fedatario público de Alejandro Rodríguez Barillas (expediente de prueba, folios 11504 a 11591).</w:t>
      </w:r>
    </w:p>
  </w:footnote>
  <w:footnote w:id="40">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Declaración ante fedatario público de Ramón Cadena Rámila (expediente de prueba, folios 11600 a 11654).</w:t>
      </w:r>
    </w:p>
  </w:footnote>
  <w:footnote w:id="41">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Declaración ante fedatario público de Miguel Sic Osorio (expediente de prueba, folios 11592 a 11599).</w:t>
      </w:r>
    </w:p>
  </w:footnote>
  <w:footnote w:id="42">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spacing w:val="-4"/>
          <w:sz w:val="16"/>
          <w:szCs w:val="16"/>
          <w:lang w:val="es-ES"/>
        </w:rPr>
        <w:t>Mediante escrito de 4 de abril de 2016 la Comisión desistió de presentar el peritaje de Antonio Delgado. Mediante comunicación recibida el 11 de abril de 2016, el Estado comunicó el desistimiento de la presentación, tanto por affidávit como durante la audiencia, de los tres peritos y dos testigos convocados mediante Resolución de 28 de marzo de 2016.</w:t>
      </w:r>
    </w:p>
  </w:footnote>
  <w:footnote w:id="43">
    <w:p w:rsidR="006A0E1C" w:rsidRPr="00EF190F" w:rsidRDefault="006A0E1C" w:rsidP="006A0E1C">
      <w:pPr>
        <w:pStyle w:val="FootnoteText"/>
        <w:tabs>
          <w:tab w:val="left" w:pos="360"/>
          <w:tab w:val="left" w:pos="720"/>
        </w:tabs>
        <w:contextualSpacing/>
        <w:rPr>
          <w:spacing w:val="-4"/>
          <w:sz w:val="16"/>
          <w:szCs w:val="16"/>
          <w:lang w:val="es-GT"/>
        </w:rPr>
      </w:pPr>
      <w:r w:rsidRPr="00EF190F">
        <w:rPr>
          <w:rStyle w:val="FootnoteReference"/>
          <w:rFonts w:eastAsia="Batang"/>
          <w:spacing w:val="-4"/>
          <w:sz w:val="16"/>
          <w:szCs w:val="16"/>
        </w:rPr>
        <w:footnoteRef/>
      </w:r>
      <w:r w:rsidRPr="00EF190F">
        <w:rPr>
          <w:spacing w:val="-4"/>
          <w:sz w:val="16"/>
          <w:szCs w:val="16"/>
        </w:rPr>
        <w:t xml:space="preserve"> </w:t>
      </w:r>
      <w:r w:rsidRPr="00EF190F">
        <w:rPr>
          <w:spacing w:val="-4"/>
          <w:sz w:val="16"/>
          <w:szCs w:val="16"/>
        </w:rPr>
        <w:tab/>
      </w:r>
      <w:r w:rsidRPr="00EF190F">
        <w:rPr>
          <w:i/>
          <w:spacing w:val="-4"/>
          <w:sz w:val="16"/>
          <w:szCs w:val="16"/>
          <w:lang w:val="es-ES"/>
        </w:rPr>
        <w:t>Cfr.</w:t>
      </w:r>
      <w:r w:rsidRPr="00EF190F">
        <w:rPr>
          <w:spacing w:val="-4"/>
          <w:sz w:val="16"/>
          <w:szCs w:val="16"/>
          <w:lang w:val="es-ES"/>
        </w:rPr>
        <w:t xml:space="preserve"> </w:t>
      </w:r>
      <w:r w:rsidRPr="00EF190F">
        <w:rPr>
          <w:i/>
          <w:spacing w:val="-4"/>
          <w:sz w:val="16"/>
          <w:szCs w:val="16"/>
          <w:lang w:val="es-ES"/>
        </w:rPr>
        <w:t xml:space="preserve">Caso Velásquez Rodríguez Vs. Honduras. Fondo, </w:t>
      </w:r>
      <w:r w:rsidRPr="00EF190F">
        <w:rPr>
          <w:spacing w:val="-4"/>
          <w:sz w:val="16"/>
          <w:szCs w:val="16"/>
        </w:rPr>
        <w:t>párr. 140,</w:t>
      </w:r>
      <w:r w:rsidRPr="00EF190F">
        <w:rPr>
          <w:spacing w:val="-4"/>
          <w:sz w:val="16"/>
          <w:szCs w:val="16"/>
          <w:lang w:val="es-ES"/>
        </w:rPr>
        <w:t xml:space="preserve"> </w:t>
      </w:r>
      <w:r w:rsidRPr="00EF190F">
        <w:rPr>
          <w:spacing w:val="-4"/>
          <w:sz w:val="16"/>
          <w:szCs w:val="16"/>
        </w:rPr>
        <w:t xml:space="preserve">y </w:t>
      </w:r>
      <w:r w:rsidRPr="00EF190F">
        <w:rPr>
          <w:i/>
          <w:spacing w:val="-4"/>
          <w:sz w:val="16"/>
          <w:szCs w:val="16"/>
        </w:rPr>
        <w:t>Caso Herrera Espinoza y otros Vs. Ecuador</w:t>
      </w:r>
      <w:r w:rsidRPr="00EF190F">
        <w:rPr>
          <w:spacing w:val="-4"/>
          <w:sz w:val="16"/>
          <w:szCs w:val="16"/>
        </w:rPr>
        <w:t>, párr. 44.</w:t>
      </w:r>
    </w:p>
  </w:footnote>
  <w:footnote w:id="44">
    <w:p w:rsidR="006A0E1C" w:rsidRPr="00EF190F" w:rsidRDefault="006A0E1C" w:rsidP="006A0E1C">
      <w:pPr>
        <w:tabs>
          <w:tab w:val="left" w:pos="360"/>
        </w:tabs>
        <w:autoSpaceDE w:val="0"/>
        <w:autoSpaceDN w:val="0"/>
        <w:spacing w:line="240" w:lineRule="auto"/>
        <w:contextualSpacing/>
        <w:rPr>
          <w:sz w:val="16"/>
          <w:szCs w:val="16"/>
        </w:rPr>
      </w:pPr>
      <w:r w:rsidRPr="00EF190F">
        <w:rPr>
          <w:rStyle w:val="FootnoteReference"/>
          <w:rFonts w:eastAsia="Batang"/>
          <w:sz w:val="16"/>
          <w:szCs w:val="16"/>
        </w:rPr>
        <w:footnoteRef/>
      </w:r>
      <w:r w:rsidRPr="00EF190F">
        <w:rPr>
          <w:sz w:val="16"/>
          <w:szCs w:val="16"/>
        </w:rPr>
        <w:t xml:space="preserve"> </w:t>
      </w:r>
      <w:r w:rsidRPr="00EF190F">
        <w:rPr>
          <w:sz w:val="16"/>
          <w:szCs w:val="16"/>
          <w:lang w:val="es-PR"/>
        </w:rPr>
        <w:tab/>
      </w:r>
      <w:r w:rsidRPr="00EF190F">
        <w:rPr>
          <w:spacing w:val="-4"/>
          <w:sz w:val="16"/>
          <w:szCs w:val="16"/>
          <w:lang w:val="es-ES"/>
        </w:rPr>
        <w:t xml:space="preserve">Los documentos procurados de oficio por el Tribunal como prueba para mejor resolver son los siguientes: </w:t>
      </w:r>
      <w:r w:rsidRPr="00EF190F">
        <w:rPr>
          <w:rFonts w:cs="Arial"/>
          <w:color w:val="1D1D1D"/>
          <w:sz w:val="16"/>
          <w:szCs w:val="16"/>
        </w:rPr>
        <w:t>Guía número 10346061 de El Correo, de 20 de marzo de 2015 (expediente de prueba, folio 11734); Oficio de 19 de marzo de 2015 suscrito por Jose Lu</w:t>
      </w:r>
      <w:r w:rsidRPr="00EF190F">
        <w:rPr>
          <w:rFonts w:cs="Arial"/>
          <w:color w:val="363636"/>
          <w:sz w:val="16"/>
          <w:szCs w:val="16"/>
        </w:rPr>
        <w:t>i</w:t>
      </w:r>
      <w:r w:rsidRPr="00EF190F">
        <w:rPr>
          <w:rFonts w:cs="Arial"/>
          <w:color w:val="1D1D1D"/>
          <w:sz w:val="16"/>
          <w:szCs w:val="16"/>
        </w:rPr>
        <w:t>s Linares Gutiérrez, Auxiliar Fiscal I Ministerio Público (expediente de prueba, folios 11735 a 11745); Descripción de Álbum fotográfico de la Unidad de Recolección de Evidencias, Dirección de Investigac</w:t>
      </w:r>
      <w:r w:rsidRPr="00EF190F">
        <w:rPr>
          <w:rFonts w:cs="Arial"/>
          <w:color w:val="363636"/>
          <w:sz w:val="16"/>
          <w:szCs w:val="16"/>
        </w:rPr>
        <w:t>i</w:t>
      </w:r>
      <w:r w:rsidRPr="00EF190F">
        <w:rPr>
          <w:rFonts w:cs="Arial"/>
          <w:color w:val="1D1D1D"/>
          <w:sz w:val="16"/>
          <w:szCs w:val="16"/>
        </w:rPr>
        <w:t xml:space="preserve">ones Criminalísticas Ministerio Público. Informe No. ECA248-999-2015-118 Referencia No. MP248-2006-441 (expediente de prueba, folio 11746); Fotografía No. 1 y No. 2, referencia MP 248-2006-441 (expediente de prueba, folio 11747); Fotografía No. 3 </w:t>
      </w:r>
      <w:r w:rsidRPr="00EF190F">
        <w:rPr>
          <w:color w:val="1D1D1D"/>
          <w:sz w:val="16"/>
          <w:szCs w:val="16"/>
        </w:rPr>
        <w:t>y</w:t>
      </w:r>
      <w:r w:rsidRPr="00EF190F">
        <w:rPr>
          <w:rFonts w:cs="Arial"/>
          <w:color w:val="1D1D1D"/>
          <w:sz w:val="16"/>
          <w:szCs w:val="16"/>
        </w:rPr>
        <w:t xml:space="preserve"> No</w:t>
      </w:r>
      <w:r w:rsidRPr="00EF190F">
        <w:rPr>
          <w:rFonts w:cs="Arial"/>
          <w:color w:val="363636"/>
          <w:sz w:val="16"/>
          <w:szCs w:val="16"/>
        </w:rPr>
        <w:t xml:space="preserve">. </w:t>
      </w:r>
      <w:r w:rsidRPr="00EF190F">
        <w:rPr>
          <w:rFonts w:cs="Arial"/>
          <w:color w:val="1D1D1D"/>
          <w:sz w:val="16"/>
          <w:szCs w:val="16"/>
        </w:rPr>
        <w:t>4, referencia MP248-2006-441 (expediente de prueba, folio 11748); Fotografía No</w:t>
      </w:r>
      <w:r w:rsidRPr="00EF190F">
        <w:rPr>
          <w:rFonts w:cs="Arial"/>
          <w:color w:val="363636"/>
          <w:sz w:val="16"/>
          <w:szCs w:val="16"/>
        </w:rPr>
        <w:t xml:space="preserve">. </w:t>
      </w:r>
      <w:r w:rsidRPr="00EF190F">
        <w:rPr>
          <w:rFonts w:cs="Arial"/>
          <w:color w:val="1D1D1D"/>
          <w:sz w:val="16"/>
          <w:szCs w:val="16"/>
        </w:rPr>
        <w:t>5 y No. 6, referencia MP248-2006-441 (expediente de prueba, folio 11749); Fotografía No. 7 y No. 8, referenc</w:t>
      </w:r>
      <w:r w:rsidRPr="00EF190F">
        <w:rPr>
          <w:rFonts w:cs="Arial"/>
          <w:color w:val="363636"/>
          <w:sz w:val="16"/>
          <w:szCs w:val="16"/>
        </w:rPr>
        <w:t>i</w:t>
      </w:r>
      <w:r w:rsidRPr="00EF190F">
        <w:rPr>
          <w:rFonts w:cs="Arial"/>
          <w:color w:val="1D1D1D"/>
          <w:sz w:val="16"/>
          <w:szCs w:val="16"/>
        </w:rPr>
        <w:t>a MP248-2006-441 (expediente de prueba, folio 11750); Fotografía No. 9 y No. 10</w:t>
      </w:r>
      <w:r w:rsidRPr="00EF190F">
        <w:rPr>
          <w:rFonts w:cs="Arial"/>
          <w:color w:val="363636"/>
          <w:sz w:val="16"/>
          <w:szCs w:val="16"/>
        </w:rPr>
        <w:t xml:space="preserve">, </w:t>
      </w:r>
      <w:r w:rsidRPr="00EF190F">
        <w:rPr>
          <w:rFonts w:cs="Arial"/>
          <w:color w:val="1D1D1D"/>
          <w:sz w:val="16"/>
          <w:szCs w:val="16"/>
        </w:rPr>
        <w:t>referencia MP248-2006-441</w:t>
      </w:r>
      <w:r w:rsidRPr="00EF190F">
        <w:rPr>
          <w:rFonts w:cs="Arial"/>
          <w:color w:val="1E1E1E"/>
          <w:sz w:val="16"/>
          <w:szCs w:val="16"/>
        </w:rPr>
        <w:t xml:space="preserve"> </w:t>
      </w:r>
      <w:r w:rsidRPr="00EF190F">
        <w:rPr>
          <w:rFonts w:cs="Arial"/>
          <w:color w:val="1D1D1D"/>
          <w:sz w:val="16"/>
          <w:szCs w:val="16"/>
        </w:rPr>
        <w:t xml:space="preserve">(expediente de prueba, folio 11751); </w:t>
      </w:r>
      <w:r w:rsidRPr="00EF190F">
        <w:rPr>
          <w:rFonts w:cs="Arial"/>
          <w:color w:val="1E1E1E"/>
          <w:sz w:val="16"/>
          <w:szCs w:val="16"/>
        </w:rPr>
        <w:t xml:space="preserve">Fotografía No. 11 y No. 12, referencia MP248-2006-441 </w:t>
      </w:r>
      <w:r w:rsidRPr="00EF190F">
        <w:rPr>
          <w:rFonts w:cs="Arial"/>
          <w:color w:val="1D1D1D"/>
          <w:sz w:val="16"/>
          <w:szCs w:val="16"/>
        </w:rPr>
        <w:t xml:space="preserve">(expediente de prueba, folio 11752); </w:t>
      </w:r>
      <w:r w:rsidRPr="00EF190F">
        <w:rPr>
          <w:rFonts w:cs="Arial"/>
          <w:color w:val="1E1E1E"/>
          <w:sz w:val="16"/>
          <w:szCs w:val="16"/>
        </w:rPr>
        <w:t xml:space="preserve">Información de la Subdirección de Control Migratorio, de 26 de marzo de 2015 </w:t>
      </w:r>
      <w:r w:rsidRPr="00EF190F">
        <w:rPr>
          <w:rFonts w:cs="Arial"/>
          <w:color w:val="1D1D1D"/>
          <w:sz w:val="16"/>
          <w:szCs w:val="16"/>
        </w:rPr>
        <w:t xml:space="preserve">(expediente de prueba, folios 11753 a 11756); </w:t>
      </w:r>
      <w:r w:rsidRPr="00EF190F">
        <w:rPr>
          <w:rFonts w:cs="Arial"/>
          <w:color w:val="1E1E1E"/>
          <w:sz w:val="16"/>
          <w:szCs w:val="16"/>
        </w:rPr>
        <w:t xml:space="preserve">Solicitud de urgencia de anticipo de prueba de declaración testimonial en el expediente MP248-2006-441, de 16 de julio de 2013 </w:t>
      </w:r>
      <w:r w:rsidRPr="00EF190F">
        <w:rPr>
          <w:rFonts w:cs="Arial"/>
          <w:color w:val="1D1D1D"/>
          <w:sz w:val="16"/>
          <w:szCs w:val="16"/>
        </w:rPr>
        <w:t xml:space="preserve">(expediente de prueba, folios 11757 a 11760); </w:t>
      </w:r>
      <w:r w:rsidRPr="00EF190F">
        <w:rPr>
          <w:rFonts w:cs="Arial"/>
          <w:color w:val="1E1E1E"/>
          <w:sz w:val="16"/>
          <w:szCs w:val="16"/>
        </w:rPr>
        <w:t>Peritaje MP248-441-2006, aldea Guachipilín, de 31 de enero de 2008, expediente No. MP248-2006-441</w:t>
      </w:r>
      <w:r w:rsidRPr="00EF190F">
        <w:rPr>
          <w:rFonts w:cs="Arial"/>
          <w:color w:val="1D1D1D"/>
          <w:sz w:val="16"/>
          <w:szCs w:val="16"/>
        </w:rPr>
        <w:t xml:space="preserve"> (expediente de prueba, folios 11761 a 11776 bis 14); Anexo MP247-2003-1142 Ejecución (expediente de prueba, folios 11777 a 11903), y Anexo respuesta a la comunicación de fecha 12 de mayo de 2016, y Anexo MP248/2010/263 Elías Milián González, </w:t>
      </w:r>
      <w:r w:rsidRPr="00EF190F">
        <w:rPr>
          <w:rFonts w:cs="Arial"/>
          <w:color w:val="1E1E1E"/>
          <w:sz w:val="16"/>
          <w:szCs w:val="16"/>
        </w:rPr>
        <w:t>Parte del expediente del Ministerio Publico número 248-2006-441</w:t>
      </w:r>
      <w:r w:rsidRPr="00EF190F">
        <w:rPr>
          <w:rFonts w:cs="Arial"/>
          <w:color w:val="1D1D1D"/>
          <w:sz w:val="16"/>
          <w:szCs w:val="16"/>
        </w:rPr>
        <w:t xml:space="preserve"> (expediente de prueba, folios 11904 a 11907).</w:t>
      </w:r>
    </w:p>
  </w:footnote>
  <w:footnote w:id="45">
    <w:p w:rsidR="006A0E1C" w:rsidRPr="00EF190F" w:rsidRDefault="006A0E1C" w:rsidP="006A0E1C">
      <w:pPr>
        <w:tabs>
          <w:tab w:val="left" w:pos="360"/>
          <w:tab w:val="left" w:pos="720"/>
        </w:tabs>
        <w:spacing w:line="240" w:lineRule="auto"/>
        <w:contextualSpacing/>
        <w:rPr>
          <w:sz w:val="16"/>
          <w:szCs w:val="16"/>
        </w:rPr>
      </w:pPr>
      <w:r w:rsidRPr="00EF190F">
        <w:rPr>
          <w:rStyle w:val="FootnoteReference"/>
          <w:rFonts w:eastAsia="Batang"/>
          <w:spacing w:val="-4"/>
          <w:sz w:val="16"/>
          <w:szCs w:val="16"/>
        </w:rPr>
        <w:footnoteRef/>
      </w:r>
      <w:r w:rsidRPr="00EF190F">
        <w:rPr>
          <w:spacing w:val="-4"/>
          <w:sz w:val="16"/>
          <w:szCs w:val="16"/>
          <w:lang w:val="es-ES"/>
        </w:rPr>
        <w:tab/>
      </w:r>
      <w:r w:rsidRPr="00EF190F">
        <w:rPr>
          <w:i/>
          <w:spacing w:val="-4"/>
          <w:sz w:val="16"/>
          <w:szCs w:val="16"/>
          <w:lang w:val="es-ES"/>
        </w:rPr>
        <w:t>Cfr. Caso Escué Zapata Vs. Colombia</w:t>
      </w:r>
      <w:r w:rsidRPr="00EF190F">
        <w:rPr>
          <w:spacing w:val="-4"/>
          <w:sz w:val="16"/>
          <w:szCs w:val="16"/>
          <w:lang w:val="es-ES"/>
        </w:rPr>
        <w:t xml:space="preserve">. </w:t>
      </w:r>
      <w:r w:rsidRPr="00EF190F">
        <w:rPr>
          <w:i/>
          <w:spacing w:val="-4"/>
          <w:sz w:val="16"/>
          <w:szCs w:val="16"/>
          <w:lang w:val="es-ES"/>
        </w:rPr>
        <w:t>Fondo, Reparaciones y Costas</w:t>
      </w:r>
      <w:r w:rsidRPr="00EF190F">
        <w:rPr>
          <w:spacing w:val="-4"/>
          <w:sz w:val="16"/>
          <w:szCs w:val="16"/>
          <w:lang w:val="es-ES"/>
        </w:rPr>
        <w:t xml:space="preserve">. Sentencia de 4 de julio de 2007. Serie C No. 165, párr. 26, y </w:t>
      </w:r>
      <w:r w:rsidRPr="00EF190F">
        <w:rPr>
          <w:i/>
          <w:spacing w:val="-4"/>
          <w:sz w:val="16"/>
          <w:szCs w:val="16"/>
          <w:lang w:val="es-ES"/>
        </w:rPr>
        <w:t xml:space="preserve">Caso Herrera Espinoza y otros Vs. Ecuador, </w:t>
      </w:r>
      <w:r w:rsidRPr="00EF190F">
        <w:rPr>
          <w:spacing w:val="-4"/>
          <w:sz w:val="16"/>
          <w:szCs w:val="16"/>
          <w:lang w:val="es-ES"/>
        </w:rPr>
        <w:t>párr. 45.</w:t>
      </w:r>
    </w:p>
  </w:footnote>
  <w:footnote w:id="46">
    <w:p w:rsidR="006A0E1C" w:rsidRPr="00EF190F" w:rsidRDefault="006A0E1C" w:rsidP="006A0E1C">
      <w:pPr>
        <w:pStyle w:val="FootnoteText"/>
        <w:tabs>
          <w:tab w:val="left" w:pos="360"/>
        </w:tabs>
        <w:contextualSpacing/>
        <w:rPr>
          <w:sz w:val="16"/>
          <w:szCs w:val="16"/>
          <w:lang w:val="es-ES"/>
        </w:rPr>
      </w:pPr>
      <w:r w:rsidRPr="00EF190F">
        <w:rPr>
          <w:rStyle w:val="FootnoteReference"/>
          <w:sz w:val="16"/>
          <w:szCs w:val="16"/>
        </w:rPr>
        <w:footnoteRef/>
      </w:r>
      <w:r w:rsidRPr="00EF190F">
        <w:rPr>
          <w:sz w:val="16"/>
          <w:szCs w:val="16"/>
        </w:rPr>
        <w:tab/>
        <w:t>En lo pertinente, el artículo 58.a del Reglamento establece: “En cualquier estado de la causa la Corte podrá: a. Procurar de oficio toda prueba que considere útil y necesaria […]”.</w:t>
      </w:r>
    </w:p>
  </w:footnote>
  <w:footnote w:id="47">
    <w:p w:rsidR="006A0E1C" w:rsidRPr="00EF190F" w:rsidRDefault="006A0E1C" w:rsidP="006A0E1C">
      <w:pPr>
        <w:pStyle w:val="FootnoteText"/>
        <w:tabs>
          <w:tab w:val="left" w:pos="360"/>
          <w:tab w:val="left" w:pos="567"/>
        </w:tabs>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Cfr. Caso de la “Panel Blanca” (Paniagua Morales y otros) Vs. Guatemala. Fondo</w:t>
      </w:r>
      <w:r w:rsidRPr="00EF190F">
        <w:rPr>
          <w:sz w:val="16"/>
          <w:szCs w:val="16"/>
        </w:rPr>
        <w:t xml:space="preserve">. Sentencia de 8 de marzo de 1998. Serie C No. 37, párr. 69 al 76, y </w:t>
      </w:r>
      <w:r w:rsidRPr="00EF190F">
        <w:rPr>
          <w:bCs/>
          <w:i/>
          <w:sz w:val="16"/>
          <w:szCs w:val="16"/>
          <w:lang w:val="es-CR"/>
        </w:rPr>
        <w:t>Caso Flor Freire Vs. Ecuador</w:t>
      </w:r>
      <w:r w:rsidRPr="00EF190F">
        <w:rPr>
          <w:bCs/>
          <w:sz w:val="16"/>
          <w:szCs w:val="16"/>
          <w:lang w:val="es-CR"/>
        </w:rPr>
        <w:t>, párr. 52.</w:t>
      </w:r>
    </w:p>
  </w:footnote>
  <w:footnote w:id="48">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Por ejemplo, la Corte se ha referido a: el Informe Final de la Comisión de Esclarecimiento Histórico de Guatemala; el Informe Final de la Comisión de la Verdad y Reconciliación del Perú; el Informe de la Comisión de la Verdad para El Salvador; el Informe de la Comisión Nacional de Verdad y Reconciliación, el Informe sobre calificación de víctimas de violaciones de derechos humanos y de la violencia política de la Corporación Nacional de Reparación y Reconciliación, y el Informe de la Comisión Nacional sobre prisión política y tortura, todos ellos de Chile, y al Informe de la Comisión de la Verdad sobre los hechos del Palacio de Justicia, en Colombia.</w:t>
      </w:r>
    </w:p>
  </w:footnote>
  <w:footnote w:id="49">
    <w:p w:rsidR="006A0E1C" w:rsidRPr="00EF190F" w:rsidRDefault="006A0E1C" w:rsidP="006A0E1C">
      <w:pPr>
        <w:pStyle w:val="FootnoteText"/>
        <w:tabs>
          <w:tab w:val="left" w:pos="360"/>
        </w:tabs>
        <w:contextualSpacing/>
        <w:rPr>
          <w:rStyle w:val="FootnoteReference"/>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lang w:val="es-CR"/>
        </w:rPr>
        <w:t xml:space="preserve">Cfr. Caso Myrna Mack Chang Vs. Guatemala. Fondo, Reparaciones y Costas. </w:t>
      </w:r>
      <w:r w:rsidRPr="00EF190F">
        <w:rPr>
          <w:sz w:val="16"/>
          <w:szCs w:val="16"/>
          <w:lang w:val="es-CR"/>
        </w:rPr>
        <w:t xml:space="preserve">Sentencia de 25 de noviembre de 2003. Serie C No. 101, párrs. 131 y 134, y </w:t>
      </w:r>
      <w:r w:rsidRPr="00EF190F">
        <w:rPr>
          <w:i/>
          <w:sz w:val="16"/>
          <w:szCs w:val="16"/>
          <w:lang w:val="es-CR"/>
        </w:rPr>
        <w:t>Caso Rodríguez Vera y otros (Desaparecidos del Palacio de Justicia) Vs. Colombia</w:t>
      </w:r>
      <w:r w:rsidRPr="00EF190F">
        <w:rPr>
          <w:sz w:val="16"/>
          <w:szCs w:val="16"/>
          <w:lang w:val="es-CR"/>
        </w:rPr>
        <w:t>, párr. 88</w:t>
      </w:r>
      <w:r w:rsidRPr="00EF190F">
        <w:rPr>
          <w:sz w:val="16"/>
          <w:szCs w:val="16"/>
        </w:rPr>
        <w:t>.</w:t>
      </w:r>
    </w:p>
  </w:footnote>
  <w:footnote w:id="50">
    <w:p w:rsidR="006A0E1C" w:rsidRPr="00EF190F" w:rsidRDefault="006A0E1C" w:rsidP="006A0E1C">
      <w:pPr>
        <w:pStyle w:val="FootnoteText"/>
        <w:tabs>
          <w:tab w:val="left" w:pos="360"/>
        </w:tabs>
        <w:contextualSpacing/>
        <w:rPr>
          <w:sz w:val="16"/>
          <w:szCs w:val="16"/>
          <w:lang w:val="es-GT"/>
        </w:rPr>
      </w:pPr>
      <w:r w:rsidRPr="00EF190F">
        <w:rPr>
          <w:rStyle w:val="FootnoteReference"/>
          <w:sz w:val="16"/>
          <w:szCs w:val="16"/>
        </w:rPr>
        <w:footnoteRef/>
      </w:r>
      <w:r w:rsidRPr="00EF190F">
        <w:rPr>
          <w:sz w:val="16"/>
          <w:szCs w:val="16"/>
          <w:lang w:val="es-GT"/>
        </w:rPr>
        <w:t xml:space="preserve"> </w:t>
      </w:r>
      <w:r w:rsidRPr="00EF190F">
        <w:rPr>
          <w:b/>
          <w:sz w:val="16"/>
          <w:szCs w:val="16"/>
          <w:lang w:val="es-GT"/>
        </w:rPr>
        <w:tab/>
      </w:r>
      <w:r w:rsidRPr="00EF190F">
        <w:rPr>
          <w:i/>
          <w:sz w:val="16"/>
          <w:szCs w:val="16"/>
          <w:lang w:val="es-GT"/>
        </w:rPr>
        <w:t xml:space="preserve">Cfr. </w:t>
      </w:r>
      <w:r w:rsidRPr="00EF190F">
        <w:rPr>
          <w:sz w:val="16"/>
          <w:szCs w:val="16"/>
          <w:lang w:val="es-GT"/>
        </w:rPr>
        <w:t xml:space="preserve">Casos </w:t>
      </w:r>
      <w:r w:rsidRPr="00EF190F">
        <w:rPr>
          <w:rStyle w:val="Strong"/>
          <w:b w:val="0"/>
          <w:i/>
          <w:sz w:val="16"/>
          <w:szCs w:val="16"/>
          <w:shd w:val="clear" w:color="auto" w:fill="FFFFFF"/>
          <w:lang w:val="es-CR"/>
        </w:rPr>
        <w:t>Bámaca Velásquez,</w:t>
      </w:r>
      <w:r w:rsidRPr="00EF190F">
        <w:rPr>
          <w:rStyle w:val="Strong"/>
          <w:b w:val="0"/>
          <w:i/>
          <w:sz w:val="16"/>
          <w:szCs w:val="16"/>
          <w:lang w:val="es-CR"/>
        </w:rPr>
        <w:t xml:space="preserve"> </w:t>
      </w:r>
      <w:r w:rsidRPr="00EF190F">
        <w:rPr>
          <w:rStyle w:val="Strong"/>
          <w:b w:val="0"/>
          <w:i/>
          <w:sz w:val="16"/>
          <w:szCs w:val="16"/>
          <w:shd w:val="clear" w:color="auto" w:fill="FFFFFF"/>
          <w:lang w:val="es-CR"/>
        </w:rPr>
        <w:t>Myrna Mack Chang</w:t>
      </w:r>
      <w:r w:rsidRPr="00EF190F">
        <w:rPr>
          <w:rStyle w:val="Strong"/>
          <w:b w:val="0"/>
          <w:i/>
          <w:sz w:val="16"/>
          <w:szCs w:val="16"/>
          <w:lang w:val="es-CR"/>
        </w:rPr>
        <w:t xml:space="preserve">, </w:t>
      </w:r>
      <w:r w:rsidRPr="00EF190F">
        <w:rPr>
          <w:rStyle w:val="Strong"/>
          <w:b w:val="0"/>
          <w:i/>
          <w:sz w:val="16"/>
          <w:szCs w:val="16"/>
          <w:shd w:val="clear" w:color="auto" w:fill="FFFFFF"/>
          <w:lang w:val="es-CR"/>
        </w:rPr>
        <w:t>Maritza Urrutia</w:t>
      </w:r>
      <w:r w:rsidRPr="00EF190F">
        <w:rPr>
          <w:rStyle w:val="Strong"/>
          <w:b w:val="0"/>
          <w:i/>
          <w:sz w:val="16"/>
          <w:szCs w:val="16"/>
          <w:lang w:val="es-CR"/>
        </w:rPr>
        <w:t xml:space="preserve">, </w:t>
      </w:r>
      <w:r w:rsidRPr="00EF190F">
        <w:rPr>
          <w:rStyle w:val="Strong"/>
          <w:b w:val="0"/>
          <w:i/>
          <w:sz w:val="16"/>
          <w:szCs w:val="16"/>
          <w:shd w:val="clear" w:color="auto" w:fill="FFFFFF"/>
          <w:lang w:val="es-CR"/>
        </w:rPr>
        <w:t>Masacre Plan de Sánchez</w:t>
      </w:r>
      <w:r w:rsidRPr="00EF190F">
        <w:rPr>
          <w:rStyle w:val="apple-converted-space"/>
          <w:bCs/>
          <w:i/>
          <w:sz w:val="16"/>
          <w:szCs w:val="16"/>
          <w:shd w:val="clear" w:color="auto" w:fill="FFFFFF"/>
          <w:lang w:val="es-CR"/>
        </w:rPr>
        <w:t xml:space="preserve">, </w:t>
      </w:r>
      <w:r w:rsidRPr="00EF190F">
        <w:rPr>
          <w:rStyle w:val="Strong"/>
          <w:b w:val="0"/>
          <w:i/>
          <w:sz w:val="16"/>
          <w:szCs w:val="16"/>
          <w:shd w:val="clear" w:color="auto" w:fill="FFFFFF"/>
          <w:lang w:val="es-CR"/>
        </w:rPr>
        <w:t>Tiu Tojín, Masacre De Las Dos Erres, Chitay Nech y otros, Masacres de Río Negro, Gudiel Álvarez y otros, García y Familiares, Veliz Franco y otros, Defensor de Derechos Humanos y otros, y Velásquez Paiz y otros.</w:t>
      </w:r>
    </w:p>
  </w:footnote>
  <w:footnote w:id="51">
    <w:p w:rsidR="006A0E1C" w:rsidRPr="00EF190F" w:rsidRDefault="006A0E1C" w:rsidP="006A0E1C">
      <w:pPr>
        <w:pStyle w:val="FootnoteText"/>
        <w:rPr>
          <w:sz w:val="16"/>
          <w:szCs w:val="16"/>
          <w:lang w:val="es-CR"/>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iCs/>
          <w:sz w:val="16"/>
          <w:szCs w:val="16"/>
          <w:lang w:val="es-CR"/>
        </w:rPr>
        <w:t xml:space="preserve">Cfr. </w:t>
      </w:r>
      <w:r w:rsidRPr="00EF190F">
        <w:rPr>
          <w:sz w:val="16"/>
          <w:szCs w:val="16"/>
          <w:lang w:val="es-CR"/>
        </w:rPr>
        <w:t>Informe de la CEH</w:t>
      </w:r>
      <w:r w:rsidRPr="00EF190F" w:rsidDel="00564330">
        <w:rPr>
          <w:sz w:val="16"/>
          <w:szCs w:val="16"/>
          <w:lang w:val="es-CR"/>
        </w:rPr>
        <w:t xml:space="preserve"> </w:t>
      </w:r>
      <w:r w:rsidRPr="00EF190F">
        <w:rPr>
          <w:iCs/>
          <w:sz w:val="16"/>
          <w:szCs w:val="16"/>
          <w:lang w:val="es-CR"/>
        </w:rPr>
        <w:t>“</w:t>
      </w:r>
      <w:r w:rsidRPr="00EF190F">
        <w:rPr>
          <w:i/>
          <w:iCs/>
          <w:sz w:val="16"/>
          <w:szCs w:val="16"/>
          <w:lang w:val="es-CR"/>
        </w:rPr>
        <w:t>Guatemala, Memoria del Silencio</w:t>
      </w:r>
      <w:r w:rsidRPr="00EF190F">
        <w:rPr>
          <w:iCs/>
          <w:sz w:val="16"/>
          <w:szCs w:val="16"/>
          <w:lang w:val="es-CR"/>
        </w:rPr>
        <w:t>”</w:t>
      </w:r>
      <w:r w:rsidRPr="00EF190F">
        <w:rPr>
          <w:sz w:val="16"/>
          <w:szCs w:val="16"/>
          <w:lang w:val="es-CR"/>
        </w:rPr>
        <w:t>,</w:t>
      </w:r>
      <w:r w:rsidRPr="00EF190F">
        <w:rPr>
          <w:sz w:val="16"/>
          <w:szCs w:val="16"/>
        </w:rPr>
        <w:t xml:space="preserve"> </w:t>
      </w:r>
      <w:r w:rsidRPr="00EF190F">
        <w:rPr>
          <w:sz w:val="16"/>
          <w:szCs w:val="16"/>
          <w:lang w:val="es-CR"/>
        </w:rPr>
        <w:t>junio de 1999, Mandato y procedimiento de trabajo</w:t>
      </w:r>
      <w:r w:rsidRPr="00EF190F">
        <w:rPr>
          <w:iCs/>
          <w:sz w:val="16"/>
          <w:szCs w:val="16"/>
          <w:lang w:val="es-CR"/>
        </w:rPr>
        <w:t xml:space="preserve">, </w:t>
      </w:r>
      <w:r w:rsidRPr="00EF190F">
        <w:rPr>
          <w:sz w:val="16"/>
          <w:szCs w:val="16"/>
          <w:lang w:val="es-CR"/>
        </w:rPr>
        <w:t xml:space="preserve">párr. 68. </w:t>
      </w:r>
    </w:p>
  </w:footnote>
  <w:footnote w:id="52">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Se han utilizado como elementos probatorios en el presente Capítulo: a) el</w:t>
      </w:r>
      <w:r w:rsidRPr="00EF190F">
        <w:rPr>
          <w:i/>
          <w:iCs/>
          <w:sz w:val="16"/>
          <w:szCs w:val="16"/>
        </w:rPr>
        <w:t xml:space="preserve"> </w:t>
      </w:r>
      <w:r w:rsidRPr="00EF190F">
        <w:rPr>
          <w:sz w:val="16"/>
          <w:szCs w:val="16"/>
        </w:rPr>
        <w:t xml:space="preserve">Informe de la CEH </w:t>
      </w:r>
      <w:r w:rsidRPr="00EF190F">
        <w:rPr>
          <w:i/>
          <w:iCs/>
          <w:sz w:val="16"/>
          <w:szCs w:val="16"/>
        </w:rPr>
        <w:t>“Guatemala, Memoria del Silencio”</w:t>
      </w:r>
      <w:r w:rsidRPr="00EF190F">
        <w:rPr>
          <w:sz w:val="16"/>
          <w:szCs w:val="16"/>
        </w:rPr>
        <w:t>, elaborado en el año 1999, Oficina de Servicios para Proyectos de las Naciones Unidas</w:t>
      </w:r>
      <w:r w:rsidRPr="00EF190F">
        <w:rPr>
          <w:i/>
          <w:iCs/>
          <w:sz w:val="16"/>
          <w:szCs w:val="16"/>
        </w:rPr>
        <w:t>.</w:t>
      </w:r>
      <w:r w:rsidRPr="00EF190F">
        <w:rPr>
          <w:sz w:val="16"/>
          <w:szCs w:val="16"/>
        </w:rPr>
        <w:t xml:space="preserve">; b) el </w:t>
      </w:r>
      <w:r w:rsidRPr="00EF190F">
        <w:rPr>
          <w:sz w:val="16"/>
          <w:szCs w:val="16"/>
          <w:lang w:val="es-CR"/>
        </w:rPr>
        <w:t>Informe del Proyecto Interdiocesano de Recuperación de la Memoria Histórica –Informe REMHI-</w:t>
      </w:r>
      <w:r w:rsidRPr="00EF190F">
        <w:rPr>
          <w:sz w:val="16"/>
          <w:szCs w:val="16"/>
        </w:rPr>
        <w:t xml:space="preserve">, </w:t>
      </w:r>
      <w:r w:rsidRPr="00EF190F">
        <w:rPr>
          <w:sz w:val="16"/>
          <w:szCs w:val="16"/>
          <w:lang w:val="es-CR"/>
        </w:rPr>
        <w:t>“</w:t>
      </w:r>
      <w:r w:rsidRPr="00EF190F">
        <w:rPr>
          <w:i/>
          <w:iCs/>
          <w:sz w:val="16"/>
          <w:szCs w:val="16"/>
          <w:lang w:val="es-CR"/>
        </w:rPr>
        <w:t>Guatemala: Nunca Más”</w:t>
      </w:r>
      <w:r w:rsidRPr="00EF190F">
        <w:rPr>
          <w:sz w:val="16"/>
          <w:szCs w:val="16"/>
          <w:lang w:val="es-CR"/>
        </w:rPr>
        <w:t xml:space="preserve">, elaborado en el año 1998 por la Oficina de Derechos Humanos del Arzobispado de Guatemala (ODHAG). Disponible en: </w:t>
      </w:r>
      <w:hyperlink r:id="rId1">
        <w:r w:rsidRPr="00EF190F">
          <w:rPr>
            <w:sz w:val="16"/>
            <w:szCs w:val="16"/>
            <w:u w:val="single"/>
            <w:lang w:val="es-CR"/>
          </w:rPr>
          <w:t>http://www.fundacionpdh.org/lesahumanidad/informes/guatemala/informeREMHI-Tomo1.htm</w:t>
        </w:r>
      </w:hyperlink>
      <w:r w:rsidRPr="00EF190F">
        <w:rPr>
          <w:sz w:val="16"/>
          <w:szCs w:val="16"/>
          <w:u w:val="single"/>
        </w:rPr>
        <w:t>;</w:t>
      </w:r>
      <w:r w:rsidRPr="00EF190F">
        <w:rPr>
          <w:sz w:val="16"/>
          <w:szCs w:val="16"/>
        </w:rPr>
        <w:t xml:space="preserve"> c) el </w:t>
      </w:r>
      <w:r w:rsidRPr="00EF190F">
        <w:rPr>
          <w:sz w:val="16"/>
          <w:szCs w:val="16"/>
          <w:lang w:val="es-CR"/>
        </w:rPr>
        <w:t>Informe de la Procuraduría de Derechos Humanos de Guatemala de 2 de septiembre de 1996 (expediente de prueba, folio 1869)</w:t>
      </w:r>
      <w:r w:rsidRPr="00EF190F">
        <w:rPr>
          <w:sz w:val="16"/>
          <w:szCs w:val="16"/>
        </w:rPr>
        <w:t>; d) algunas partes de los expedientes penales abiertos a partir de las denuncias presentadas respecto a los hechos del caso, y e)</w:t>
      </w:r>
      <w:r w:rsidRPr="00EF190F">
        <w:rPr>
          <w:sz w:val="16"/>
          <w:szCs w:val="16"/>
          <w:lang w:val="es-ES"/>
        </w:rPr>
        <w:t xml:space="preserve"> los testimonios de algunas de las personas sobrevivientes del caso.</w:t>
      </w:r>
    </w:p>
  </w:footnote>
  <w:footnote w:id="53">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Caso </w:t>
      </w:r>
      <w:r w:rsidRPr="00EF190F">
        <w:rPr>
          <w:rStyle w:val="Strong"/>
          <w:b w:val="0"/>
          <w:i/>
          <w:sz w:val="16"/>
          <w:szCs w:val="16"/>
          <w:shd w:val="clear" w:color="auto" w:fill="FFFFFF"/>
        </w:rPr>
        <w:t xml:space="preserve">Masacre Plan de Sánchez Vs. Guatemala. Fondo. </w:t>
      </w:r>
      <w:r w:rsidRPr="00EF190F">
        <w:rPr>
          <w:rStyle w:val="Strong"/>
          <w:b w:val="0"/>
          <w:sz w:val="16"/>
          <w:szCs w:val="16"/>
          <w:shd w:val="clear" w:color="auto" w:fill="FFFFFF"/>
        </w:rPr>
        <w:t>Sentencia de 29 de abril de 2004. Serie C No. 105</w:t>
      </w:r>
      <w:r w:rsidRPr="00EF190F">
        <w:rPr>
          <w:iCs/>
          <w:sz w:val="16"/>
          <w:szCs w:val="16"/>
        </w:rPr>
        <w:t xml:space="preserve">, párr. 42.1, </w:t>
      </w:r>
      <w:r w:rsidRPr="00EF190F">
        <w:rPr>
          <w:i/>
          <w:iCs/>
          <w:sz w:val="16"/>
          <w:szCs w:val="16"/>
        </w:rPr>
        <w:t>y Caso</w:t>
      </w:r>
      <w:r w:rsidRPr="00EF190F">
        <w:rPr>
          <w:iCs/>
          <w:sz w:val="16"/>
          <w:szCs w:val="16"/>
        </w:rPr>
        <w:t xml:space="preserve"> </w:t>
      </w:r>
      <w:r w:rsidRPr="00EF190F">
        <w:rPr>
          <w:i/>
          <w:sz w:val="16"/>
          <w:szCs w:val="16"/>
        </w:rPr>
        <w:t>García y Familiares</w:t>
      </w:r>
      <w:r w:rsidRPr="00EF190F">
        <w:rPr>
          <w:i/>
          <w:iCs/>
          <w:sz w:val="16"/>
          <w:szCs w:val="16"/>
        </w:rPr>
        <w:t xml:space="preserve"> Vs. Guatemala. Fondo, Reparaciones y Costas. </w:t>
      </w:r>
      <w:r w:rsidRPr="00EF190F">
        <w:rPr>
          <w:iCs/>
          <w:sz w:val="16"/>
          <w:szCs w:val="16"/>
        </w:rPr>
        <w:t xml:space="preserve">Sentencia de 29 noviembre de 2012. Serie C No. 258, </w:t>
      </w:r>
      <w:r w:rsidRPr="00EF190F">
        <w:rPr>
          <w:sz w:val="16"/>
          <w:szCs w:val="16"/>
        </w:rPr>
        <w:t>párr. 51.</w:t>
      </w:r>
    </w:p>
  </w:footnote>
  <w:footnote w:id="54">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lang w:val="es-CR"/>
        </w:rPr>
        <w:t xml:space="preserve">Cfr. </w:t>
      </w:r>
      <w:r w:rsidRPr="00EF190F">
        <w:rPr>
          <w:rStyle w:val="Strong"/>
          <w:b w:val="0"/>
          <w:i/>
          <w:sz w:val="16"/>
          <w:szCs w:val="16"/>
          <w:shd w:val="clear" w:color="auto" w:fill="FFFFFF"/>
          <w:lang w:val="es-CR"/>
        </w:rPr>
        <w:t>Caso Myrna Mack Chang</w:t>
      </w:r>
      <w:r w:rsidRPr="00EF190F">
        <w:rPr>
          <w:sz w:val="16"/>
          <w:szCs w:val="16"/>
        </w:rPr>
        <w:t xml:space="preserve"> </w:t>
      </w:r>
      <w:r w:rsidRPr="00EF190F">
        <w:rPr>
          <w:rStyle w:val="Strong"/>
          <w:b w:val="0"/>
          <w:i/>
          <w:sz w:val="16"/>
          <w:szCs w:val="16"/>
          <w:shd w:val="clear" w:color="auto" w:fill="FFFFFF"/>
          <w:lang w:val="es-CR"/>
        </w:rPr>
        <w:t xml:space="preserve">Vs. Guatemala. Fondo, Reparaciones y Costas. </w:t>
      </w:r>
      <w:r w:rsidRPr="00EF190F">
        <w:rPr>
          <w:rStyle w:val="Strong"/>
          <w:b w:val="0"/>
          <w:sz w:val="16"/>
          <w:szCs w:val="16"/>
          <w:shd w:val="clear" w:color="auto" w:fill="FFFFFF"/>
          <w:lang w:val="es-CR"/>
        </w:rPr>
        <w:t>Sentencia de 25 de noviembre de 2003. Serie C No. 101, párr. 134.9, y</w:t>
      </w:r>
      <w:r w:rsidRPr="00EF190F">
        <w:rPr>
          <w:rStyle w:val="Strong"/>
          <w:b w:val="0"/>
          <w:i/>
          <w:sz w:val="16"/>
          <w:szCs w:val="16"/>
          <w:shd w:val="clear" w:color="auto" w:fill="FFFFFF"/>
          <w:lang w:val="es-CR"/>
        </w:rPr>
        <w:t xml:space="preserve"> Caso</w:t>
      </w:r>
      <w:r w:rsidRPr="00EF190F">
        <w:rPr>
          <w:rStyle w:val="Strong"/>
          <w:b w:val="0"/>
          <w:sz w:val="16"/>
          <w:szCs w:val="16"/>
          <w:shd w:val="clear" w:color="auto" w:fill="FFFFFF"/>
          <w:lang w:val="es-CR"/>
        </w:rPr>
        <w:t xml:space="preserve"> </w:t>
      </w:r>
      <w:r w:rsidRPr="00EF190F">
        <w:rPr>
          <w:rStyle w:val="Strong"/>
          <w:b w:val="0"/>
          <w:i/>
          <w:sz w:val="16"/>
          <w:szCs w:val="16"/>
          <w:shd w:val="clear" w:color="auto" w:fill="FFFFFF"/>
          <w:lang w:val="es-CR"/>
        </w:rPr>
        <w:t>García y Familiares</w:t>
      </w:r>
      <w:r w:rsidRPr="00EF190F">
        <w:rPr>
          <w:rStyle w:val="Strong"/>
          <w:b w:val="0"/>
          <w:sz w:val="16"/>
          <w:szCs w:val="16"/>
          <w:shd w:val="clear" w:color="auto" w:fill="FFFFFF"/>
          <w:lang w:val="es-CR"/>
        </w:rPr>
        <w:t xml:space="preserve"> </w:t>
      </w:r>
      <w:r w:rsidRPr="00EF190F">
        <w:rPr>
          <w:rStyle w:val="Strong"/>
          <w:b w:val="0"/>
          <w:i/>
          <w:sz w:val="16"/>
          <w:szCs w:val="16"/>
          <w:shd w:val="clear" w:color="auto" w:fill="FFFFFF"/>
          <w:lang w:val="es-CR"/>
        </w:rPr>
        <w:t>Vs</w:t>
      </w:r>
      <w:r w:rsidRPr="00EF190F">
        <w:rPr>
          <w:rStyle w:val="Strong"/>
          <w:b w:val="0"/>
          <w:sz w:val="16"/>
          <w:szCs w:val="16"/>
          <w:shd w:val="clear" w:color="auto" w:fill="FFFFFF"/>
          <w:lang w:val="es-CR"/>
        </w:rPr>
        <w:t xml:space="preserve">. </w:t>
      </w:r>
      <w:r w:rsidRPr="00EF190F">
        <w:rPr>
          <w:rStyle w:val="Strong"/>
          <w:b w:val="0"/>
          <w:i/>
          <w:sz w:val="16"/>
          <w:szCs w:val="16"/>
          <w:shd w:val="clear" w:color="auto" w:fill="FFFFFF"/>
          <w:lang w:val="es-CR"/>
        </w:rPr>
        <w:t>Guatemala,</w:t>
      </w:r>
      <w:r w:rsidRPr="00EF190F">
        <w:rPr>
          <w:rStyle w:val="Strong"/>
          <w:b w:val="0"/>
          <w:sz w:val="16"/>
          <w:szCs w:val="16"/>
          <w:shd w:val="clear" w:color="auto" w:fill="FFFFFF"/>
          <w:lang w:val="es-CR"/>
        </w:rPr>
        <w:t xml:space="preserve"> párr. 55.</w:t>
      </w:r>
    </w:p>
  </w:footnote>
  <w:footnote w:id="55">
    <w:p w:rsidR="006A0E1C" w:rsidRPr="00EF190F" w:rsidRDefault="006A0E1C" w:rsidP="006A0E1C">
      <w:pPr>
        <w:tabs>
          <w:tab w:val="left" w:pos="360"/>
        </w:tabs>
        <w:spacing w:line="240" w:lineRule="auto"/>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rFonts w:cs="Arial"/>
          <w:i/>
          <w:sz w:val="16"/>
          <w:szCs w:val="16"/>
        </w:rPr>
        <w:t>Cfr.</w:t>
      </w:r>
      <w:r w:rsidRPr="00EF190F">
        <w:rPr>
          <w:rFonts w:cs="Arial"/>
          <w:sz w:val="16"/>
          <w:szCs w:val="16"/>
        </w:rPr>
        <w:t xml:space="preserve"> </w:t>
      </w:r>
      <w:r w:rsidRPr="00EF190F">
        <w:rPr>
          <w:rStyle w:val="Strong"/>
          <w:b w:val="0"/>
          <w:i/>
          <w:sz w:val="16"/>
          <w:szCs w:val="16"/>
          <w:shd w:val="clear" w:color="auto" w:fill="FFFFFF"/>
        </w:rPr>
        <w:t>Caso Gudiel Álvarez y Otros Vs. Guatemala. Fondo, Reparaciones y Costas</w:t>
      </w:r>
      <w:r w:rsidRPr="00EF190F">
        <w:rPr>
          <w:rStyle w:val="Strong"/>
          <w:b w:val="0"/>
          <w:sz w:val="16"/>
          <w:szCs w:val="16"/>
          <w:shd w:val="clear" w:color="auto" w:fill="FFFFFF"/>
        </w:rPr>
        <w:t>. Sentencia de 20 de noviembre de 2012. Serie C No. 253, párr. 5</w:t>
      </w:r>
      <w:r w:rsidRPr="00EF190F">
        <w:rPr>
          <w:i/>
          <w:iCs/>
          <w:sz w:val="16"/>
          <w:szCs w:val="16"/>
        </w:rPr>
        <w:t>4</w:t>
      </w:r>
      <w:r w:rsidRPr="00EF190F">
        <w:rPr>
          <w:iCs/>
          <w:sz w:val="16"/>
          <w:szCs w:val="16"/>
        </w:rPr>
        <w:t>,</w:t>
      </w:r>
      <w:r w:rsidRPr="00EF190F">
        <w:rPr>
          <w:i/>
          <w:iCs/>
          <w:sz w:val="16"/>
          <w:szCs w:val="16"/>
        </w:rPr>
        <w:t xml:space="preserve"> </w:t>
      </w:r>
      <w:r w:rsidRPr="00EF190F">
        <w:rPr>
          <w:iCs/>
          <w:sz w:val="16"/>
          <w:szCs w:val="16"/>
        </w:rPr>
        <w:t>y</w:t>
      </w:r>
      <w:r w:rsidRPr="00EF190F">
        <w:rPr>
          <w:rStyle w:val="Strong"/>
          <w:b w:val="0"/>
          <w:sz w:val="16"/>
          <w:szCs w:val="16"/>
          <w:shd w:val="clear" w:color="auto" w:fill="FFFFFF"/>
        </w:rPr>
        <w:t xml:space="preserve"> </w:t>
      </w:r>
      <w:r w:rsidRPr="00EF190F">
        <w:rPr>
          <w:rStyle w:val="Strong"/>
          <w:b w:val="0"/>
          <w:i/>
          <w:sz w:val="16"/>
          <w:szCs w:val="16"/>
          <w:shd w:val="clear" w:color="auto" w:fill="FFFFFF"/>
        </w:rPr>
        <w:t>Caso García y Familiares Vs. Guatemala,</w:t>
      </w:r>
      <w:r w:rsidRPr="00EF190F">
        <w:rPr>
          <w:rStyle w:val="Strong"/>
          <w:b w:val="0"/>
          <w:sz w:val="16"/>
          <w:szCs w:val="16"/>
          <w:shd w:val="clear" w:color="auto" w:fill="FFFFFF"/>
        </w:rPr>
        <w:t xml:space="preserve"> párr. 51.</w:t>
      </w:r>
    </w:p>
  </w:footnote>
  <w:footnote w:id="56">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vertAlign w:val="superscript"/>
        </w:rPr>
        <w:t xml:space="preserve"> </w:t>
      </w:r>
      <w:r w:rsidRPr="00EF190F">
        <w:rPr>
          <w:sz w:val="16"/>
          <w:szCs w:val="16"/>
        </w:rPr>
        <w:tab/>
      </w:r>
      <w:r w:rsidRPr="00EF190F">
        <w:rPr>
          <w:i/>
          <w:iCs/>
          <w:sz w:val="16"/>
          <w:szCs w:val="16"/>
        </w:rPr>
        <w:t>Cfr. Caso</w:t>
      </w:r>
      <w:r w:rsidRPr="00EF190F">
        <w:rPr>
          <w:sz w:val="16"/>
          <w:szCs w:val="16"/>
        </w:rPr>
        <w:t xml:space="preserve"> </w:t>
      </w:r>
      <w:r w:rsidRPr="00EF190F">
        <w:rPr>
          <w:i/>
          <w:iCs/>
          <w:sz w:val="16"/>
          <w:szCs w:val="16"/>
        </w:rPr>
        <w:t xml:space="preserve">Masacre Plan de Sánchez Vs. Guatemala. Fondo, </w:t>
      </w:r>
      <w:r w:rsidRPr="00EF190F">
        <w:rPr>
          <w:sz w:val="16"/>
          <w:szCs w:val="16"/>
        </w:rPr>
        <w:t>párrs. 42.3 y 42.4</w:t>
      </w:r>
      <w:r w:rsidRPr="00EF190F">
        <w:rPr>
          <w:iCs/>
          <w:sz w:val="16"/>
          <w:szCs w:val="16"/>
        </w:rPr>
        <w:t>, y</w:t>
      </w:r>
      <w:r w:rsidRPr="00EF190F">
        <w:rPr>
          <w:i/>
          <w:iCs/>
          <w:sz w:val="16"/>
          <w:szCs w:val="16"/>
        </w:rPr>
        <w:t xml:space="preserve"> Caso Masacres de Río Negro Vs. Guatemala. Excepción Preliminar, Fondo, Reparaciones y Costas. </w:t>
      </w:r>
      <w:r w:rsidRPr="00EF190F">
        <w:rPr>
          <w:iCs/>
          <w:sz w:val="16"/>
          <w:szCs w:val="16"/>
        </w:rPr>
        <w:t>Sentencia de 4 de septiembre de 2012. Serie C No. 250</w:t>
      </w:r>
      <w:r w:rsidRPr="00EF190F">
        <w:rPr>
          <w:sz w:val="16"/>
          <w:szCs w:val="16"/>
        </w:rPr>
        <w:t>, párr. 57.</w:t>
      </w:r>
    </w:p>
  </w:footnote>
  <w:footnote w:id="57">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Caso Masacre Plan de Sánchez Vs. Guatemala. Fondo, </w:t>
      </w:r>
      <w:r w:rsidRPr="00EF190F">
        <w:rPr>
          <w:sz w:val="16"/>
          <w:szCs w:val="16"/>
        </w:rPr>
        <w:t xml:space="preserve">párr. 42.7, y </w:t>
      </w:r>
      <w:r w:rsidRPr="00EF190F">
        <w:rPr>
          <w:i/>
          <w:sz w:val="16"/>
          <w:szCs w:val="16"/>
        </w:rPr>
        <w:t>Caso</w:t>
      </w:r>
      <w:r w:rsidRPr="00EF190F">
        <w:rPr>
          <w:sz w:val="16"/>
          <w:szCs w:val="16"/>
        </w:rPr>
        <w:t xml:space="preserve"> </w:t>
      </w:r>
      <w:r w:rsidRPr="00EF190F">
        <w:rPr>
          <w:i/>
          <w:iCs/>
          <w:sz w:val="16"/>
          <w:szCs w:val="16"/>
        </w:rPr>
        <w:t>Masacres de Río Negro Vs. Guatemala</w:t>
      </w:r>
      <w:r w:rsidRPr="00EF190F">
        <w:rPr>
          <w:sz w:val="16"/>
          <w:szCs w:val="16"/>
        </w:rPr>
        <w:t>, párr. 58.</w:t>
      </w:r>
    </w:p>
  </w:footnote>
  <w:footnote w:id="58">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i/>
          <w:iCs/>
          <w:sz w:val="16"/>
          <w:szCs w:val="16"/>
          <w:lang w:val="es-PR"/>
        </w:rPr>
        <w:t>Cfr.</w:t>
      </w:r>
      <w:r w:rsidRPr="00EF190F">
        <w:rPr>
          <w:sz w:val="16"/>
          <w:szCs w:val="16"/>
          <w:lang w:val="es-PR"/>
        </w:rPr>
        <w:t xml:space="preserve"> </w:t>
      </w:r>
      <w:r w:rsidRPr="00EF190F">
        <w:rPr>
          <w:rStyle w:val="Strong"/>
          <w:b w:val="0"/>
          <w:i/>
          <w:sz w:val="16"/>
          <w:szCs w:val="16"/>
          <w:shd w:val="clear" w:color="auto" w:fill="FFFFFF"/>
          <w:lang w:val="es-PR"/>
        </w:rPr>
        <w:t xml:space="preserve">Caso Tiu Tojín Vs. Guatemala. Fondo, Reparaciones y Costas. </w:t>
      </w:r>
      <w:r w:rsidRPr="00EF190F">
        <w:rPr>
          <w:rStyle w:val="Strong"/>
          <w:b w:val="0"/>
          <w:sz w:val="16"/>
          <w:szCs w:val="16"/>
          <w:shd w:val="clear" w:color="auto" w:fill="FFFFFF"/>
          <w:lang w:val="es-PR"/>
        </w:rPr>
        <w:t>Sentencia de 26 de noviembre de 2008. Serie C No. 190</w:t>
      </w:r>
      <w:r w:rsidRPr="00EF190F">
        <w:rPr>
          <w:rStyle w:val="Strong"/>
          <w:b w:val="0"/>
          <w:i/>
          <w:sz w:val="16"/>
          <w:szCs w:val="16"/>
          <w:shd w:val="clear" w:color="auto" w:fill="FFFFFF"/>
          <w:lang w:val="es-PR"/>
        </w:rPr>
        <w:t xml:space="preserve">, </w:t>
      </w:r>
      <w:r w:rsidRPr="00EF190F">
        <w:rPr>
          <w:rStyle w:val="Strong"/>
          <w:b w:val="0"/>
          <w:sz w:val="16"/>
          <w:szCs w:val="16"/>
          <w:shd w:val="clear" w:color="auto" w:fill="FFFFFF"/>
          <w:lang w:val="es-PR"/>
        </w:rPr>
        <w:t xml:space="preserve">párr. </w:t>
      </w:r>
      <w:r w:rsidRPr="00EF190F">
        <w:rPr>
          <w:rStyle w:val="Strong"/>
          <w:b w:val="0"/>
          <w:sz w:val="16"/>
          <w:szCs w:val="16"/>
          <w:shd w:val="clear" w:color="auto" w:fill="FFFFFF"/>
          <w:lang w:val="es-CR"/>
        </w:rPr>
        <w:t xml:space="preserve">48, y </w:t>
      </w:r>
      <w:r w:rsidRPr="00EF190F">
        <w:rPr>
          <w:rStyle w:val="Strong"/>
          <w:b w:val="0"/>
          <w:i/>
          <w:sz w:val="16"/>
          <w:szCs w:val="16"/>
          <w:shd w:val="clear" w:color="auto" w:fill="FFFFFF"/>
          <w:lang w:val="es-CR"/>
        </w:rPr>
        <w:t>Caso Chitay Nech y Otros Vs. Guatemala</w:t>
      </w:r>
      <w:r w:rsidRPr="00EF190F">
        <w:rPr>
          <w:rStyle w:val="Strong"/>
          <w:b w:val="0"/>
          <w:sz w:val="16"/>
          <w:szCs w:val="16"/>
          <w:shd w:val="clear" w:color="auto" w:fill="FFFFFF"/>
          <w:lang w:val="es-CR"/>
        </w:rPr>
        <w:t xml:space="preserve">. </w:t>
      </w:r>
      <w:r w:rsidRPr="00EF190F">
        <w:rPr>
          <w:rStyle w:val="Strong"/>
          <w:b w:val="0"/>
          <w:i/>
          <w:sz w:val="16"/>
          <w:szCs w:val="16"/>
          <w:shd w:val="clear" w:color="auto" w:fill="FFFFFF"/>
          <w:lang w:val="es-CR"/>
        </w:rPr>
        <w:t>Excepciones Preliminares, Fondo, Reparaciones y Costas</w:t>
      </w:r>
      <w:r w:rsidRPr="00EF190F">
        <w:rPr>
          <w:rStyle w:val="Strong"/>
          <w:b w:val="0"/>
          <w:sz w:val="16"/>
          <w:szCs w:val="16"/>
          <w:shd w:val="clear" w:color="auto" w:fill="FFFFFF"/>
          <w:lang w:val="es-CR"/>
        </w:rPr>
        <w:t>. Sentencia de 25 de mayo de 2010. Serie C No. 212, párr. 66.</w:t>
      </w:r>
    </w:p>
  </w:footnote>
  <w:footnote w:id="59">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sz w:val="16"/>
          <w:szCs w:val="16"/>
          <w:lang w:val="es-CR"/>
        </w:rPr>
        <w:t xml:space="preserve">Informe de la CEH </w:t>
      </w:r>
      <w:r w:rsidRPr="00EF190F">
        <w:rPr>
          <w:iCs/>
          <w:sz w:val="16"/>
          <w:szCs w:val="16"/>
          <w:lang w:val="es-CR"/>
        </w:rPr>
        <w:t>“</w:t>
      </w:r>
      <w:r w:rsidRPr="00EF190F">
        <w:rPr>
          <w:i/>
          <w:iCs/>
          <w:sz w:val="16"/>
          <w:szCs w:val="16"/>
          <w:lang w:val="es-CR"/>
        </w:rPr>
        <w:t>Guatemala, Memoria del Silencio</w:t>
      </w:r>
      <w:r w:rsidRPr="00EF190F">
        <w:rPr>
          <w:iCs/>
          <w:sz w:val="16"/>
          <w:szCs w:val="16"/>
          <w:lang w:val="es-CR"/>
        </w:rPr>
        <w:t>”</w:t>
      </w:r>
      <w:r w:rsidRPr="00EF190F">
        <w:rPr>
          <w:sz w:val="16"/>
          <w:szCs w:val="16"/>
          <w:lang w:val="es-CR"/>
        </w:rPr>
        <w:t xml:space="preserve">, </w:t>
      </w:r>
      <w:r w:rsidRPr="00EF190F">
        <w:rPr>
          <w:iCs/>
          <w:sz w:val="16"/>
          <w:szCs w:val="16"/>
          <w:lang w:val="es-CR"/>
        </w:rPr>
        <w:t xml:space="preserve">Capítulo Cuarto, </w:t>
      </w:r>
      <w:r w:rsidRPr="00EF190F">
        <w:rPr>
          <w:sz w:val="16"/>
          <w:szCs w:val="16"/>
          <w:lang w:val="es-CR"/>
        </w:rPr>
        <w:t>párrs. 31 y 33.</w:t>
      </w:r>
    </w:p>
  </w:footnote>
  <w:footnote w:id="60">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lang w:val="es-ES"/>
        </w:rPr>
        <w:t xml:space="preserve">Cfr. </w:t>
      </w:r>
      <w:r w:rsidRPr="00EF190F">
        <w:rPr>
          <w:i/>
          <w:sz w:val="16"/>
          <w:szCs w:val="16"/>
          <w:lang w:val="es-CR"/>
        </w:rPr>
        <w:t>Caso Chitay Nech y Otros Vs. Guatemala,</w:t>
      </w:r>
      <w:r w:rsidRPr="00EF190F">
        <w:rPr>
          <w:sz w:val="16"/>
          <w:szCs w:val="16"/>
          <w:lang w:val="es-CR"/>
        </w:rPr>
        <w:t xml:space="preserve"> párr. 65, y </w:t>
      </w:r>
      <w:r w:rsidRPr="00EF190F">
        <w:rPr>
          <w:i/>
          <w:sz w:val="16"/>
          <w:szCs w:val="16"/>
          <w:lang w:val="es-CR"/>
        </w:rPr>
        <w:t xml:space="preserve">Caso Masacre Plan de Sánchez. Fondo, </w:t>
      </w:r>
      <w:r w:rsidRPr="00EF190F">
        <w:rPr>
          <w:sz w:val="16"/>
          <w:szCs w:val="16"/>
          <w:lang w:val="es-CR"/>
        </w:rPr>
        <w:t>párrs. 42.3 a 42.4.</w:t>
      </w:r>
    </w:p>
  </w:footnote>
  <w:footnote w:id="61">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lang w:val="es-ES"/>
        </w:rPr>
        <w:t xml:space="preserve">Cfr. </w:t>
      </w:r>
      <w:r w:rsidRPr="00EF190F">
        <w:rPr>
          <w:i/>
          <w:sz w:val="16"/>
          <w:szCs w:val="16"/>
          <w:lang w:val="es-CR"/>
        </w:rPr>
        <w:t>Caso</w:t>
      </w:r>
      <w:r w:rsidRPr="00EF190F">
        <w:rPr>
          <w:sz w:val="16"/>
          <w:szCs w:val="16"/>
          <w:lang w:val="es-CR"/>
        </w:rPr>
        <w:t xml:space="preserve"> </w:t>
      </w:r>
      <w:r w:rsidRPr="00EF190F">
        <w:rPr>
          <w:i/>
          <w:sz w:val="16"/>
          <w:szCs w:val="16"/>
          <w:lang w:val="es-CR"/>
        </w:rPr>
        <w:t xml:space="preserve">Masacre Plan de Sánchez Vs. Guatemala. Fondo, </w:t>
      </w:r>
      <w:r w:rsidRPr="00EF190F">
        <w:rPr>
          <w:sz w:val="16"/>
          <w:szCs w:val="16"/>
          <w:lang w:val="es-CR"/>
        </w:rPr>
        <w:t>párr. 42.4.</w:t>
      </w:r>
    </w:p>
  </w:footnote>
  <w:footnote w:id="62">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sz w:val="16"/>
          <w:szCs w:val="16"/>
          <w:lang w:val="es-CR"/>
        </w:rPr>
        <w:t xml:space="preserve">Informe de la CEH </w:t>
      </w:r>
      <w:r w:rsidRPr="00EF190F">
        <w:rPr>
          <w:iCs/>
          <w:sz w:val="16"/>
          <w:szCs w:val="16"/>
          <w:lang w:val="es-CR"/>
        </w:rPr>
        <w:t>“</w:t>
      </w:r>
      <w:r w:rsidRPr="00EF190F">
        <w:rPr>
          <w:i/>
          <w:iCs/>
          <w:sz w:val="16"/>
          <w:szCs w:val="16"/>
          <w:lang w:val="es-CR"/>
        </w:rPr>
        <w:t>Guatemala, Memoria del Silencio</w:t>
      </w:r>
      <w:r w:rsidRPr="00EF190F">
        <w:rPr>
          <w:iCs/>
          <w:sz w:val="16"/>
          <w:szCs w:val="16"/>
          <w:lang w:val="es-CR"/>
        </w:rPr>
        <w:t>”</w:t>
      </w:r>
      <w:r w:rsidRPr="00EF190F">
        <w:rPr>
          <w:sz w:val="16"/>
          <w:szCs w:val="16"/>
          <w:lang w:val="es-CR"/>
        </w:rPr>
        <w:t xml:space="preserve">, </w:t>
      </w:r>
      <w:r w:rsidRPr="00EF190F">
        <w:rPr>
          <w:iCs/>
          <w:sz w:val="16"/>
          <w:szCs w:val="16"/>
          <w:lang w:val="es-CR"/>
        </w:rPr>
        <w:t>Capítulo Segundo</w:t>
      </w:r>
      <w:r w:rsidRPr="00EF190F">
        <w:rPr>
          <w:sz w:val="16"/>
          <w:szCs w:val="16"/>
          <w:lang w:val="es-CR"/>
        </w:rPr>
        <w:t>, párr. 2973.</w:t>
      </w:r>
    </w:p>
  </w:footnote>
  <w:footnote w:id="63">
    <w:p w:rsidR="006A0E1C" w:rsidRPr="00EF190F" w:rsidRDefault="006A0E1C" w:rsidP="006A0E1C">
      <w:pPr>
        <w:pStyle w:val="PiedepginasCorteIDH"/>
        <w:tabs>
          <w:tab w:val="left" w:pos="360"/>
        </w:tabs>
        <w:spacing w:after="0"/>
        <w:contextualSpacing/>
      </w:pPr>
      <w:r w:rsidRPr="00EF190F">
        <w:rPr>
          <w:rStyle w:val="FootnoteReference"/>
          <w:rFonts w:eastAsia="Batang"/>
        </w:rPr>
        <w:footnoteRef/>
      </w:r>
      <w:r w:rsidRPr="00EF190F">
        <w:t xml:space="preserve"> </w:t>
      </w:r>
      <w:r w:rsidRPr="00EF190F">
        <w:tab/>
      </w:r>
      <w:r w:rsidRPr="00EF190F">
        <w:rPr>
          <w:i/>
        </w:rPr>
        <w:t>Cfr.</w:t>
      </w:r>
      <w:r w:rsidRPr="00EF190F">
        <w:t xml:space="preserve"> </w:t>
      </w:r>
      <w:r w:rsidRPr="00EF190F">
        <w:rPr>
          <w:i/>
        </w:rPr>
        <w:t>Caso Masacres de Río Negro Vs. Guatemala</w:t>
      </w:r>
      <w:r w:rsidRPr="00EF190F">
        <w:t xml:space="preserve">, párr. 57, y </w:t>
      </w:r>
      <w:r w:rsidRPr="00EF190F">
        <w:rPr>
          <w:i/>
        </w:rPr>
        <w:t>Caso</w:t>
      </w:r>
      <w:r w:rsidRPr="00EF190F">
        <w:t xml:space="preserve"> </w:t>
      </w:r>
      <w:r w:rsidRPr="00EF190F">
        <w:rPr>
          <w:i/>
        </w:rPr>
        <w:t xml:space="preserve">de la Masacre Plan de Sánchez Vs. Guatemala. Fondo, </w:t>
      </w:r>
      <w:r w:rsidRPr="00EF190F">
        <w:t xml:space="preserve">párr. </w:t>
      </w:r>
      <w:r w:rsidRPr="00EF190F">
        <w:rPr>
          <w:rFonts w:cs="Times-Roman"/>
          <w:lang w:val="es-CR"/>
        </w:rPr>
        <w:t>42.5.</w:t>
      </w:r>
      <w:r w:rsidRPr="00EF190F">
        <w:t xml:space="preserve"> </w:t>
      </w:r>
    </w:p>
  </w:footnote>
  <w:footnote w:id="64">
    <w:p w:rsidR="006A0E1C" w:rsidRPr="00EF190F" w:rsidRDefault="006A0E1C" w:rsidP="006A0E1C">
      <w:pPr>
        <w:pStyle w:val="PiedepginasCorteIDH"/>
        <w:tabs>
          <w:tab w:val="left" w:pos="360"/>
        </w:tabs>
        <w:spacing w:after="0"/>
        <w:ind w:right="-138"/>
      </w:pPr>
      <w:r w:rsidRPr="00EF190F">
        <w:rPr>
          <w:rStyle w:val="FootnoteReference"/>
          <w:rFonts w:eastAsia="Times"/>
          <w:lang w:bidi="ar-SA"/>
        </w:rPr>
        <w:footnoteRef/>
      </w:r>
      <w:r w:rsidRPr="00EF190F">
        <w:t xml:space="preserve"> </w:t>
      </w:r>
      <w:r w:rsidRPr="00EF190F">
        <w:tab/>
      </w:r>
      <w:r w:rsidRPr="00EF190F">
        <w:rPr>
          <w:i/>
        </w:rPr>
        <w:t xml:space="preserve">Cfr. Caso Masacre Plan de Sánchez Vs. Guatemala. </w:t>
      </w:r>
      <w:r w:rsidRPr="00EF190F">
        <w:rPr>
          <w:bCs/>
          <w:i/>
        </w:rPr>
        <w:t>Fondo</w:t>
      </w:r>
      <w:r w:rsidRPr="00EF190F">
        <w:rPr>
          <w:bCs/>
        </w:rPr>
        <w:t xml:space="preserve">, </w:t>
      </w:r>
      <w:r w:rsidRPr="00EF190F">
        <w:t xml:space="preserve">párr. 42.6; </w:t>
      </w:r>
      <w:r w:rsidRPr="00EF190F">
        <w:rPr>
          <w:i/>
        </w:rPr>
        <w:t>Caso</w:t>
      </w:r>
      <w:r w:rsidRPr="00EF190F">
        <w:rPr>
          <w:i/>
          <w:iCs/>
        </w:rPr>
        <w:t xml:space="preserve"> Masacres de Río Negro Vs. Guatemala, </w:t>
      </w:r>
      <w:r w:rsidRPr="00EF190F">
        <w:t>párr. 57, e Informe “</w:t>
      </w:r>
      <w:r w:rsidRPr="00EF190F">
        <w:rPr>
          <w:i/>
        </w:rPr>
        <w:t>Guatemala, Memoria del Silencio</w:t>
      </w:r>
      <w:r w:rsidRPr="00EF190F">
        <w:t xml:space="preserve">”, Capítulo Segundo, párrs. 3077, 3086, 3105, 3128 y 3177. Las fuerzas de seguridad del Estado incluían el Ejército, </w:t>
      </w:r>
      <w:r w:rsidRPr="00EF190F">
        <w:rPr>
          <w:lang w:val="es-MX"/>
        </w:rPr>
        <w:t xml:space="preserve">las patrullas de autodefensa civil </w:t>
      </w:r>
      <w:r w:rsidRPr="00EF190F">
        <w:t>(en adelante las “PAC”)</w:t>
      </w:r>
      <w:r w:rsidRPr="00EF190F">
        <w:rPr>
          <w:lang w:val="es-MX"/>
        </w:rPr>
        <w:t xml:space="preserve">, los comisionados militares, la guardia de hacienda, la policía militar ambulante, la policía </w:t>
      </w:r>
      <w:r w:rsidRPr="00EF190F">
        <w:t>nacional</w:t>
      </w:r>
      <w:r w:rsidRPr="00EF190F">
        <w:rPr>
          <w:lang w:val="es-MX"/>
        </w:rPr>
        <w:t xml:space="preserve">, la policía judicial </w:t>
      </w:r>
      <w:r w:rsidRPr="00EF190F">
        <w:t>(conocidos como “judiciales”)</w:t>
      </w:r>
      <w:r w:rsidRPr="00EF190F">
        <w:rPr>
          <w:lang w:val="es-MX"/>
        </w:rPr>
        <w:t xml:space="preserve"> y los “escuadrones de la muerte”</w:t>
      </w:r>
      <w:r w:rsidRPr="00EF190F">
        <w:t xml:space="preserve">. </w:t>
      </w:r>
      <w:r w:rsidRPr="00EF190F">
        <w:rPr>
          <w:i/>
          <w:iCs/>
        </w:rPr>
        <w:t>Cfr</w:t>
      </w:r>
      <w:r w:rsidRPr="00EF190F">
        <w:t xml:space="preserve">. </w:t>
      </w:r>
      <w:r w:rsidRPr="00EF190F">
        <w:rPr>
          <w:i/>
        </w:rPr>
        <w:t xml:space="preserve">Caso </w:t>
      </w:r>
      <w:r w:rsidRPr="00EF190F">
        <w:rPr>
          <w:i/>
          <w:iCs/>
        </w:rPr>
        <w:t>Molina Theissen Vs. Guatemala</w:t>
      </w:r>
      <w:r w:rsidRPr="00EF190F">
        <w:t xml:space="preserve">. </w:t>
      </w:r>
      <w:r w:rsidRPr="00EF190F">
        <w:rPr>
          <w:i/>
        </w:rPr>
        <w:t>Fondo</w:t>
      </w:r>
      <w:r w:rsidRPr="00EF190F">
        <w:t xml:space="preserve">. Sentencia de 4 de mayo de 2004. Serie C No. 106, párr. 40.3. Las </w:t>
      </w:r>
      <w:r w:rsidRPr="00EF190F">
        <w:rPr>
          <w:lang w:val="es-MX"/>
        </w:rPr>
        <w:t>PAC</w:t>
      </w:r>
      <w:r w:rsidRPr="00EF190F">
        <w:t xml:space="preserve"> surgieron a inicios de los años ochenta como grupos de civiles formados coercitivamente por la institución armada. En abril de 1983 el Acuerdo Gubernativo 222-83 las reconoció legalmente mediante la creación de la Jefatura Nacional de Coordinación y Control de la Auto Defensa Civil. Tuvieron como objetivos centrales, organizar a la población civil contra los movimientos guerrilleros y lograr un control sobre aquélla, para lo cual tenían una relación institucional con el Ejército, realizaban actividades de apoyo a las funciones de las fuerzas armadas, recibían recursos, armamento, entrenamiento y órdenes directas del Ejército, y operaban bajo su supervisión. En definitiva, las patrullas civiles actuaban como agentes del Estado durante la época del conflicto armado. Dichas patrullas fueron disueltas legalmente en el año 1996. </w:t>
      </w:r>
      <w:r w:rsidRPr="00EF190F">
        <w:rPr>
          <w:i/>
          <w:iCs/>
        </w:rPr>
        <w:t xml:space="preserve">Cfr. </w:t>
      </w:r>
      <w:r w:rsidRPr="00EF190F">
        <w:rPr>
          <w:i/>
        </w:rPr>
        <w:t>Caso Blake</w:t>
      </w:r>
      <w:r w:rsidRPr="00EF190F">
        <w:t xml:space="preserve"> </w:t>
      </w:r>
      <w:r w:rsidRPr="00EF190F">
        <w:rPr>
          <w:i/>
        </w:rPr>
        <w:t xml:space="preserve">Vs. Guatemala. Fondo. </w:t>
      </w:r>
      <w:r w:rsidRPr="00EF190F">
        <w:t>Sentencia de 24 de enero de 1998. Serie C No. 36, párr. 76</w:t>
      </w:r>
      <w:r w:rsidRPr="00EF190F">
        <w:rPr>
          <w:rStyle w:val="Strong"/>
          <w:b w:val="0"/>
          <w:shd w:val="clear" w:color="auto" w:fill="FFFFFF"/>
        </w:rPr>
        <w:t xml:space="preserve">, y </w:t>
      </w:r>
      <w:r w:rsidRPr="00EF190F">
        <w:rPr>
          <w:rStyle w:val="Strong"/>
          <w:b w:val="0"/>
          <w:i/>
          <w:shd w:val="clear" w:color="auto" w:fill="FFFFFF"/>
        </w:rPr>
        <w:t>Caso Masacre Plan de Sánchez Vs. Guatemala</w:t>
      </w:r>
      <w:r w:rsidRPr="00EF190F">
        <w:rPr>
          <w:rStyle w:val="Strong"/>
          <w:b w:val="0"/>
          <w:shd w:val="clear" w:color="auto" w:fill="FFFFFF"/>
        </w:rPr>
        <w:t>. Fondo, párr. 42.28.</w:t>
      </w:r>
      <w:r w:rsidRPr="00EF190F">
        <w:t xml:space="preserve"> Por su parte, la policía judicial era un cuerpo de la Policía Nacional “con las funciones de investigación, persecución y aprehensión de los delincuentes y prevención de los delitos”. Sus integrantes eran conocidos popularmente como los “judiciales”. Hacia mediados de la década de los sesenta se empezó a manifestar la intervención y control del Ejército en la Policía. </w:t>
      </w:r>
      <w:r w:rsidRPr="00EF190F">
        <w:rPr>
          <w:i/>
          <w:iCs/>
          <w:lang w:val="es-CR"/>
        </w:rPr>
        <w:t xml:space="preserve">Cfr. </w:t>
      </w:r>
      <w:r w:rsidRPr="00EF190F">
        <w:rPr>
          <w:lang w:val="es-CR"/>
        </w:rPr>
        <w:t xml:space="preserve">Informe de la CEH </w:t>
      </w:r>
      <w:r w:rsidRPr="00EF190F">
        <w:rPr>
          <w:iCs/>
          <w:lang w:val="es-CR"/>
        </w:rPr>
        <w:t>“</w:t>
      </w:r>
      <w:r w:rsidRPr="00EF190F">
        <w:rPr>
          <w:i/>
          <w:iCs/>
          <w:lang w:val="es-CR"/>
        </w:rPr>
        <w:t>Guatemala, Memoria del Silencio</w:t>
      </w:r>
      <w:r w:rsidRPr="00EF190F">
        <w:rPr>
          <w:iCs/>
          <w:lang w:val="es-CR"/>
        </w:rPr>
        <w:t>”</w:t>
      </w:r>
      <w:r w:rsidRPr="00EF190F">
        <w:rPr>
          <w:lang w:val="es-CR"/>
        </w:rPr>
        <w:t xml:space="preserve">, </w:t>
      </w:r>
      <w:r w:rsidRPr="00EF190F">
        <w:rPr>
          <w:iCs/>
          <w:lang w:val="es-CR"/>
        </w:rPr>
        <w:t>Capítulo Segundo</w:t>
      </w:r>
      <w:r w:rsidRPr="00EF190F">
        <w:rPr>
          <w:lang w:val="es-CR"/>
        </w:rPr>
        <w:t>, párrs. 1159 y 1164.</w:t>
      </w:r>
    </w:p>
  </w:footnote>
  <w:footnote w:id="65">
    <w:p w:rsidR="006A0E1C" w:rsidRPr="00EF190F" w:rsidRDefault="006A0E1C" w:rsidP="006A0E1C">
      <w:pPr>
        <w:tabs>
          <w:tab w:val="left" w:pos="360"/>
        </w:tabs>
        <w:spacing w:line="240" w:lineRule="auto"/>
        <w:contextualSpacing/>
        <w:rPr>
          <w:bCs/>
          <w:sz w:val="16"/>
          <w:szCs w:val="16"/>
          <w:shd w:val="clear" w:color="auto" w:fill="FFFFFF"/>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Cfr.</w:t>
      </w:r>
      <w:r w:rsidRPr="00EF190F">
        <w:rPr>
          <w:i/>
          <w:sz w:val="16"/>
          <w:szCs w:val="16"/>
        </w:rPr>
        <w:t xml:space="preserve"> </w:t>
      </w:r>
      <w:r w:rsidRPr="00EF190F">
        <w:rPr>
          <w:rStyle w:val="Strong"/>
          <w:b w:val="0"/>
          <w:i/>
          <w:sz w:val="16"/>
          <w:szCs w:val="16"/>
          <w:shd w:val="clear" w:color="auto" w:fill="FFFFFF"/>
        </w:rPr>
        <w:t>Caso Chitay Nech y otros Vs. Guatemala,</w:t>
      </w:r>
      <w:r w:rsidRPr="00EF190F">
        <w:rPr>
          <w:rStyle w:val="Strong"/>
          <w:b w:val="0"/>
          <w:sz w:val="16"/>
          <w:szCs w:val="16"/>
          <w:shd w:val="clear" w:color="auto" w:fill="FFFFFF"/>
        </w:rPr>
        <w:t xml:space="preserve"> párr. 123, e </w:t>
      </w:r>
      <w:r w:rsidRPr="00EF190F">
        <w:rPr>
          <w:sz w:val="16"/>
          <w:szCs w:val="16"/>
        </w:rPr>
        <w:t xml:space="preserve">Informe de la CEH </w:t>
      </w:r>
      <w:r w:rsidRPr="00EF190F">
        <w:rPr>
          <w:iCs/>
          <w:sz w:val="16"/>
          <w:szCs w:val="16"/>
        </w:rPr>
        <w:t>“</w:t>
      </w:r>
      <w:r w:rsidRPr="00EF190F">
        <w:rPr>
          <w:i/>
          <w:iCs/>
          <w:sz w:val="16"/>
          <w:szCs w:val="16"/>
        </w:rPr>
        <w:t>Guatemala, Memoria del Silencio</w:t>
      </w:r>
      <w:r w:rsidRPr="00EF190F">
        <w:rPr>
          <w:iCs/>
          <w:sz w:val="16"/>
          <w:szCs w:val="16"/>
        </w:rPr>
        <w:t>”</w:t>
      </w:r>
      <w:r w:rsidRPr="00EF190F">
        <w:rPr>
          <w:sz w:val="16"/>
          <w:szCs w:val="16"/>
        </w:rPr>
        <w:t xml:space="preserve">, </w:t>
      </w:r>
      <w:r w:rsidRPr="00EF190F">
        <w:rPr>
          <w:iCs/>
          <w:sz w:val="16"/>
          <w:szCs w:val="16"/>
        </w:rPr>
        <w:t xml:space="preserve">Capítulo Cuarto, </w:t>
      </w:r>
      <w:r w:rsidRPr="00EF190F">
        <w:rPr>
          <w:sz w:val="16"/>
          <w:szCs w:val="16"/>
        </w:rPr>
        <w:t>párr. 66.</w:t>
      </w:r>
    </w:p>
  </w:footnote>
  <w:footnote w:id="66">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sz w:val="16"/>
          <w:szCs w:val="16"/>
        </w:rPr>
        <w:t xml:space="preserve">Cfr. Caso Bámaca Velásquez Vs. Guatemala. Fondo. </w:t>
      </w:r>
      <w:r w:rsidRPr="00EF190F">
        <w:rPr>
          <w:sz w:val="16"/>
          <w:szCs w:val="16"/>
        </w:rPr>
        <w:t>Sentencia de 25 de noviembre de 2000. Serie C No. 70, párr. 132, y</w:t>
      </w:r>
      <w:r w:rsidRPr="00EF190F">
        <w:rPr>
          <w:rStyle w:val="Strong"/>
          <w:b w:val="0"/>
          <w:sz w:val="16"/>
          <w:szCs w:val="16"/>
          <w:shd w:val="clear" w:color="auto" w:fill="FFFFFF"/>
        </w:rPr>
        <w:t xml:space="preserve"> </w:t>
      </w:r>
      <w:r w:rsidRPr="00EF190F">
        <w:rPr>
          <w:rStyle w:val="Strong"/>
          <w:b w:val="0"/>
          <w:i/>
          <w:sz w:val="16"/>
          <w:szCs w:val="16"/>
          <w:shd w:val="clear" w:color="auto" w:fill="FFFFFF"/>
        </w:rPr>
        <w:t>Caso García y Familiares Vs. Guatemala</w:t>
      </w:r>
      <w:r w:rsidRPr="00EF190F">
        <w:rPr>
          <w:rStyle w:val="Strong"/>
          <w:b w:val="0"/>
          <w:sz w:val="16"/>
          <w:szCs w:val="16"/>
          <w:shd w:val="clear" w:color="auto" w:fill="FFFFFF"/>
        </w:rPr>
        <w:t>, párr. 54.</w:t>
      </w:r>
    </w:p>
  </w:footnote>
  <w:footnote w:id="67">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Cfr</w:t>
      </w:r>
      <w:r w:rsidRPr="00EF190F">
        <w:rPr>
          <w:sz w:val="16"/>
          <w:szCs w:val="16"/>
          <w:lang w:val="es-CR"/>
        </w:rPr>
        <w:t xml:space="preserve">. Caso </w:t>
      </w:r>
      <w:r w:rsidRPr="00EF190F">
        <w:rPr>
          <w:i/>
          <w:iCs/>
          <w:sz w:val="16"/>
          <w:szCs w:val="16"/>
          <w:lang w:val="es-CR"/>
        </w:rPr>
        <w:t>Molina Theissen Vs. Guatemala</w:t>
      </w:r>
      <w:r w:rsidRPr="00EF190F">
        <w:rPr>
          <w:sz w:val="16"/>
          <w:szCs w:val="16"/>
          <w:lang w:val="es-CR"/>
        </w:rPr>
        <w:t>.</w:t>
      </w:r>
      <w:r w:rsidRPr="00EF190F">
        <w:rPr>
          <w:i/>
          <w:sz w:val="16"/>
          <w:szCs w:val="16"/>
          <w:lang w:val="es-CR"/>
        </w:rPr>
        <w:t xml:space="preserve"> Fondo</w:t>
      </w:r>
      <w:r w:rsidRPr="00EF190F">
        <w:rPr>
          <w:sz w:val="16"/>
          <w:szCs w:val="16"/>
          <w:lang w:val="es-CR"/>
        </w:rPr>
        <w:t xml:space="preserve">, párr. 40.1, y </w:t>
      </w:r>
      <w:r w:rsidRPr="00EF190F">
        <w:rPr>
          <w:i/>
          <w:sz w:val="16"/>
          <w:szCs w:val="16"/>
          <w:lang w:val="es-CR"/>
        </w:rPr>
        <w:t>Caso García y Familiares Vs. Guatemala,</w:t>
      </w:r>
      <w:r w:rsidRPr="00EF190F">
        <w:rPr>
          <w:sz w:val="16"/>
          <w:szCs w:val="16"/>
          <w:lang w:val="es-CR"/>
        </w:rPr>
        <w:t xml:space="preserve"> párr. 120.</w:t>
      </w:r>
    </w:p>
  </w:footnote>
  <w:footnote w:id="68">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sz w:val="16"/>
          <w:szCs w:val="16"/>
          <w:lang w:val="es-CR"/>
        </w:rPr>
        <w:t xml:space="preserve">Informe de la CEH </w:t>
      </w:r>
      <w:r w:rsidRPr="00EF190F">
        <w:rPr>
          <w:iCs/>
          <w:sz w:val="16"/>
          <w:szCs w:val="16"/>
          <w:lang w:val="es-CR"/>
        </w:rPr>
        <w:t>“</w:t>
      </w:r>
      <w:r w:rsidRPr="00EF190F">
        <w:rPr>
          <w:i/>
          <w:iCs/>
          <w:sz w:val="16"/>
          <w:szCs w:val="16"/>
          <w:lang w:val="es-CR"/>
        </w:rPr>
        <w:t>Guatemala, Memoria del Silencio</w:t>
      </w:r>
      <w:r w:rsidRPr="00EF190F">
        <w:rPr>
          <w:iCs/>
          <w:sz w:val="16"/>
          <w:szCs w:val="16"/>
          <w:lang w:val="es-CR"/>
        </w:rPr>
        <w:t>”</w:t>
      </w:r>
      <w:r w:rsidRPr="00EF190F">
        <w:rPr>
          <w:sz w:val="16"/>
          <w:szCs w:val="16"/>
          <w:lang w:val="es-CR"/>
        </w:rPr>
        <w:t xml:space="preserve">, </w:t>
      </w:r>
      <w:r w:rsidRPr="00EF190F">
        <w:rPr>
          <w:iCs/>
          <w:sz w:val="16"/>
          <w:szCs w:val="16"/>
          <w:lang w:val="es-CR"/>
        </w:rPr>
        <w:t xml:space="preserve">Capítulo Segundo, </w:t>
      </w:r>
      <w:r w:rsidRPr="00EF190F">
        <w:rPr>
          <w:sz w:val="16"/>
          <w:szCs w:val="16"/>
          <w:lang w:val="es-CR"/>
        </w:rPr>
        <w:t>párrs. 2351, 2352, 2376 y 2464.</w:t>
      </w:r>
    </w:p>
  </w:footnote>
  <w:footnote w:id="69">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Cfr</w:t>
      </w:r>
      <w:r w:rsidRPr="00EF190F">
        <w:rPr>
          <w:sz w:val="16"/>
          <w:szCs w:val="16"/>
        </w:rPr>
        <w:t xml:space="preserve">. </w:t>
      </w:r>
      <w:r w:rsidRPr="00EF190F">
        <w:rPr>
          <w:i/>
          <w:iCs/>
          <w:sz w:val="16"/>
          <w:szCs w:val="16"/>
        </w:rPr>
        <w:t>Caso de la Masacre Plan de Sánchez</w:t>
      </w:r>
      <w:r w:rsidRPr="00EF190F">
        <w:rPr>
          <w:sz w:val="16"/>
          <w:szCs w:val="16"/>
        </w:rPr>
        <w:t xml:space="preserve">. </w:t>
      </w:r>
      <w:r w:rsidRPr="00EF190F">
        <w:rPr>
          <w:i/>
          <w:iCs/>
          <w:sz w:val="16"/>
          <w:szCs w:val="16"/>
        </w:rPr>
        <w:t>Reparaciones y Costas</w:t>
      </w:r>
      <w:r w:rsidRPr="00EF190F">
        <w:rPr>
          <w:sz w:val="16"/>
          <w:szCs w:val="16"/>
        </w:rPr>
        <w:t>. Sentencia de 19 de noviembre 2004. Serie C No. 116, párr. 49.19, y</w:t>
      </w:r>
      <w:r w:rsidRPr="00EF190F">
        <w:rPr>
          <w:i/>
          <w:sz w:val="16"/>
          <w:szCs w:val="16"/>
        </w:rPr>
        <w:t xml:space="preserve"> Caso Masacres de </w:t>
      </w:r>
      <w:r w:rsidRPr="00EF190F">
        <w:rPr>
          <w:i/>
          <w:iCs/>
          <w:sz w:val="16"/>
          <w:szCs w:val="16"/>
        </w:rPr>
        <w:t>Río Negro Vs. Guatemala</w:t>
      </w:r>
      <w:r w:rsidRPr="00EF190F">
        <w:rPr>
          <w:sz w:val="16"/>
          <w:szCs w:val="16"/>
        </w:rPr>
        <w:t>,</w:t>
      </w:r>
      <w:r w:rsidRPr="00EF190F">
        <w:rPr>
          <w:i/>
          <w:sz w:val="16"/>
          <w:szCs w:val="16"/>
        </w:rPr>
        <w:t xml:space="preserve"> </w:t>
      </w:r>
      <w:r w:rsidRPr="00EF190F">
        <w:rPr>
          <w:sz w:val="16"/>
          <w:szCs w:val="16"/>
        </w:rPr>
        <w:t xml:space="preserve">párr. 60. </w:t>
      </w:r>
    </w:p>
  </w:footnote>
  <w:footnote w:id="70">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i/>
          <w:sz w:val="16"/>
          <w:szCs w:val="16"/>
        </w:rPr>
        <w:t xml:space="preserve">Caso de la Masacre de Las Dos Erres Vs. Guatemala, </w:t>
      </w:r>
      <w:r w:rsidRPr="00EF190F">
        <w:rPr>
          <w:sz w:val="16"/>
          <w:szCs w:val="16"/>
        </w:rPr>
        <w:t>párrs. 177, 178, 170 y 199, y</w:t>
      </w:r>
      <w:r w:rsidRPr="00EF190F">
        <w:rPr>
          <w:i/>
          <w:sz w:val="16"/>
          <w:szCs w:val="16"/>
        </w:rPr>
        <w:t xml:space="preserve"> Caso </w:t>
      </w:r>
      <w:r w:rsidRPr="00EF190F">
        <w:rPr>
          <w:i/>
          <w:iCs/>
          <w:sz w:val="16"/>
          <w:szCs w:val="16"/>
        </w:rPr>
        <w:t>Masacres de Río Negro Vs. Guatemala</w:t>
      </w:r>
      <w:r w:rsidRPr="00EF190F">
        <w:rPr>
          <w:i/>
          <w:sz w:val="16"/>
          <w:szCs w:val="16"/>
        </w:rPr>
        <w:t xml:space="preserve">, </w:t>
      </w:r>
      <w:r w:rsidRPr="00EF190F">
        <w:rPr>
          <w:sz w:val="16"/>
          <w:szCs w:val="16"/>
        </w:rPr>
        <w:t>párr. 60.</w:t>
      </w:r>
    </w:p>
  </w:footnote>
  <w:footnote w:id="71">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i/>
          <w:sz w:val="16"/>
          <w:szCs w:val="16"/>
        </w:rPr>
        <w:t>Caso Masacres de Río Negro Vs. Guatemala</w:t>
      </w:r>
      <w:r w:rsidRPr="00EF190F">
        <w:rPr>
          <w:sz w:val="16"/>
          <w:szCs w:val="16"/>
        </w:rPr>
        <w:t>,</w:t>
      </w:r>
      <w:r w:rsidRPr="00EF190F">
        <w:rPr>
          <w:i/>
          <w:sz w:val="16"/>
          <w:szCs w:val="16"/>
        </w:rPr>
        <w:t xml:space="preserve"> </w:t>
      </w:r>
      <w:r w:rsidRPr="00EF190F">
        <w:rPr>
          <w:sz w:val="16"/>
          <w:szCs w:val="16"/>
        </w:rPr>
        <w:t>párr. 60.</w:t>
      </w:r>
    </w:p>
  </w:footnote>
  <w:footnote w:id="72">
    <w:p w:rsidR="006A0E1C" w:rsidRPr="00EF190F" w:rsidRDefault="006A0E1C" w:rsidP="006A0E1C">
      <w:pPr>
        <w:pStyle w:val="FootnoteText"/>
        <w:tabs>
          <w:tab w:val="left" w:pos="360"/>
        </w:tabs>
        <w:contextualSpacing/>
        <w:rPr>
          <w:sz w:val="16"/>
          <w:szCs w:val="16"/>
        </w:rPr>
      </w:pPr>
      <w:r w:rsidRPr="00EF190F">
        <w:rPr>
          <w:sz w:val="16"/>
          <w:szCs w:val="16"/>
          <w:vertAlign w:val="superscript"/>
        </w:rPr>
        <w:footnoteRef/>
      </w:r>
      <w:r w:rsidRPr="00EF190F">
        <w:rPr>
          <w:sz w:val="16"/>
          <w:szCs w:val="16"/>
          <w:lang w:val="es-CR"/>
        </w:rPr>
        <w:tab/>
      </w:r>
      <w:r w:rsidRPr="00EF190F">
        <w:rPr>
          <w:i/>
          <w:sz w:val="16"/>
          <w:szCs w:val="16"/>
          <w:lang w:val="es-CR"/>
        </w:rPr>
        <w:t xml:space="preserve">Cfr. </w:t>
      </w:r>
      <w:r w:rsidRPr="00EF190F">
        <w:rPr>
          <w:i/>
          <w:iCs/>
          <w:sz w:val="16"/>
          <w:szCs w:val="16"/>
          <w:lang w:val="es-CR"/>
        </w:rPr>
        <w:t xml:space="preserve">Caso de la Masacre de Las Dos Erres Vs. Guatemala, </w:t>
      </w:r>
      <w:r w:rsidRPr="00EF190F">
        <w:rPr>
          <w:sz w:val="16"/>
          <w:szCs w:val="16"/>
          <w:lang w:val="es-CR"/>
        </w:rPr>
        <w:t>párr. 171, y</w:t>
      </w:r>
      <w:r w:rsidRPr="00EF190F">
        <w:rPr>
          <w:i/>
          <w:sz w:val="16"/>
          <w:szCs w:val="16"/>
          <w:lang w:val="es-CR"/>
        </w:rPr>
        <w:t xml:space="preserve"> Caso Masacres de Río Negro Vs. Guatemala, </w:t>
      </w:r>
      <w:r w:rsidRPr="00EF190F">
        <w:rPr>
          <w:sz w:val="16"/>
          <w:szCs w:val="16"/>
          <w:lang w:val="es-CR"/>
        </w:rPr>
        <w:t>párr. 60.</w:t>
      </w:r>
    </w:p>
  </w:footnote>
  <w:footnote w:id="73">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Cfr.</w:t>
      </w:r>
      <w:r w:rsidRPr="00EF190F">
        <w:rPr>
          <w:sz w:val="16"/>
          <w:szCs w:val="16"/>
        </w:rPr>
        <w:t xml:space="preserve"> </w:t>
      </w:r>
      <w:r w:rsidRPr="00EF190F">
        <w:rPr>
          <w:i/>
          <w:iCs/>
          <w:sz w:val="16"/>
          <w:szCs w:val="16"/>
        </w:rPr>
        <w:t>Caso</w:t>
      </w:r>
      <w:r w:rsidRPr="00EF190F">
        <w:rPr>
          <w:sz w:val="16"/>
          <w:szCs w:val="16"/>
        </w:rPr>
        <w:t xml:space="preserve"> </w:t>
      </w:r>
      <w:r w:rsidRPr="00EF190F">
        <w:rPr>
          <w:i/>
          <w:iCs/>
          <w:sz w:val="16"/>
          <w:szCs w:val="16"/>
        </w:rPr>
        <w:t>de la Masacre Plan de Sánchez Vs. Guatemala</w:t>
      </w:r>
      <w:r w:rsidRPr="00EF190F">
        <w:rPr>
          <w:sz w:val="16"/>
          <w:szCs w:val="16"/>
        </w:rPr>
        <w:t xml:space="preserve">. </w:t>
      </w:r>
      <w:r w:rsidRPr="00EF190F">
        <w:rPr>
          <w:i/>
          <w:iCs/>
          <w:sz w:val="16"/>
          <w:szCs w:val="16"/>
        </w:rPr>
        <w:t>Fondo,</w:t>
      </w:r>
      <w:r w:rsidRPr="00EF190F">
        <w:rPr>
          <w:sz w:val="16"/>
          <w:szCs w:val="16"/>
        </w:rPr>
        <w:t xml:space="preserve"> párr. 42.7, y</w:t>
      </w:r>
      <w:r w:rsidRPr="00EF190F">
        <w:rPr>
          <w:i/>
          <w:sz w:val="16"/>
          <w:szCs w:val="16"/>
        </w:rPr>
        <w:t xml:space="preserve"> Caso </w:t>
      </w:r>
      <w:r w:rsidRPr="00EF190F">
        <w:rPr>
          <w:i/>
          <w:iCs/>
          <w:sz w:val="16"/>
          <w:szCs w:val="16"/>
        </w:rPr>
        <w:t>Masacres de Río Negro Vs. Guatemala</w:t>
      </w:r>
      <w:r w:rsidRPr="00EF190F">
        <w:rPr>
          <w:sz w:val="16"/>
          <w:szCs w:val="16"/>
        </w:rPr>
        <w:t>,</w:t>
      </w:r>
      <w:r w:rsidRPr="00EF190F">
        <w:rPr>
          <w:i/>
          <w:sz w:val="16"/>
          <w:szCs w:val="16"/>
        </w:rPr>
        <w:t xml:space="preserve"> </w:t>
      </w:r>
      <w:r w:rsidRPr="00EF190F">
        <w:rPr>
          <w:sz w:val="16"/>
          <w:szCs w:val="16"/>
        </w:rPr>
        <w:t xml:space="preserve">párr. 61. </w:t>
      </w:r>
    </w:p>
  </w:footnote>
  <w:footnote w:id="74">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i/>
          <w:sz w:val="16"/>
          <w:szCs w:val="16"/>
        </w:rPr>
        <w:t>Caso</w:t>
      </w:r>
      <w:r w:rsidRPr="00EF190F">
        <w:rPr>
          <w:sz w:val="16"/>
          <w:szCs w:val="16"/>
        </w:rPr>
        <w:t xml:space="preserve"> </w:t>
      </w:r>
      <w:r w:rsidRPr="00EF190F">
        <w:rPr>
          <w:i/>
          <w:iCs/>
          <w:sz w:val="16"/>
          <w:szCs w:val="16"/>
        </w:rPr>
        <w:t xml:space="preserve">Chitay Nech y otros Vs. Guatemala, </w:t>
      </w:r>
      <w:r w:rsidRPr="00EF190F">
        <w:rPr>
          <w:sz w:val="16"/>
          <w:szCs w:val="16"/>
        </w:rPr>
        <w:t>párrs. 66 a 67, y 69</w:t>
      </w:r>
      <w:r w:rsidRPr="00EF190F">
        <w:rPr>
          <w:iCs/>
          <w:sz w:val="16"/>
          <w:szCs w:val="16"/>
        </w:rPr>
        <w:t>, y</w:t>
      </w:r>
      <w:r w:rsidRPr="00EF190F">
        <w:rPr>
          <w:i/>
          <w:iCs/>
          <w:sz w:val="16"/>
          <w:szCs w:val="16"/>
        </w:rPr>
        <w:t xml:space="preserve"> Caso Masacres de Río Negro Vs. Guatemala, </w:t>
      </w:r>
      <w:r w:rsidRPr="00EF190F">
        <w:rPr>
          <w:iCs/>
          <w:sz w:val="16"/>
          <w:szCs w:val="16"/>
        </w:rPr>
        <w:t>párr. 61</w:t>
      </w:r>
      <w:r w:rsidRPr="00EF190F">
        <w:rPr>
          <w:sz w:val="16"/>
          <w:szCs w:val="16"/>
        </w:rPr>
        <w:t>.</w:t>
      </w:r>
    </w:p>
  </w:footnote>
  <w:footnote w:id="75">
    <w:p w:rsidR="006A0E1C" w:rsidRPr="00EF190F" w:rsidRDefault="006A0E1C" w:rsidP="006A0E1C">
      <w:pPr>
        <w:tabs>
          <w:tab w:val="left" w:pos="360"/>
          <w:tab w:val="left" w:pos="72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Cfr.</w:t>
      </w:r>
      <w:r w:rsidRPr="00EF190F">
        <w:rPr>
          <w:i/>
          <w:sz w:val="16"/>
          <w:szCs w:val="16"/>
        </w:rPr>
        <w:t xml:space="preserve"> </w:t>
      </w:r>
      <w:r w:rsidRPr="00EF190F">
        <w:rPr>
          <w:i/>
          <w:iCs/>
          <w:sz w:val="16"/>
          <w:szCs w:val="16"/>
        </w:rPr>
        <w:t>Caso Masacres de Río Negro Vs. Guatemala</w:t>
      </w:r>
      <w:r w:rsidRPr="00EF190F">
        <w:rPr>
          <w:sz w:val="16"/>
          <w:szCs w:val="16"/>
        </w:rPr>
        <w:t>,</w:t>
      </w:r>
      <w:r w:rsidRPr="00EF190F">
        <w:rPr>
          <w:i/>
          <w:sz w:val="16"/>
          <w:szCs w:val="16"/>
        </w:rPr>
        <w:t xml:space="preserve"> </w:t>
      </w:r>
      <w:r w:rsidRPr="00EF190F">
        <w:rPr>
          <w:sz w:val="16"/>
          <w:szCs w:val="16"/>
        </w:rPr>
        <w:t>párr. 61.</w:t>
      </w:r>
    </w:p>
  </w:footnote>
  <w:footnote w:id="76">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i/>
          <w:sz w:val="16"/>
          <w:szCs w:val="16"/>
          <w:lang w:val="es-CR"/>
        </w:rPr>
        <w:t xml:space="preserve">Caso </w:t>
      </w:r>
      <w:r w:rsidRPr="00EF190F">
        <w:rPr>
          <w:i/>
          <w:iCs/>
          <w:sz w:val="16"/>
          <w:szCs w:val="16"/>
          <w:lang w:val="es-CR"/>
        </w:rPr>
        <w:t>Masacres de Río Negro Vs. Guatemala</w:t>
      </w:r>
      <w:r w:rsidRPr="00EF190F">
        <w:rPr>
          <w:sz w:val="16"/>
          <w:szCs w:val="16"/>
          <w:lang w:val="es-CR"/>
        </w:rPr>
        <w:t>,</w:t>
      </w:r>
      <w:r w:rsidRPr="00EF190F">
        <w:rPr>
          <w:i/>
          <w:sz w:val="16"/>
          <w:szCs w:val="16"/>
          <w:lang w:val="es-CR"/>
        </w:rPr>
        <w:t xml:space="preserve"> </w:t>
      </w:r>
      <w:r w:rsidRPr="00EF190F">
        <w:rPr>
          <w:sz w:val="16"/>
          <w:szCs w:val="16"/>
          <w:lang w:val="es-CR"/>
        </w:rPr>
        <w:t xml:space="preserve">párr. 61, y nota al pie 57. </w:t>
      </w:r>
    </w:p>
  </w:footnote>
  <w:footnote w:id="77">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i/>
          <w:sz w:val="16"/>
          <w:szCs w:val="16"/>
          <w:lang w:val="es-CR"/>
        </w:rPr>
        <w:t>Caso</w:t>
      </w:r>
      <w:r w:rsidRPr="00EF190F">
        <w:rPr>
          <w:sz w:val="16"/>
          <w:szCs w:val="16"/>
          <w:lang w:val="es-CR"/>
        </w:rPr>
        <w:t xml:space="preserve"> </w:t>
      </w:r>
      <w:r w:rsidRPr="00EF190F">
        <w:rPr>
          <w:i/>
          <w:iCs/>
          <w:sz w:val="16"/>
          <w:szCs w:val="16"/>
          <w:lang w:val="es-CR"/>
        </w:rPr>
        <w:t>Masacres de Río Negro Vs. Guatemala</w:t>
      </w:r>
      <w:r w:rsidRPr="00EF190F">
        <w:rPr>
          <w:sz w:val="16"/>
          <w:szCs w:val="16"/>
          <w:lang w:val="es-CR"/>
        </w:rPr>
        <w:t>,</w:t>
      </w:r>
      <w:r w:rsidRPr="00EF190F">
        <w:rPr>
          <w:i/>
          <w:sz w:val="16"/>
          <w:szCs w:val="16"/>
          <w:lang w:val="es-CR"/>
        </w:rPr>
        <w:t xml:space="preserve"> </w:t>
      </w:r>
      <w:r w:rsidRPr="00EF190F">
        <w:rPr>
          <w:sz w:val="16"/>
          <w:szCs w:val="16"/>
          <w:lang w:val="es-CR"/>
        </w:rPr>
        <w:t xml:space="preserve">párr. 61. </w:t>
      </w:r>
    </w:p>
  </w:footnote>
  <w:footnote w:id="78">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ab/>
      </w:r>
      <w:r w:rsidRPr="00EF190F">
        <w:rPr>
          <w:i/>
          <w:sz w:val="16"/>
          <w:szCs w:val="16"/>
          <w:lang w:val="es-CR"/>
        </w:rPr>
        <w:t xml:space="preserve">Cfr. </w:t>
      </w:r>
      <w:r w:rsidRPr="00EF190F">
        <w:rPr>
          <w:i/>
          <w:iCs/>
          <w:sz w:val="16"/>
          <w:szCs w:val="16"/>
          <w:lang w:val="es-CR"/>
        </w:rPr>
        <w:t>Caso</w:t>
      </w:r>
      <w:r w:rsidRPr="00EF190F">
        <w:rPr>
          <w:sz w:val="16"/>
          <w:szCs w:val="16"/>
          <w:lang w:val="es-CR"/>
        </w:rPr>
        <w:t xml:space="preserve"> </w:t>
      </w:r>
      <w:r w:rsidRPr="00EF190F">
        <w:rPr>
          <w:i/>
          <w:iCs/>
          <w:sz w:val="16"/>
          <w:szCs w:val="16"/>
          <w:lang w:val="es-CR"/>
        </w:rPr>
        <w:t>de la Masacre Plan de Sánchez Vs. Guatemala</w:t>
      </w:r>
      <w:r w:rsidRPr="00EF190F">
        <w:rPr>
          <w:sz w:val="16"/>
          <w:szCs w:val="16"/>
          <w:lang w:val="es-CR"/>
        </w:rPr>
        <w:t xml:space="preserve">. </w:t>
      </w:r>
      <w:r w:rsidRPr="00EF190F">
        <w:rPr>
          <w:i/>
          <w:iCs/>
          <w:sz w:val="16"/>
          <w:szCs w:val="16"/>
          <w:lang w:val="es-CR"/>
        </w:rPr>
        <w:t>Fondo</w:t>
      </w:r>
      <w:r w:rsidRPr="00EF190F">
        <w:rPr>
          <w:sz w:val="16"/>
          <w:szCs w:val="16"/>
          <w:lang w:val="es-CR"/>
        </w:rPr>
        <w:t xml:space="preserve">, párr. 42.10, e Informe de la CEH </w:t>
      </w:r>
      <w:r w:rsidRPr="00EF190F">
        <w:rPr>
          <w:i/>
          <w:iCs/>
          <w:sz w:val="16"/>
          <w:szCs w:val="16"/>
          <w:lang w:val="es-CR"/>
        </w:rPr>
        <w:t>“Guatemala, Memoria del Silencio</w:t>
      </w:r>
      <w:r w:rsidRPr="00EF190F">
        <w:rPr>
          <w:iCs/>
          <w:sz w:val="16"/>
          <w:szCs w:val="16"/>
          <w:lang w:val="es-CR"/>
        </w:rPr>
        <w:t>”</w:t>
      </w:r>
      <w:r w:rsidRPr="00EF190F">
        <w:rPr>
          <w:sz w:val="16"/>
          <w:szCs w:val="16"/>
          <w:lang w:val="es-CR"/>
        </w:rPr>
        <w:t xml:space="preserve">, </w:t>
      </w:r>
      <w:r w:rsidRPr="00EF190F">
        <w:rPr>
          <w:iCs/>
          <w:sz w:val="16"/>
          <w:szCs w:val="16"/>
          <w:lang w:val="es-CR"/>
        </w:rPr>
        <w:t xml:space="preserve">Capítulo Cuarto, </w:t>
      </w:r>
      <w:r w:rsidRPr="00EF190F">
        <w:rPr>
          <w:sz w:val="16"/>
          <w:szCs w:val="16"/>
          <w:lang w:val="es-CR"/>
        </w:rPr>
        <w:t>párr. 3362.</w:t>
      </w:r>
    </w:p>
  </w:footnote>
  <w:footnote w:id="79">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i/>
          <w:sz w:val="16"/>
          <w:szCs w:val="16"/>
          <w:lang w:val="es-CR"/>
        </w:rPr>
        <w:t>Caso</w:t>
      </w:r>
      <w:r w:rsidRPr="00EF190F">
        <w:rPr>
          <w:i/>
          <w:iCs/>
          <w:sz w:val="16"/>
          <w:szCs w:val="16"/>
          <w:lang w:val="es-CR"/>
        </w:rPr>
        <w:t xml:space="preserve"> Masacres de Río Negro Vs. Guatemala, </w:t>
      </w:r>
      <w:r w:rsidRPr="00EF190F">
        <w:rPr>
          <w:sz w:val="16"/>
          <w:szCs w:val="16"/>
          <w:lang w:val="es-CR"/>
        </w:rPr>
        <w:t xml:space="preserve">párr. 64, y </w:t>
      </w:r>
      <w:r w:rsidRPr="00EF190F">
        <w:rPr>
          <w:i/>
          <w:iCs/>
          <w:sz w:val="16"/>
          <w:szCs w:val="16"/>
          <w:lang w:val="es-CR"/>
        </w:rPr>
        <w:t>Caso</w:t>
      </w:r>
      <w:r w:rsidRPr="00EF190F">
        <w:rPr>
          <w:sz w:val="16"/>
          <w:szCs w:val="16"/>
          <w:lang w:val="es-CR"/>
        </w:rPr>
        <w:t xml:space="preserve"> </w:t>
      </w:r>
      <w:r w:rsidRPr="00EF190F">
        <w:rPr>
          <w:i/>
          <w:iCs/>
          <w:sz w:val="16"/>
          <w:szCs w:val="16"/>
          <w:lang w:val="es-CR"/>
        </w:rPr>
        <w:t>de la Masacre Plan de Sánchez</w:t>
      </w:r>
      <w:r w:rsidRPr="00EF190F">
        <w:rPr>
          <w:sz w:val="16"/>
          <w:szCs w:val="16"/>
          <w:lang w:val="es-CR"/>
        </w:rPr>
        <w:t xml:space="preserve">. </w:t>
      </w:r>
      <w:r w:rsidRPr="00EF190F">
        <w:rPr>
          <w:i/>
          <w:iCs/>
          <w:sz w:val="16"/>
          <w:szCs w:val="16"/>
          <w:lang w:val="es-CR"/>
        </w:rPr>
        <w:t>Fondo,</w:t>
      </w:r>
      <w:r w:rsidRPr="00EF190F">
        <w:rPr>
          <w:sz w:val="16"/>
          <w:szCs w:val="16"/>
          <w:lang w:val="es-CR"/>
        </w:rPr>
        <w:t xml:space="preserve"> párr. 42.8.</w:t>
      </w:r>
    </w:p>
  </w:footnote>
  <w:footnote w:id="80">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Cfr.</w:t>
      </w:r>
      <w:r w:rsidRPr="00EF190F">
        <w:rPr>
          <w:sz w:val="16"/>
          <w:szCs w:val="16"/>
        </w:rPr>
        <w:t xml:space="preserve"> Informe de la CEH </w:t>
      </w:r>
      <w:r w:rsidRPr="00EF190F">
        <w:rPr>
          <w:i/>
          <w:iCs/>
          <w:sz w:val="16"/>
          <w:szCs w:val="16"/>
        </w:rPr>
        <w:t>“Guatemala, Memoria del Silencio”</w:t>
      </w:r>
      <w:r w:rsidRPr="00EF190F">
        <w:rPr>
          <w:sz w:val="16"/>
          <w:szCs w:val="16"/>
        </w:rPr>
        <w:t xml:space="preserve">, </w:t>
      </w:r>
      <w:r w:rsidRPr="00EF190F">
        <w:rPr>
          <w:iCs/>
          <w:sz w:val="16"/>
          <w:szCs w:val="16"/>
        </w:rPr>
        <w:t xml:space="preserve">Capítulo Cuarto, </w:t>
      </w:r>
      <w:r w:rsidRPr="00EF190F">
        <w:rPr>
          <w:sz w:val="16"/>
          <w:szCs w:val="16"/>
        </w:rPr>
        <w:t>párrs. 3364 a 3368.</w:t>
      </w:r>
    </w:p>
  </w:footnote>
  <w:footnote w:id="81">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sz w:val="16"/>
          <w:szCs w:val="16"/>
        </w:rPr>
        <w:t>Declaraciones rendidas ante fedatario público (affidávit) por Juana García Depaz (esposa de Mateo Grave) y Olivia Siana Ixtecoc de Bolaj (hija de Pedro Siana) los días 2 de noviembre de 2009 y 18 de diciembre de 2014 (expediente de prueba, folios 1330, 1331 y 5841), y Declaración de Juana García Depaz en la audiencia pública celebrada el 28 de abril de 2016.</w:t>
      </w:r>
    </w:p>
  </w:footnote>
  <w:footnote w:id="82">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sz w:val="16"/>
          <w:szCs w:val="16"/>
        </w:rPr>
        <w:t xml:space="preserve">Cfr. </w:t>
      </w:r>
      <w:r w:rsidRPr="00EF190F">
        <w:rPr>
          <w:sz w:val="16"/>
          <w:szCs w:val="16"/>
        </w:rPr>
        <w:t>Declaraciones rendidas ante el auxiliar fiscal por Rosario Román Tum (esposa de Domingo Reyes Juárez) y Víctor Cástulo Alvarado Sucup (hijo de Víctor Alvarado Valey) los días 11 de agosto de 1995 y 9 de mayo de 2000, y Declaraciones rendidas ante fedatario público (affidávit) por Víctor Cástulo Alvarado Sucup (hijo de Víctor Alvarado Valey) y Juana Reyes Román (hija de Domingo Reyes Juárez) los días 16, 18 y 31 de diciembre de 2014 (expediente de prueba, folios 1883, 1885, 1890, 1888, 5831 y 5846), e Informe de Investigación Antropológico Forense de la FAFG de 18 de diciembre de 2002 (expediente de prueba, folios 1965, 1961, 1966, 1969 y 1971).</w:t>
      </w:r>
    </w:p>
  </w:footnote>
  <w:footnote w:id="83">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sz w:val="16"/>
          <w:szCs w:val="16"/>
        </w:rPr>
        <w:t>Acta de exhumación de cadáveres de 9 de abril de 2002 (expediente de prueba, folios 1938 a 1941); Informe de Investigación Antropológico Forense de la FAFG de 24 de julio de 2002 (expediente de prueba, folios 2037), y Acta de reconocimiento judicial de osamentas humanas del Organismo Judicial de Guatemala de 27 de febrero de 2003 (expediente de fondo, folios 1952 a 1954).</w:t>
      </w:r>
    </w:p>
  </w:footnote>
  <w:footnote w:id="84">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t>El Informe de la CEH indica que “[e]l 9 de enero de 1982, en la cabecera municipal de Rabinal, departamento de Baja Verapaz, Lorenzo De Paz Cipriano, quien era alcalde auxiliar de Chihom (</w:t>
      </w:r>
      <w:r w:rsidRPr="00EF190F">
        <w:rPr>
          <w:i/>
          <w:sz w:val="16"/>
          <w:szCs w:val="16"/>
          <w:lang w:val="es-CR"/>
        </w:rPr>
        <w:t>sic</w:t>
      </w:r>
      <w:r w:rsidRPr="00EF190F">
        <w:rPr>
          <w:sz w:val="16"/>
          <w:szCs w:val="16"/>
          <w:lang w:val="es-CR"/>
        </w:rPr>
        <w:t xml:space="preserve">), acudió a la alcaldía citado por la Policía Judicial y comisionados militares. Desde entonces no se ha vuelto a saber de la víctima”. </w:t>
      </w:r>
      <w:r w:rsidRPr="00EF190F">
        <w:rPr>
          <w:i/>
          <w:sz w:val="16"/>
          <w:szCs w:val="16"/>
          <w:lang w:val="es-CR"/>
        </w:rPr>
        <w:t>Cfr.</w:t>
      </w:r>
      <w:r w:rsidRPr="00EF190F">
        <w:rPr>
          <w:sz w:val="16"/>
          <w:szCs w:val="16"/>
          <w:lang w:val="es-CR"/>
        </w:rPr>
        <w:t xml:space="preserve"> Informe de la CEH </w:t>
      </w:r>
      <w:r w:rsidRPr="00EF190F">
        <w:rPr>
          <w:i/>
          <w:iCs/>
          <w:sz w:val="16"/>
          <w:szCs w:val="16"/>
          <w:lang w:val="es-CR"/>
        </w:rPr>
        <w:t>“Guatemala, Memoria del Silencio”</w:t>
      </w:r>
      <w:r w:rsidRPr="00EF190F">
        <w:rPr>
          <w:sz w:val="16"/>
          <w:szCs w:val="16"/>
          <w:lang w:val="es-CR"/>
        </w:rPr>
        <w:t>, Casos Presentados, Anexo II, pág. 163.</w:t>
      </w:r>
    </w:p>
  </w:footnote>
  <w:footnote w:id="85">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sz w:val="16"/>
          <w:szCs w:val="16"/>
        </w:rPr>
        <w:t xml:space="preserve">Declaraciones de hombres miembros de la comunidad que fueron obligados a limpiar la clínica, recibidas en el marco de la investigación penal por el auxiliar fiscal asignado los días 27 de abril de 1999, 25 de octubre de 2000, 12 y 27 de julio de 2005 y 16 de agosto de 2005, y rendidas ante fedatario público (affidávit) los días 20, 22 </w:t>
      </w:r>
      <w:r w:rsidRPr="00EF190F">
        <w:rPr>
          <w:sz w:val="16"/>
          <w:szCs w:val="16"/>
          <w:lang w:val="es-GT"/>
        </w:rPr>
        <w:t>y</w:t>
      </w:r>
      <w:r w:rsidRPr="00EF190F">
        <w:rPr>
          <w:sz w:val="16"/>
          <w:szCs w:val="16"/>
        </w:rPr>
        <w:t xml:space="preserve"> 26 de diciembre de 2014 (expediente de prueba, folios 435, 448, 452, 611, 638, 735, 736, 758 a 759, 1009, 1212, 1218, 5908, 5935 y 5964), y Declaración de Miguel Sic Osorio presentada ante la Corte Interamericana ante fedatario público (affidávit) el 20 de abril de 2016.</w:t>
      </w:r>
    </w:p>
  </w:footnote>
  <w:footnote w:id="86">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Cfr.</w:t>
      </w:r>
      <w:r w:rsidRPr="00EF190F">
        <w:rPr>
          <w:sz w:val="16"/>
          <w:szCs w:val="16"/>
        </w:rPr>
        <w:t xml:space="preserve"> Declaraciones de vecinos de la comunidad que hicieron otra tumba para enterrar bien los cuerpos, así como de otras personas de la comunidad que indicaron saber que sucedió este hecho, recibidas en el marco de la investigación penal por el auxiliar fiscal asignado los días 14 de abril de 1993, 27 de abril de 1999, 25 de octubre de 2000 y 12 y 27 de julio de 2005, y rendidas ante fedatario público (affidávit) los días 19 y 30 de diciembre de 2014 (expediente de prueba, folios 435, 472, 607, 611, 638, 719 a 720, 735 a 736, 759, 1009, 1205, 1212, 5896, 6125 y 5964), y Declaración de Miguel Sic Osorio presentada ante la Corte Interamericana ante fedatario público (affidávit) el 20 de abril de 2016.</w:t>
      </w:r>
    </w:p>
  </w:footnote>
  <w:footnote w:id="87">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lang w:val="es-CR"/>
        </w:rPr>
        <w:t xml:space="preserve">Cfr. </w:t>
      </w:r>
      <w:r w:rsidRPr="00EF190F">
        <w:rPr>
          <w:sz w:val="16"/>
          <w:szCs w:val="16"/>
          <w:lang w:val="es-CR"/>
        </w:rPr>
        <w:t>Acta de exhumación de cadáveres, mayo de 1993 (expediente de prueba, folios 666 a 685); Informe presentado por el EAFG de julio de 1993 (expediente de prueba, folios 511, 540 y 541), y Oficios de la Policía Nacional de Salamá en Baja Verapaz de 15 y 19 de mayo de 1993 (expediente de prueba, folios 690 a 692, 940 y 941).</w:t>
      </w:r>
    </w:p>
  </w:footnote>
  <w:footnote w:id="88">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t xml:space="preserve">De conformidad con la prueba y los argumentos de la Comisión y los representantes no controvertidos por el Estado, el señor Félix Alvarado, incluido en el grupo de los 32 hombres, no soportó las torturas de las que fue víctima y murió en el camino. </w:t>
      </w:r>
      <w:r w:rsidRPr="00EF190F">
        <w:rPr>
          <w:i/>
          <w:iCs/>
          <w:sz w:val="16"/>
          <w:szCs w:val="16"/>
        </w:rPr>
        <w:t xml:space="preserve">Cfr. </w:t>
      </w:r>
      <w:r w:rsidRPr="00EF190F">
        <w:rPr>
          <w:sz w:val="16"/>
          <w:szCs w:val="16"/>
        </w:rPr>
        <w:t>Declaraciones de vecinos de la comunidad que indicaron saber que sucedió este hecho, y una declaración más de una persona que indicó haber visto caer en el camino al señor Félix Alvarado, recibidas en el marco de la investigación penal por el auxiliar fiscal asignado los días 27 de abril y 28 de junio de 1999, y 16 de agosto de 2005 (expediente de prueba, folios 638, 1024 y 1218).</w:t>
      </w:r>
    </w:p>
  </w:footnote>
  <w:footnote w:id="89">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Cfr.</w:t>
      </w:r>
      <w:r w:rsidRPr="00EF190F">
        <w:rPr>
          <w:sz w:val="16"/>
          <w:szCs w:val="16"/>
          <w:lang w:val="es-CR"/>
        </w:rPr>
        <w:t xml:space="preserve"> Declaraciones de Máxima Emiliana García Valey recibidas en el marco de la investigación penal por el auxiliar fiscal asignado los días 25 de octubre de 2000, 26 de julio de 2001 y 12 de julio de 2005, y rendida </w:t>
      </w:r>
      <w:r w:rsidRPr="00EF190F">
        <w:rPr>
          <w:rFonts w:cs="Calibri"/>
          <w:sz w:val="16"/>
          <w:szCs w:val="16"/>
          <w:lang w:val="es-CR"/>
        </w:rPr>
        <w:t>ante fedatario público (affidávit)</w:t>
      </w:r>
      <w:r w:rsidRPr="00EF190F">
        <w:rPr>
          <w:sz w:val="16"/>
          <w:szCs w:val="16"/>
          <w:lang w:val="es-CR"/>
        </w:rPr>
        <w:t xml:space="preserve"> </w:t>
      </w:r>
      <w:r w:rsidRPr="00EF190F">
        <w:rPr>
          <w:rFonts w:cs="Calibri"/>
          <w:sz w:val="16"/>
          <w:szCs w:val="16"/>
          <w:lang w:val="es-CR"/>
        </w:rPr>
        <w:t>el 12 de diciembre de 2014</w:t>
      </w:r>
      <w:r w:rsidRPr="00EF190F">
        <w:rPr>
          <w:sz w:val="16"/>
          <w:szCs w:val="16"/>
          <w:lang w:val="es-CR"/>
        </w:rPr>
        <w:t xml:space="preserve"> (expediente de prueba, folios 463 a 469, 750 a 751, 796 y </w:t>
      </w:r>
      <w:r w:rsidRPr="00EF190F">
        <w:rPr>
          <w:rFonts w:cs="Calibri"/>
          <w:sz w:val="16"/>
          <w:szCs w:val="16"/>
          <w:lang w:val="es-CR"/>
        </w:rPr>
        <w:t>5714</w:t>
      </w:r>
      <w:r w:rsidRPr="00EF190F">
        <w:rPr>
          <w:sz w:val="16"/>
          <w:szCs w:val="16"/>
          <w:lang w:val="es-CR"/>
        </w:rPr>
        <w:t>).</w:t>
      </w:r>
    </w:p>
  </w:footnote>
  <w:footnote w:id="90">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lang w:val="es-CR"/>
        </w:rPr>
        <w:t xml:space="preserve">Cfr. </w:t>
      </w:r>
      <w:r w:rsidRPr="00EF190F">
        <w:rPr>
          <w:sz w:val="16"/>
          <w:szCs w:val="16"/>
          <w:lang w:val="es-CR"/>
        </w:rPr>
        <w:t xml:space="preserve">Informe de la CEH </w:t>
      </w:r>
      <w:r w:rsidRPr="00EF190F">
        <w:rPr>
          <w:iCs/>
          <w:sz w:val="16"/>
          <w:szCs w:val="16"/>
          <w:lang w:val="es-CR"/>
        </w:rPr>
        <w:t>“</w:t>
      </w:r>
      <w:r w:rsidRPr="00EF190F">
        <w:rPr>
          <w:i/>
          <w:iCs/>
          <w:sz w:val="16"/>
          <w:szCs w:val="16"/>
          <w:lang w:val="es-CR"/>
        </w:rPr>
        <w:t>Guatemala, Memoria del Silencio</w:t>
      </w:r>
      <w:r w:rsidRPr="00EF190F">
        <w:rPr>
          <w:iCs/>
          <w:sz w:val="16"/>
          <w:szCs w:val="16"/>
          <w:lang w:val="es-CR"/>
        </w:rPr>
        <w:t>”</w:t>
      </w:r>
      <w:r w:rsidRPr="00EF190F">
        <w:rPr>
          <w:sz w:val="16"/>
          <w:szCs w:val="16"/>
          <w:lang w:val="es-CR"/>
        </w:rPr>
        <w:t>,</w:t>
      </w:r>
      <w:r w:rsidRPr="00EF190F">
        <w:rPr>
          <w:i/>
          <w:iCs/>
          <w:sz w:val="16"/>
          <w:szCs w:val="16"/>
          <w:lang w:val="es-CR"/>
        </w:rPr>
        <w:t xml:space="preserve"> </w:t>
      </w:r>
      <w:r w:rsidRPr="00EF190F">
        <w:rPr>
          <w:iCs/>
          <w:sz w:val="16"/>
          <w:szCs w:val="16"/>
          <w:lang w:val="es-CR"/>
        </w:rPr>
        <w:t>Capítulo Segundo</w:t>
      </w:r>
      <w:r w:rsidRPr="00EF190F">
        <w:rPr>
          <w:sz w:val="16"/>
          <w:szCs w:val="16"/>
          <w:lang w:val="es-CR"/>
        </w:rPr>
        <w:t>, párr. 3391 y notas al pie 1090 y 1095.</w:t>
      </w:r>
    </w:p>
  </w:footnote>
  <w:footnote w:id="91">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sz w:val="16"/>
          <w:szCs w:val="16"/>
          <w:lang w:val="es-CR"/>
        </w:rPr>
        <w:t>Declaraciones de vecinos de la comunidad que padecieron o fueron testigos de la situación de violencia y persecución en la zona y de familiares, recibidas en el marco de la investigación penal los días 27 de abril 1999, 25 de octubre de 2000, y 12 y 27 de julio y 16 de agosto de 2005 y rendidas ante fedatario público (affidávit) los días 14, 18, 21 y 22 de agosto, 1 de septiembre, 24, 27 y 28 de octubre, 24 y 27 de noviembre y 1, 4, 8 a 20, 22, 23, y 26 a 31 de diciembre de 2014 (expediente de prueba, folios 445 a 6165), y Declaración de Juana García Depaz en la audiencia pública celebrada el 28 de abril de 2016.</w:t>
      </w:r>
    </w:p>
  </w:footnote>
  <w:footnote w:id="92">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sz w:val="16"/>
          <w:szCs w:val="16"/>
        </w:rPr>
        <w:t>Declaraciones de mujeres que sostuvieron haber sido violadas y de personas que indicaron que estos actos ocurrieron en contra de sus familiares, recibidas en el marco de la investigación penal los días 27 de abril de 1999, 25 de octubre de 2000, 15 de noviembre de 2002, 12 y 27 de julio y 16 de agosto de 2005 y rendidas ante el auxiliar fiscal el 16 de agosto de 2005 y ante fedatario público (affidávit) los días 1, 8, 9, 11, 13, 15, 16, 22, 26, 28 y 30 de diciembre de 2014 (expediente de prueba, folios 428 a 6096), y Declaración ante fedatario público (affidávit) de Miguel Sic Osorio presentada a la Corte Interamericana el 20 de abril de 2016.</w:t>
      </w:r>
    </w:p>
  </w:footnote>
  <w:footnote w:id="93">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sz w:val="16"/>
          <w:szCs w:val="16"/>
          <w:lang w:val="es-CR"/>
        </w:rPr>
        <w:t>Declaraciones de vecinos de la comunidad que tuvieron que huir y permanecer escondidos en la montaña, recibidas en el marco de la investigación penal los días 25 de octubre de 2000, 12 de julio y 16 de agosto de 2005 y rendidas ante fedatario público (affidávit) los días 14, 18 y 21 de agosto, 1 de septiembre, 27 de octubre, 27 de noviembre y 1, 4, 9, 11, 13, 14, 15, 17, 18, 19, 22, 23, y 26 a 31 de diciembre de 2014 (expediente de prueba, folios 435 a 6155), y Declaración de Juana García Depaz en la audiencia pública celebrada el 28 de abril de 2016.</w:t>
      </w:r>
    </w:p>
  </w:footnote>
  <w:footnote w:id="94">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sz w:val="16"/>
          <w:szCs w:val="16"/>
          <w:lang w:val="es-CR"/>
        </w:rPr>
        <w:t>Declaraciones de vecinos de la comunidad que vivieron la persecución militar y tuvieron que desplazarse en la montaña, recibidas en el marco de la investigación penal los días 25 de octubre de 2000, 12 de julio y 16 de agosto de 2005 y rendidas ante fedatario público (affidávit) los días 14, 18 y 21 de agosto, 24 de noviembre y 1, 9, 11, 14, 15, 18, 19, 22, 23, 26, 28 y 31 de diciembre de 2014 (expediente de prueba, folios 445 a 6161).</w:t>
      </w:r>
    </w:p>
  </w:footnote>
  <w:footnote w:id="95">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sz w:val="16"/>
          <w:szCs w:val="16"/>
          <w:lang w:val="es-CR"/>
        </w:rPr>
        <w:t>Declaraciones de vecinos de la comunidad que habían huido y que fueron capturados por los militares y de familiares, recibidas en el marco de la investigación penal los días 25 de octubre de 2000, 12 y 27 de julio y 16 de agosto de 2005 y rendidas ante fedatario público (affidávit) los días 1 de septiembre, 27 de octubre y 9, 11, 13, 18, 19, 22, 23, 27 a 31 de diciembre de 2014 (expediente de prueba, folios 456 a 6156).</w:t>
      </w:r>
    </w:p>
  </w:footnote>
  <w:footnote w:id="96">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sz w:val="16"/>
          <w:szCs w:val="16"/>
          <w:lang w:val="es-CR"/>
        </w:rPr>
        <w:t>Declaraciones de vecinos de la comunidad que vivieron en la aldea modelo de Chichupac, así como de otras personas de la comunidad que indicaron saber que miembros del Ejército Nacional construyeron esa colonia, recibidas en el marco de la investigación penal los días 25 de octubre de 2000, 2, 12 y 27 de julio y 16 de agosto de 2005, y rendidas ante fedatario público (affidávit) los días 28 de octubre y 1, 11, 12, 15 a 19, 22, 23, 26, 27, y 29 a 31 de diciembre de 2014 (expediente de prueba, folios 439 a 6164)</w:t>
      </w:r>
      <w:r w:rsidRPr="00EF190F">
        <w:rPr>
          <w:rFonts w:cs="Arial"/>
          <w:sz w:val="16"/>
          <w:szCs w:val="16"/>
          <w:lang w:val="es-CR"/>
        </w:rPr>
        <w:t>.</w:t>
      </w:r>
    </w:p>
  </w:footnote>
  <w:footnote w:id="97">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sz w:val="16"/>
          <w:szCs w:val="16"/>
          <w:lang w:val="es-CR"/>
        </w:rPr>
        <w:t>Declaraciones de vecinos de la comunidad que vivieron en la aldea modelo de Chichupac, recibidas en el marco de la investigación penal los días 27 de julio y 16 de agosto de 2005 y rendidas ante fedatario público (affidávit) los días 11, 16, 18, 19, 22, 23 y 26 a 31 de diciembre de 2014 (expediente de prueba, folios 1195 a 6151), y Declaración de Juana García Depaz en la audiencia pública celebrada el 28 de abril de 2016.</w:t>
      </w:r>
    </w:p>
  </w:footnote>
  <w:footnote w:id="98">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rFonts w:eastAsia="Calibri" w:cs="Arial"/>
          <w:sz w:val="16"/>
          <w:szCs w:val="16"/>
          <w:lang w:val="es-CR"/>
        </w:rPr>
        <w:t xml:space="preserve">En ese entonces una </w:t>
      </w:r>
      <w:r w:rsidRPr="00EF190F">
        <w:rPr>
          <w:sz w:val="16"/>
          <w:szCs w:val="16"/>
          <w:lang w:val="es-ES"/>
        </w:rPr>
        <w:t>entidad de derecho privado sin fines de lucro que no pertenecía a la administración pública ni era parte de la estructura estatal.</w:t>
      </w:r>
    </w:p>
  </w:footnote>
  <w:footnote w:id="99">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sz w:val="16"/>
          <w:szCs w:val="16"/>
          <w:lang w:val="es-CR"/>
        </w:rPr>
        <w:t xml:space="preserve">Declaraciones de vecinos de la comunidad que recibieron la ayuda del </w:t>
      </w:r>
      <w:r w:rsidRPr="00EF190F">
        <w:rPr>
          <w:iCs/>
          <w:sz w:val="16"/>
          <w:szCs w:val="16"/>
          <w:lang w:val="es-CR"/>
        </w:rPr>
        <w:t>CIF</w:t>
      </w:r>
      <w:r w:rsidRPr="00EF190F">
        <w:rPr>
          <w:sz w:val="16"/>
          <w:szCs w:val="16"/>
          <w:lang w:val="es-CR"/>
        </w:rPr>
        <w:t xml:space="preserve"> rendidas ante fedatario público (affidávit) los días 27 y 29 a 31 de diciembre de 2014 (expediente de prueba, folios 6016, 6025, 6081, 6126, 6136, 6141 y 6151), y </w:t>
      </w:r>
      <w:r w:rsidRPr="00EF190F">
        <w:rPr>
          <w:iCs/>
          <w:sz w:val="16"/>
          <w:szCs w:val="16"/>
          <w:lang w:val="es-CR"/>
        </w:rPr>
        <w:t>Declaración rendida ante fedatario público por Miguel Chen Tahuico el 30 de mayo de 2016 (expediente de prueba, folios 11905 a 11907)</w:t>
      </w:r>
      <w:r w:rsidRPr="00EF190F">
        <w:rPr>
          <w:sz w:val="16"/>
          <w:szCs w:val="16"/>
          <w:lang w:val="es-CR"/>
        </w:rPr>
        <w:t>.</w:t>
      </w:r>
    </w:p>
  </w:footnote>
  <w:footnote w:id="100">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Cfr.</w:t>
      </w:r>
      <w:r w:rsidRPr="00EF190F">
        <w:rPr>
          <w:iCs/>
          <w:sz w:val="16"/>
          <w:szCs w:val="16"/>
          <w:lang w:val="es-CR"/>
        </w:rPr>
        <w:t xml:space="preserve"> Declaración de Miguel Chen Tahuico de 30 de mayo de 2016 rendida ante fedatario público (expediente de prueba, folios 11905 a 11907).</w:t>
      </w:r>
    </w:p>
  </w:footnote>
  <w:footnote w:id="101">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sz w:val="16"/>
          <w:szCs w:val="16"/>
          <w:lang w:val="es-CR"/>
        </w:rPr>
        <w:t>Declaraciones de vecinos de la comunidad que indicaron que las persecuciones seguían, recibidas en el marco de la investigación penal por el auxiliar fiscal asignado el 27 de abril de 1999 (expediente de prueba, folios 608, 612 y 614).</w:t>
      </w:r>
    </w:p>
  </w:footnote>
  <w:footnote w:id="102">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sz w:val="16"/>
          <w:szCs w:val="16"/>
          <w:lang w:val="es-CR"/>
        </w:rPr>
        <w:t>Declaraciones de vecinos de la comunidad que no han podido regresar a sus tierras, rendidas ante fedatario público (affidávit) los días 14, 21 y 22 de agosto, 1 de septiembre, 24 de octubre, 24 de noviembre y 8, 10, 19, 22, 23 y 30 de diciembre de 2014 (expediente de prueba, folios 5532 a 6130), y Declaración ante fedatario público (affidávit) de Miguel Sic Osorio presentada ante la Corte Interamericana el 20 de abril de 2016.</w:t>
      </w:r>
    </w:p>
  </w:footnote>
  <w:footnote w:id="103">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lang w:val="es-CR"/>
        </w:rPr>
        <w:t xml:space="preserve">Cfr. </w:t>
      </w:r>
      <w:r w:rsidRPr="00EF190F">
        <w:rPr>
          <w:sz w:val="16"/>
          <w:szCs w:val="16"/>
          <w:lang w:val="es-CR"/>
        </w:rPr>
        <w:t xml:space="preserve">Declaraciones rendidas ante fedatario público (affidávit) por </w:t>
      </w:r>
      <w:r w:rsidRPr="00EF190F">
        <w:rPr>
          <w:rFonts w:eastAsia="Arial" w:cs="Arial"/>
          <w:sz w:val="16"/>
          <w:szCs w:val="16"/>
          <w:lang w:val="es-CR"/>
        </w:rPr>
        <w:t xml:space="preserve">Marcelina Alarcón Morente y Clotilde Felipa Alarcón Morente (hermanas de </w:t>
      </w:r>
      <w:r w:rsidRPr="00EF190F">
        <w:rPr>
          <w:sz w:val="16"/>
          <w:szCs w:val="16"/>
          <w:lang w:val="es-CR"/>
        </w:rPr>
        <w:t xml:space="preserve">Manuel de Jesús y </w:t>
      </w:r>
      <w:r w:rsidRPr="00EF190F">
        <w:rPr>
          <w:rFonts w:eastAsia="Arial" w:cs="Arial"/>
          <w:sz w:val="16"/>
          <w:szCs w:val="16"/>
          <w:lang w:val="es-CR"/>
        </w:rPr>
        <w:t xml:space="preserve">Edmundo </w:t>
      </w:r>
      <w:r w:rsidRPr="00EF190F">
        <w:rPr>
          <w:sz w:val="16"/>
          <w:szCs w:val="16"/>
          <w:lang w:val="es-CR"/>
        </w:rPr>
        <w:t xml:space="preserve">Alarcón Morente) el </w:t>
      </w:r>
      <w:r w:rsidRPr="00EF190F">
        <w:rPr>
          <w:rFonts w:eastAsia="Arial" w:cs="Arial"/>
          <w:sz w:val="16"/>
          <w:szCs w:val="16"/>
          <w:lang w:val="es-CR"/>
        </w:rPr>
        <w:t>13 de diciembre de 2014</w:t>
      </w:r>
      <w:r w:rsidRPr="00EF190F">
        <w:rPr>
          <w:sz w:val="16"/>
          <w:szCs w:val="16"/>
          <w:lang w:val="es-CR"/>
        </w:rPr>
        <w:t xml:space="preserve"> (expediente de prueba, folios 5742 a 5744 y </w:t>
      </w:r>
      <w:r w:rsidRPr="00EF190F">
        <w:rPr>
          <w:rFonts w:eastAsia="Arial" w:cs="Arial"/>
          <w:sz w:val="16"/>
          <w:szCs w:val="16"/>
          <w:lang w:val="es-CR"/>
        </w:rPr>
        <w:t>5748</w:t>
      </w:r>
      <w:r w:rsidRPr="00EF190F">
        <w:rPr>
          <w:sz w:val="16"/>
          <w:szCs w:val="16"/>
          <w:lang w:val="es-CR"/>
        </w:rPr>
        <w:t xml:space="preserve">). Cabe señalar que la Comisión aclaró en su Informe de Fondo que “de </w:t>
      </w:r>
      <w:r w:rsidRPr="00EF190F">
        <w:rPr>
          <w:rFonts w:cs="Arial"/>
          <w:sz w:val="16"/>
          <w:szCs w:val="16"/>
          <w:lang w:val="es-CR"/>
        </w:rPr>
        <w:t>las declaraciones existiría discrepancia en la fecha en que habría ocurrido la detención y</w:t>
      </w:r>
      <w:r w:rsidRPr="00EF190F">
        <w:rPr>
          <w:sz w:val="16"/>
          <w:szCs w:val="16"/>
          <w:lang w:val="es-CR"/>
        </w:rPr>
        <w:t xml:space="preserve"> </w:t>
      </w:r>
      <w:r w:rsidRPr="00EF190F">
        <w:rPr>
          <w:rFonts w:cs="Arial"/>
          <w:sz w:val="16"/>
          <w:szCs w:val="16"/>
          <w:lang w:val="es-CR"/>
        </w:rPr>
        <w:t xml:space="preserve">muerte de Raymundo Alarcón y Manuel Alarcón”. Al respecto, </w:t>
      </w:r>
      <w:r w:rsidRPr="00EF190F">
        <w:rPr>
          <w:sz w:val="16"/>
          <w:szCs w:val="16"/>
          <w:lang w:val="es-CR"/>
        </w:rPr>
        <w:t>la Corte ha procedido a señalar el relato que es consistente con la prueba, sin perjuicio de la nueva evidencia que pudiera sobrevenir al respecto.</w:t>
      </w:r>
    </w:p>
  </w:footnote>
  <w:footnote w:id="104">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lang w:val="es-CR"/>
        </w:rPr>
        <w:t>Cfr.</w:t>
      </w:r>
      <w:r w:rsidRPr="00EF190F">
        <w:rPr>
          <w:sz w:val="16"/>
          <w:szCs w:val="16"/>
          <w:lang w:val="es-CR"/>
        </w:rPr>
        <w:t xml:space="preserve"> Acta del Auxiliar Fiscal de la Fiscalía Municipal de Rabinal, Baja Verapaz, de 9 de octubre de 2006 (expediente de prueba, folios 1414 a 1416); Acta del Auxiliar Fiscal de la Fiscalía Municipal de Rabinal, Baja Verapaz, de 10 de octubre de 2006 (expediente de prueba, folios 1417 a 1419), y Oficio del Subinspector de la P.N.C. Encargado Sub-estación 52-21 de la Policía Nacional Civil de 19 de octubre de 2006 (expediente de prueba, folios 1421 a 1422).</w:t>
      </w:r>
    </w:p>
  </w:footnote>
  <w:footnote w:id="105">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lang w:val="es-CR"/>
        </w:rPr>
        <w:t xml:space="preserve"> </w:t>
      </w:r>
      <w:r w:rsidRPr="00EF190F">
        <w:rPr>
          <w:sz w:val="16"/>
          <w:szCs w:val="16"/>
        </w:rPr>
        <w:tab/>
      </w:r>
      <w:r w:rsidRPr="00EF190F">
        <w:rPr>
          <w:i/>
          <w:sz w:val="16"/>
          <w:szCs w:val="16"/>
          <w:lang w:val="es-CR"/>
        </w:rPr>
        <w:t>Cfr.</w:t>
      </w:r>
      <w:r w:rsidRPr="00EF190F">
        <w:rPr>
          <w:sz w:val="16"/>
          <w:szCs w:val="16"/>
          <w:lang w:val="es-CR"/>
        </w:rPr>
        <w:t xml:space="preserve"> </w:t>
      </w:r>
      <w:r w:rsidRPr="00EF190F">
        <w:rPr>
          <w:sz w:val="16"/>
          <w:szCs w:val="16"/>
        </w:rPr>
        <w:t>Informe de la FAFG de 31 de enero de 2008 presentado ante el Auxiliar Fiscal de la Fiscalía Distrital del Ministerio Público de Salamá (expediente de prueba, folios 11776 bis 3, 11776 bis 13 y 11776 bis 14).</w:t>
      </w:r>
    </w:p>
  </w:footnote>
  <w:footnote w:id="106">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lang w:val="es-CR"/>
        </w:rPr>
        <w:t xml:space="preserve">Cfr. </w:t>
      </w:r>
      <w:r w:rsidRPr="00EF190F">
        <w:rPr>
          <w:sz w:val="16"/>
          <w:szCs w:val="16"/>
          <w:lang w:val="es-CR"/>
        </w:rPr>
        <w:t>Declaraciones de Miguel Chen Tahuico ante el auxiliar fiscal el día 27 de julio de 2005 y otra sin fecha, y declaración rendida ante fedatario público (affidávit) el día 13 de diciembre de 2014 (expediente de prueba, folios 459 a 462, 1196 y 5735).</w:t>
      </w:r>
    </w:p>
  </w:footnote>
  <w:footnote w:id="107">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sz w:val="16"/>
          <w:szCs w:val="16"/>
        </w:rPr>
        <w:t xml:space="preserve">Declaración rendida ante fedatario público (affidávit) por Margarita Siana Crúz (hija de Casimiro Siana) el 16 de diciembre de 2014 (expediente de prueba, folios 5821 a 5822). </w:t>
      </w:r>
    </w:p>
  </w:footnote>
  <w:footnote w:id="108">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Cfr.</w:t>
      </w:r>
      <w:r w:rsidRPr="00EF190F">
        <w:rPr>
          <w:sz w:val="16"/>
          <w:szCs w:val="16"/>
        </w:rPr>
        <w:t xml:space="preserve"> Declaraciones de Miguel Sic Osorio (hijo de </w:t>
      </w:r>
      <w:r w:rsidRPr="00EF190F">
        <w:rPr>
          <w:rFonts w:cs="Arial"/>
          <w:sz w:val="16"/>
          <w:szCs w:val="16"/>
        </w:rPr>
        <w:t>Andrea Osorio Galeano)</w:t>
      </w:r>
      <w:r w:rsidRPr="00EF190F">
        <w:rPr>
          <w:sz w:val="16"/>
          <w:szCs w:val="16"/>
        </w:rPr>
        <w:t xml:space="preserve">, Fabiana Chen Galiego y Teresa Cacaj Cahuec (habitantes de las comunidades) ante el auxiliar fiscal de 27 de abril de 1999 y 16 de agosto de 2005 (expediente de prueba, folios 611 a 615, 636 y 641, 1214 y 1215), y Declaración de Miguel Sic Osorio presentada ante la Corte Interamericana ante fedatario público (affidávit) el 20 de abril de 2016. </w:t>
      </w:r>
    </w:p>
  </w:footnote>
  <w:footnote w:id="109">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sz w:val="16"/>
          <w:szCs w:val="16"/>
        </w:rPr>
        <w:t>Acta de exhumación de cadáveres, mayo de 1993 (expediente de prueba, folios 666 a 685); Informe presentado por el EAFG, de julio de 1993 (expediente de prueba, folios 539 y 541), y Oficios de la Policía Nacional de Salamá en Baja Verapaz de 15 y 19 de mayo de 1993 (expediente de prueba, folios 690 a 692, 940 y 941).</w:t>
      </w:r>
    </w:p>
  </w:footnote>
  <w:footnote w:id="110">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sz w:val="16"/>
          <w:szCs w:val="16"/>
        </w:rPr>
        <w:t xml:space="preserve">Declaraciones de Tarcila Milián Morales (hija de Elías Milián González y hermana de Amelia Milián Morales) ante el auxiliar fiscal de 22 de marzo de 1985, 27 de julio de 2001 y 24 de septiembre de 2003, y ante fedatario público (affidávit) el 22 de diciembre de 2014, así como Declaración rendida por Angélica María Torres Milián (familiar de Elías y Amelia Milián) ante fedatario público (affidávit) el 22 de diciembre de 2014 (expediente de prueba, folios 799, 800, 1900, 1901, 5918, 5924 y 5925, 11783 y 11784), e </w:t>
      </w:r>
      <w:r w:rsidRPr="00EF190F">
        <w:rPr>
          <w:sz w:val="16"/>
          <w:szCs w:val="16"/>
          <w:lang w:val="es-ES_tradnl"/>
        </w:rPr>
        <w:t>Informe de la FAFG de 28 de junio de 2011 (expediente de prueba, folio 11915)</w:t>
      </w:r>
      <w:r w:rsidRPr="00EF190F">
        <w:rPr>
          <w:sz w:val="16"/>
          <w:szCs w:val="16"/>
        </w:rPr>
        <w:t>.</w:t>
      </w:r>
    </w:p>
  </w:footnote>
  <w:footnote w:id="111">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lang w:val="es-CR"/>
        </w:rPr>
        <w:t xml:space="preserve">Cfr. </w:t>
      </w:r>
      <w:r w:rsidRPr="00EF190F">
        <w:rPr>
          <w:sz w:val="16"/>
          <w:szCs w:val="16"/>
        </w:rPr>
        <w:t>Informe de la FAFG de 27 de febrero de 2008, presentado ante el Auxiliar Fiscal de la Fiscalía Distrital del Ministerio Público de Salamá (expediente de prueba, folios 11897 a 11899), y Acta del Ministerio Público de 16 de octubre de 2008 (expediente de prueba, folio 11845).</w:t>
      </w:r>
    </w:p>
  </w:footnote>
  <w:footnote w:id="112">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lang w:val="es-CR"/>
        </w:rPr>
        <w:t xml:space="preserve"> </w:t>
      </w:r>
      <w:r w:rsidRPr="00EF190F">
        <w:rPr>
          <w:sz w:val="16"/>
          <w:szCs w:val="16"/>
        </w:rPr>
        <w:tab/>
      </w:r>
      <w:r w:rsidRPr="00EF190F">
        <w:rPr>
          <w:i/>
          <w:sz w:val="16"/>
          <w:szCs w:val="16"/>
        </w:rPr>
        <w:t xml:space="preserve">Cfr. </w:t>
      </w:r>
      <w:r w:rsidRPr="00EF190F">
        <w:rPr>
          <w:sz w:val="16"/>
          <w:szCs w:val="16"/>
        </w:rPr>
        <w:t>Informe de la FAFG de junio de 2011 (expediente de prueba, folio 11930), y Acta de entrega de osamenta por parte del A</w:t>
      </w:r>
      <w:r w:rsidRPr="00EF190F">
        <w:rPr>
          <w:rStyle w:val="CommentReference"/>
          <w:rFonts w:cs="Arial"/>
        </w:rPr>
        <w:t>uxiliar Fiscal de la Fiscalía Municipal del Ministerio Público de Rabinal (expediente de prueba, folios 11949 y 11950).</w:t>
      </w:r>
    </w:p>
  </w:footnote>
  <w:footnote w:id="113">
    <w:p w:rsidR="006A0E1C" w:rsidRPr="00EF190F" w:rsidRDefault="006A0E1C" w:rsidP="006A0E1C">
      <w:pPr>
        <w:tabs>
          <w:tab w:val="left" w:pos="360"/>
        </w:tabs>
        <w:spacing w:line="240" w:lineRule="auto"/>
        <w:contextualSpacing/>
        <w:rPr>
          <w:i/>
          <w:iCs/>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sz w:val="16"/>
          <w:szCs w:val="16"/>
        </w:rPr>
        <w:t>Acta de exhumación de cadáveres de 9 de abril de 2002 (expediente de prueba, folios 1938 a 1941), e Informe de Investigación Antropológico Forense de la FAFG de 18 de diciembre de 2002 (expediente de prueba, folio 2037).</w:t>
      </w:r>
    </w:p>
  </w:footnote>
  <w:footnote w:id="114">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Cfr.</w:t>
      </w:r>
      <w:r w:rsidRPr="00EF190F">
        <w:rPr>
          <w:sz w:val="16"/>
          <w:szCs w:val="16"/>
          <w:lang w:val="es-CR"/>
        </w:rPr>
        <w:t xml:space="preserve"> Declaraciones de </w:t>
      </w:r>
      <w:r w:rsidRPr="00EF190F">
        <w:rPr>
          <w:rFonts w:cs="Arial"/>
          <w:sz w:val="16"/>
          <w:szCs w:val="16"/>
          <w:lang w:val="es-CR"/>
        </w:rPr>
        <w:t>Manuela Toj Pérez</w:t>
      </w:r>
      <w:r w:rsidRPr="00EF190F">
        <w:rPr>
          <w:bCs/>
          <w:sz w:val="16"/>
          <w:szCs w:val="16"/>
          <w:lang w:val="es-CR"/>
        </w:rPr>
        <w:t xml:space="preserve"> (</w:t>
      </w:r>
      <w:r w:rsidRPr="00EF190F">
        <w:rPr>
          <w:sz w:val="16"/>
          <w:szCs w:val="16"/>
          <w:lang w:val="es-CR"/>
        </w:rPr>
        <w:t xml:space="preserve">compañera de </w:t>
      </w:r>
      <w:r w:rsidRPr="00EF190F">
        <w:rPr>
          <w:rFonts w:cs="Calibri"/>
          <w:sz w:val="16"/>
          <w:szCs w:val="16"/>
          <w:lang w:val="es-CR"/>
        </w:rPr>
        <w:t>Juan Pérez Sic</w:t>
      </w:r>
      <w:r w:rsidRPr="00EF190F">
        <w:rPr>
          <w:sz w:val="16"/>
          <w:szCs w:val="16"/>
          <w:lang w:val="es-CR"/>
        </w:rPr>
        <w:t>) ante fedatario público (affidávit) el 29 de diciembre de 2014 (expediente de prueba, folios 6070 y 6071). La Comisión explicó, en una nota al pie de página de su Informe de Fondo, que e</w:t>
      </w:r>
      <w:r w:rsidRPr="00EF190F">
        <w:rPr>
          <w:rFonts w:cs="Arial"/>
          <w:sz w:val="16"/>
          <w:szCs w:val="16"/>
          <w:lang w:val="es-CR"/>
        </w:rPr>
        <w:t>n sus primeras comunicaciones los peticionarios</w:t>
      </w:r>
      <w:r w:rsidRPr="00EF190F">
        <w:rPr>
          <w:sz w:val="16"/>
          <w:szCs w:val="16"/>
          <w:lang w:val="es-CR"/>
        </w:rPr>
        <w:t xml:space="preserve"> indicaron que el señor Juan Pérez Sic había sido víctima de las desapariciones del 26 de noviembre de 1982</w:t>
      </w:r>
      <w:r w:rsidRPr="00EF190F">
        <w:rPr>
          <w:rFonts w:cs="Arial"/>
          <w:sz w:val="16"/>
          <w:szCs w:val="16"/>
          <w:lang w:val="es-CR"/>
        </w:rPr>
        <w:t xml:space="preserve"> y, posteriormente, precisaron que</w:t>
      </w:r>
      <w:r w:rsidRPr="00EF190F">
        <w:rPr>
          <w:sz w:val="16"/>
          <w:szCs w:val="16"/>
          <w:lang w:val="es-CR"/>
        </w:rPr>
        <w:t xml:space="preserve"> </w:t>
      </w:r>
      <w:r w:rsidRPr="00EF190F">
        <w:rPr>
          <w:rFonts w:cs="Arial"/>
          <w:sz w:val="16"/>
          <w:szCs w:val="16"/>
          <w:lang w:val="es-CR"/>
        </w:rPr>
        <w:t xml:space="preserve">había fallecido en el marco de hechos de violencia el 1 de octubre de 1982. La Comisión indicó que no contaba con mayores elementos para efectuar una determinación fáctica sobre las circunstancias de </w:t>
      </w:r>
      <w:r w:rsidRPr="00EF190F">
        <w:rPr>
          <w:sz w:val="16"/>
          <w:szCs w:val="16"/>
          <w:lang w:val="es-CR"/>
        </w:rPr>
        <w:t xml:space="preserve">la </w:t>
      </w:r>
      <w:r w:rsidRPr="00EF190F">
        <w:rPr>
          <w:rFonts w:cs="Arial"/>
          <w:sz w:val="16"/>
          <w:szCs w:val="16"/>
          <w:lang w:val="es-CR"/>
        </w:rPr>
        <w:t xml:space="preserve">muerte de esta persona. En el trámite ante la Corte, los representantes indicaron que dicha persona es víctima de desaparición desde el 15 de noviembre de 1981. </w:t>
      </w:r>
      <w:r w:rsidRPr="00EF190F">
        <w:rPr>
          <w:sz w:val="16"/>
          <w:szCs w:val="16"/>
          <w:lang w:val="es-CR"/>
        </w:rPr>
        <w:t>La Corte ha procedido a señalar el relato de los hechos y la fecha que son consistentes con la prueba, sin perjuicio de la nueva evidencia que pudiera sobrevenir al respecto.</w:t>
      </w:r>
    </w:p>
  </w:footnote>
  <w:footnote w:id="115">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sz w:val="16"/>
          <w:szCs w:val="16"/>
          <w:lang w:val="es-CR"/>
        </w:rPr>
        <w:t>Declaración de Napoleón García De Paz en la audiencia pública celebrada el 28 de abril de 2016.</w:t>
      </w:r>
    </w:p>
  </w:footnote>
  <w:footnote w:id="116">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sz w:val="16"/>
          <w:szCs w:val="16"/>
          <w:lang w:val="es-CR"/>
        </w:rPr>
        <w:t>Informe de Investigación Antropológico Forense de la FAFG de 6 de octubre de 2004 (expediente de prueba, folios 1601 y 1606).</w:t>
      </w:r>
    </w:p>
  </w:footnote>
  <w:footnote w:id="117">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Cfr.</w:t>
      </w:r>
      <w:r w:rsidRPr="00EF190F">
        <w:rPr>
          <w:sz w:val="16"/>
          <w:szCs w:val="16"/>
        </w:rPr>
        <w:t xml:space="preserve"> Informe de la FAFG de 5 de junio de 2014 (expediente de prueba, folios 9247 a 9276).</w:t>
      </w:r>
    </w:p>
  </w:footnote>
  <w:footnote w:id="118">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sz w:val="16"/>
          <w:szCs w:val="16"/>
        </w:rPr>
        <w:t xml:space="preserve">Declaración rendida por Daniel Xitumul Cuxúm (esposo de Lucía Xitumul Ixpancoc o Luciana Xitumul Ixpancoc, y padre de María Concepción Xitumul Xitumul y de la niña de nombre desconocido de entre 0 y 3 meses de edad) ante fedatario público (affidávit) el 1 de septiembre de 2014 (expediente de prueba, folio 5563); Informe de la CEH </w:t>
      </w:r>
      <w:r w:rsidRPr="00EF190F">
        <w:rPr>
          <w:i/>
          <w:iCs/>
          <w:sz w:val="16"/>
          <w:szCs w:val="16"/>
        </w:rPr>
        <w:t>“Guatemala, Memoria del Silencio”</w:t>
      </w:r>
      <w:r w:rsidRPr="00EF190F">
        <w:rPr>
          <w:sz w:val="16"/>
          <w:szCs w:val="16"/>
        </w:rPr>
        <w:t>, Casos Presentados, Anexo II, pág. 156, y Declaración de Napoleón García De Paz en la audiencia pública celebrada el 28 de abril de 2016.</w:t>
      </w:r>
    </w:p>
  </w:footnote>
  <w:footnote w:id="119">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sz w:val="16"/>
          <w:szCs w:val="16"/>
        </w:rPr>
        <w:t>Informe de Investigación Antropológico Forense de la FAFG de 6 de octubre de 2004 (expediente de prueba, folios 1601, 1606, 1609, 1640 y 1641).</w:t>
      </w:r>
    </w:p>
  </w:footnote>
  <w:footnote w:id="120">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sz w:val="16"/>
          <w:szCs w:val="16"/>
        </w:rPr>
        <w:t>Informe de Investigación Antropológico Forense de la FAFG de 6 de octubre de 2004 (expediente de prueba, folios 1601, 1606, 1609, 1640 y 1641).</w:t>
      </w:r>
    </w:p>
  </w:footnote>
  <w:footnote w:id="121">
    <w:p w:rsidR="006A0E1C" w:rsidRPr="00EF190F" w:rsidRDefault="006A0E1C" w:rsidP="006A0E1C">
      <w:pPr>
        <w:tabs>
          <w:tab w:val="left" w:pos="360"/>
        </w:tabs>
        <w:spacing w:line="240" w:lineRule="auto"/>
        <w:contextualSpacing/>
        <w:rPr>
          <w:i/>
          <w:iCs/>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sz w:val="16"/>
          <w:szCs w:val="16"/>
        </w:rPr>
        <w:t>Acta de exhumación de cadáveres de 9 de abril de 2002 (expediente de prueba, folios 1938 a 1941); Informe de Investigación Antropológico Forense de la FAFG de 18 de diciembre de 2002 (expediente de prueba, folios 2037), y Acta de reconocimiento judicial de osamentas humanas del Organismo Judicial de Guatemala de 27 de febrero de 2003 (expediente de prueba, folios 1953 y 1954).</w:t>
      </w:r>
    </w:p>
  </w:footnote>
  <w:footnote w:id="122">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Cfr.</w:t>
      </w:r>
      <w:r w:rsidRPr="00EF190F">
        <w:rPr>
          <w:sz w:val="16"/>
          <w:szCs w:val="16"/>
          <w:lang w:val="es-CR"/>
        </w:rPr>
        <w:t xml:space="preserve"> Declaración de Juana García Depaz ante el auxiliar fiscal el 26 de julio de 2001 y Declaración rendida por Juana García Depaz ante fedatario público (affidávit) el 2 de noviembre de 2009 (expediente de prueba, folios 790, 1333 a 1336), y Declaración de Juana García Depaz en la audiencia pública celebrada el 28 de abril de 2016. </w:t>
      </w:r>
    </w:p>
  </w:footnote>
  <w:footnote w:id="123">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i/>
          <w:sz w:val="16"/>
          <w:szCs w:val="16"/>
        </w:rPr>
        <w:tab/>
      </w:r>
      <w:r w:rsidRPr="00EF190F">
        <w:rPr>
          <w:i/>
          <w:iCs/>
          <w:sz w:val="16"/>
          <w:szCs w:val="16"/>
        </w:rPr>
        <w:t xml:space="preserve">Cfr. </w:t>
      </w:r>
      <w:r w:rsidRPr="00EF190F">
        <w:rPr>
          <w:sz w:val="16"/>
          <w:szCs w:val="16"/>
        </w:rPr>
        <w:t>Denuncia penal de María García Depaz de 17 de enero de 1997 (expediente de prueba, folio 1862); Declaración de María Concepción García Depaz ante el auxiliar fiscal el 27 de julio de 2001 (expediente de prueba, folios 801 y 1902), y Declaración rendida por María Concepción García Depaz ante fedatario público (affidávit) el 11 de diciembre de 2014 (expediente de prueba, folios 5694 y 5695).</w:t>
      </w:r>
    </w:p>
  </w:footnote>
  <w:footnote w:id="124">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sz w:val="16"/>
          <w:szCs w:val="16"/>
        </w:rPr>
        <w:t>Acta de exhumación de cadáveres de 9 de abril de 2002 (expediente de prueba, folios 1938 a 1941), e Informe de Investigación Antropológico Forense de la FAFG de 18 de diciembre de 2002 (expediente de prueba, folios 2037).</w:t>
      </w:r>
    </w:p>
  </w:footnote>
  <w:footnote w:id="125">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sz w:val="16"/>
          <w:szCs w:val="16"/>
        </w:rPr>
        <w:t>Declaración rendida por Pedro Corazón Osorio (sobrino de Raymunda Sical Corazón), quien se hace acompañar del señor Francisco Sic Chen (hijo de Silvestre Sic Xutumul), ante fedatario público (affidávit) el 16 de diciembre de 2014 (expediente de prueba, folio 5814), y Declaración de Francisco Sic Chen ante el auxiliar fiscal el 26 de julio de 2001 (expediente de prueba, folio 792).</w:t>
      </w:r>
    </w:p>
  </w:footnote>
  <w:footnote w:id="126">
    <w:p w:rsidR="006A0E1C" w:rsidRPr="00EF190F" w:rsidRDefault="006A0E1C" w:rsidP="006A0E1C">
      <w:pPr>
        <w:tabs>
          <w:tab w:val="left" w:pos="360"/>
        </w:tabs>
        <w:spacing w:line="240" w:lineRule="auto"/>
        <w:contextualSpacing/>
        <w:rPr>
          <w:rFonts w:cs="Arial"/>
          <w:b/>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sz w:val="16"/>
          <w:szCs w:val="16"/>
        </w:rPr>
        <w:t>Acta de exhumación de cadáveres de 9 de abril de 2002 (expediente de prueba, folios 1938 a 1941), e Informe de Investigación Antropológico Forense de la FAFG de 18 de diciembre de 2002 (expediente de prueba, folio 2037).</w:t>
      </w:r>
    </w:p>
  </w:footnote>
  <w:footnote w:id="127">
    <w:p w:rsidR="006A0E1C" w:rsidRPr="00EF190F" w:rsidRDefault="006A0E1C" w:rsidP="006A0E1C">
      <w:pPr>
        <w:pStyle w:val="FootnoteText"/>
        <w:tabs>
          <w:tab w:val="left" w:pos="360"/>
        </w:tabs>
        <w:contextualSpacing/>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sz w:val="16"/>
          <w:szCs w:val="16"/>
          <w:lang w:val="es-CR"/>
        </w:rPr>
        <w:t>Denuncia de la señora Juana García Depaz ante el Auxiliar Departamental del Procurador de Derechos Humanos el 9 de mayo de 1995 (expediente de prueba, folios 1290 y 1291), y Declaración de Juana García Depaz del 28 de marzo de 2007 (expediente de prueba, folio 1423).</w:t>
      </w:r>
    </w:p>
  </w:footnote>
  <w:footnote w:id="128">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rFonts w:cs="Arial"/>
          <w:sz w:val="16"/>
          <w:szCs w:val="16"/>
        </w:rPr>
        <w:t xml:space="preserve">Según explicaron los peticionarios en un escrito presentado durante el trámite ante la Comisión, a partir de una denuncia presentada en el año 1993 y hasta el año 2005, la investigación estuvo a cargo de la Fiscalía Distrital del Ministerio Público del Departamento de Baja Verapaz bajo el Expediente 1083-95 M.P. y el Expediente </w:t>
      </w:r>
      <w:r w:rsidRPr="00EF190F">
        <w:rPr>
          <w:sz w:val="16"/>
          <w:szCs w:val="16"/>
        </w:rPr>
        <w:t>M.P. 247/1999/492,</w:t>
      </w:r>
      <w:r w:rsidRPr="00EF190F">
        <w:rPr>
          <w:rFonts w:cs="Arial"/>
          <w:sz w:val="16"/>
          <w:szCs w:val="16"/>
        </w:rPr>
        <w:t xml:space="preserve"> con Causa No. 255-93 Of. 4to ante el Juez de Primera Instancia Penal, Narcoactividad y Delitos Contra el Medio Ambiente de Baja Verapaz. </w:t>
      </w:r>
      <w:r w:rsidRPr="00EF190F">
        <w:rPr>
          <w:sz w:val="16"/>
          <w:szCs w:val="16"/>
        </w:rPr>
        <w:t xml:space="preserve">El </w:t>
      </w:r>
      <w:r w:rsidRPr="00EF190F">
        <w:rPr>
          <w:rFonts w:cs="Arial"/>
          <w:sz w:val="16"/>
          <w:szCs w:val="16"/>
        </w:rPr>
        <w:t xml:space="preserve">Expediente </w:t>
      </w:r>
      <w:r w:rsidRPr="00EF190F">
        <w:rPr>
          <w:sz w:val="16"/>
          <w:szCs w:val="16"/>
        </w:rPr>
        <w:t xml:space="preserve">M.P. 247/1999/492 fue agregado a la Causa No. 255-93 Of. 4to el 1 de septiembre de 2005, según oficio del Auxiliar Fiscal de la Fiscalía Distrital del Ministerio Público de Baja Verapaz, dirigido al </w:t>
      </w:r>
      <w:r w:rsidRPr="00EF190F">
        <w:rPr>
          <w:rFonts w:cs="Arial"/>
          <w:sz w:val="16"/>
          <w:szCs w:val="16"/>
        </w:rPr>
        <w:t xml:space="preserve">Juez de Primera Instancia Penal, Narcoactividad y Delitos Contra el Medio Ambiente de Baja Verapaz (expediente de prueba, folio 8772). El expediente No. 001-2005-95839 aparentemente se tramitaría ante la Unidad de Casos Especiales y Violaciones a los Derechos Humanos del Ministerio Público de la ciudad de Guatemala desde el año 2005. </w:t>
      </w:r>
      <w:r w:rsidRPr="00EF190F">
        <w:rPr>
          <w:i/>
          <w:sz w:val="16"/>
          <w:szCs w:val="16"/>
        </w:rPr>
        <w:t xml:space="preserve">Cfr. </w:t>
      </w:r>
      <w:r w:rsidRPr="00EF190F">
        <w:rPr>
          <w:sz w:val="16"/>
          <w:szCs w:val="16"/>
        </w:rPr>
        <w:t xml:space="preserve">Escrito de 13 de diciembre de 2007 presentado por los representantes (antes peticionarios) a la Comisión (expediente de prueba, folios 378 a 379). No consta en el expediente </w:t>
      </w:r>
      <w:r w:rsidRPr="00EF190F">
        <w:rPr>
          <w:rFonts w:cs="Arial"/>
          <w:sz w:val="16"/>
          <w:szCs w:val="16"/>
        </w:rPr>
        <w:t xml:space="preserve">No. 001-2005-95839 </w:t>
      </w:r>
      <w:r w:rsidRPr="00EF190F">
        <w:rPr>
          <w:sz w:val="16"/>
          <w:szCs w:val="16"/>
        </w:rPr>
        <w:t>una resolución en la cual la Unidad de Casos Especiales avoque conocimiento de la causa, ni mayores actuaciones de esta. Por tanto, no consta</w:t>
      </w:r>
      <w:r w:rsidRPr="00EF190F">
        <w:rPr>
          <w:sz w:val="16"/>
          <w:szCs w:val="16"/>
          <w:lang w:val="es-PR"/>
        </w:rPr>
        <w:t xml:space="preserve"> si tanto el </w:t>
      </w:r>
      <w:r w:rsidRPr="00EF190F">
        <w:rPr>
          <w:rFonts w:cs="Arial"/>
          <w:sz w:val="16"/>
          <w:szCs w:val="16"/>
        </w:rPr>
        <w:t xml:space="preserve">Expediente 1083-95 M.P. como el Expediente </w:t>
      </w:r>
      <w:r w:rsidRPr="00EF190F">
        <w:rPr>
          <w:sz w:val="16"/>
          <w:szCs w:val="16"/>
        </w:rPr>
        <w:t>M.P. 247/1999/492</w:t>
      </w:r>
      <w:r w:rsidRPr="00EF190F">
        <w:rPr>
          <w:rFonts w:cs="Arial"/>
          <w:sz w:val="16"/>
          <w:szCs w:val="16"/>
        </w:rPr>
        <w:t xml:space="preserve"> con Causa No. 255-93 Of. 4to ante el Juez de Primera Instancia Penal, Narcoactividad y Delitos Contra el Medio Ambiente de Baja Verapaz pasaron a formar parte del Expediente No. 001-2005-95839 ante la Unidad de Casos Especiales y Violaciones a los Derechos Humanos del Ministerio Público, pero se entiende que fue así. </w:t>
      </w:r>
      <w:r w:rsidRPr="00EF190F">
        <w:rPr>
          <w:sz w:val="16"/>
          <w:szCs w:val="16"/>
          <w:lang w:val="es-PR"/>
        </w:rPr>
        <w:t xml:space="preserve">La Comisión indicó que el Anexo 7 al Informe de Fondo corresponde al expediente No. 001-2005-95839. Esto no fue controvertido por el Estado. Dentro de dicho anexo se encuentran documentos sin números de causa o con números de causa distintos, tales como las causas No. 916-97 Of. 4to, No. 492-99 Of. 7mo, No. 255-93 Of. 4to, y MP-36-00-7. La mayoría del expediente corresponde a la causa No. 255-93 Of. 4to, la cual también se encuentra en el Anexo 9 al Informe de Fondo. En el Anexo 9 hay documentos que faltan en el anexo 7 y viceversa.  </w:t>
      </w:r>
    </w:p>
  </w:footnote>
  <w:footnote w:id="129">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lang w:val="es-CR"/>
        </w:rPr>
        <w:t>Cfr.</w:t>
      </w:r>
      <w:r w:rsidRPr="00EF190F">
        <w:rPr>
          <w:sz w:val="16"/>
          <w:szCs w:val="16"/>
          <w:lang w:val="es-CR"/>
        </w:rPr>
        <w:t xml:space="preserve"> Denuncia de Ana Calate Sic de 29 de marzo de 1993 (expediente de prueba, folios 729 y 730).</w:t>
      </w:r>
    </w:p>
  </w:footnote>
  <w:footnote w:id="130">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lang w:val="es-CR"/>
        </w:rPr>
        <w:t>Cfr</w:t>
      </w:r>
      <w:r w:rsidRPr="00EF190F">
        <w:rPr>
          <w:sz w:val="16"/>
          <w:szCs w:val="16"/>
          <w:lang w:val="es-CR"/>
        </w:rPr>
        <w:t xml:space="preserve">. </w:t>
      </w:r>
      <w:r w:rsidRPr="00EF190F">
        <w:rPr>
          <w:bCs/>
          <w:sz w:val="16"/>
          <w:szCs w:val="16"/>
          <w:lang w:val="es-CR"/>
        </w:rPr>
        <w:t>Resolución del Procurador de los Derechos Humanos de 2 de septiembre de 1996 sobre los expedientes relacionados con los cementerios clandestinos localizados en Plan de Sánchez, Raxtuj, Chichupac y Río Negro, Rabinal, Baja Verapaz (expediente de prueba, folios 1869 a 1879).</w:t>
      </w:r>
    </w:p>
  </w:footnote>
  <w:footnote w:id="131">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t xml:space="preserve">Estos expedientes son: i) No. 87-97 ante la Fiscalía Distrital del Ministerio Público; ii) Causa No. 255-93 Of. 4to (Expediente 1083-95 M.P.) ante la Fiscalía Distrital del Ministerio Público de Salamá; iii) Causa No. 247-2003-1142 ante la Fiscalía Distrital del Ministerio Público de Salamá; iv) Causa No. 248-2010-263 ante la Fiscalía Municipal del Ministerio Público de Rabinal, y v) </w:t>
      </w:r>
      <w:r w:rsidRPr="00EF190F">
        <w:rPr>
          <w:rFonts w:cs="Arial"/>
          <w:sz w:val="16"/>
          <w:szCs w:val="16"/>
        </w:rPr>
        <w:t>Expediente</w:t>
      </w:r>
      <w:r w:rsidRPr="00EF190F">
        <w:rPr>
          <w:rFonts w:cs="Calibri,Bold"/>
          <w:bCs/>
          <w:sz w:val="16"/>
          <w:szCs w:val="16"/>
        </w:rPr>
        <w:t xml:space="preserve"> No. M.P. 247-1997-1378 ante la Fiscalía Distrital del Ministerio Público de Salamá. </w:t>
      </w:r>
    </w:p>
  </w:footnote>
  <w:footnote w:id="132">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t xml:space="preserve">Estos expedientes son: </w:t>
      </w:r>
      <w:r w:rsidRPr="00EF190F">
        <w:rPr>
          <w:rFonts w:cs="Arial"/>
          <w:sz w:val="16"/>
          <w:szCs w:val="16"/>
        </w:rPr>
        <w:t>i) No. 811-95 Of. 1ro ante la Fiscalía Distrital del Ministerio Público de Salamá</w:t>
      </w:r>
      <w:r w:rsidRPr="00EF190F">
        <w:rPr>
          <w:sz w:val="16"/>
          <w:szCs w:val="16"/>
          <w:lang w:val="es-PR"/>
        </w:rPr>
        <w:t xml:space="preserve"> y ii) No. 248-2006-169</w:t>
      </w:r>
      <w:r w:rsidRPr="00EF190F">
        <w:rPr>
          <w:sz w:val="16"/>
          <w:szCs w:val="16"/>
        </w:rPr>
        <w:t xml:space="preserve"> </w:t>
      </w:r>
      <w:r w:rsidRPr="00EF190F">
        <w:rPr>
          <w:sz w:val="16"/>
          <w:szCs w:val="16"/>
          <w:lang w:val="es-PR"/>
        </w:rPr>
        <w:t>ante la Fiscalía Municipal del Ministerio Público de Rabinal.</w:t>
      </w:r>
    </w:p>
  </w:footnote>
  <w:footnote w:id="133">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sz w:val="16"/>
          <w:szCs w:val="16"/>
          <w:lang w:val="es-CR"/>
        </w:rPr>
        <w:t>Denuncia de Máxima Emiliana García Valey y Francisco Sic Chen de 9 de mayo de 1995 (expediente de prueba, folio 1577), y Declaración de Juana García Depaz de 8 de febrero de 2010 (expediente de prueba, folios 9003 a 9005).</w:t>
      </w:r>
    </w:p>
  </w:footnote>
  <w:footnote w:id="134">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rFonts w:eastAsia="Calibri"/>
          <w:sz w:val="16"/>
          <w:szCs w:val="16"/>
        </w:rPr>
        <w:t>Durante la audiencia pública el Juez Eduardo Ferrer solicitó al Estado indicar “cuántos procesos penales están abiertos, cuántos se han acumulado y en qué etapa se encuentran”, y mediante nota de Secretaría de 12 de mayo de 2016 se solicitó al Estado responder las preguntas realizadas por los Jueces de la Corte en dicha audiencia y presentar “la documentación de respaldo pertinente”.</w:t>
      </w:r>
    </w:p>
  </w:footnote>
  <w:footnote w:id="135">
    <w:p w:rsidR="006A0E1C" w:rsidRPr="00EF190F" w:rsidRDefault="006A0E1C" w:rsidP="006A0E1C">
      <w:pPr>
        <w:pStyle w:val="FootnoteText"/>
        <w:rPr>
          <w:rFonts w:cs="Tahoma"/>
          <w:color w:val="000000"/>
          <w:sz w:val="16"/>
          <w:szCs w:val="16"/>
          <w:lang w:eastAsia="en-US"/>
        </w:rPr>
      </w:pPr>
      <w:r w:rsidRPr="00EF190F">
        <w:rPr>
          <w:rStyle w:val="FootnoteReference"/>
          <w:sz w:val="16"/>
          <w:szCs w:val="16"/>
        </w:rPr>
        <w:footnoteRef/>
      </w:r>
      <w:r w:rsidRPr="00EF190F">
        <w:rPr>
          <w:sz w:val="16"/>
          <w:szCs w:val="16"/>
        </w:rPr>
        <w:t xml:space="preserve"> </w:t>
      </w:r>
      <w:r w:rsidRPr="00EF190F">
        <w:rPr>
          <w:sz w:val="16"/>
          <w:szCs w:val="16"/>
        </w:rPr>
        <w:tab/>
        <w:t xml:space="preserve">El </w:t>
      </w:r>
      <w:r w:rsidRPr="00EF190F">
        <w:rPr>
          <w:rFonts w:cs="Tahoma"/>
          <w:bCs/>
          <w:color w:val="000000"/>
          <w:sz w:val="16"/>
          <w:szCs w:val="16"/>
          <w:lang w:val="es-CR" w:eastAsia="en-US"/>
        </w:rPr>
        <w:t>artículo 7 de la Convención señala: “</w:t>
      </w:r>
      <w:r w:rsidRPr="00EF190F">
        <w:rPr>
          <w:rFonts w:cs="Tahoma"/>
          <w:color w:val="000000"/>
          <w:sz w:val="16"/>
          <w:szCs w:val="16"/>
          <w:lang w:val="es-CR" w:eastAsia="en-US"/>
        </w:rPr>
        <w:t xml:space="preserve">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 4. Toda persona detenida o retenida debe ser informada de las razones de su detención y notificada, sin demora, del cargo o cargos formulados contra ella.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w:t>
      </w:r>
      <w:r w:rsidRPr="00EF190F">
        <w:rPr>
          <w:rFonts w:cs="Tahoma"/>
          <w:color w:val="000000"/>
          <w:sz w:val="16"/>
          <w:szCs w:val="16"/>
          <w:lang w:eastAsia="en-US"/>
        </w:rPr>
        <w:t>7. Nadie será detenido por deudas. Este principio no limita los mandatos de autoridad judicial competente dictados por incumplimientos de deberes alimentarios”.</w:t>
      </w:r>
    </w:p>
  </w:footnote>
  <w:footnote w:id="136">
    <w:p w:rsidR="006A0E1C" w:rsidRPr="00EF190F" w:rsidRDefault="006A0E1C" w:rsidP="006A0E1C">
      <w:pPr>
        <w:pStyle w:val="FootnoteText"/>
        <w:rPr>
          <w:rFonts w:cs="Tahoma"/>
          <w:color w:val="000000"/>
          <w:sz w:val="16"/>
          <w:szCs w:val="16"/>
          <w:u w:val="single"/>
          <w:lang w:eastAsia="en-US"/>
        </w:rPr>
      </w:pPr>
      <w:r w:rsidRPr="00EF190F">
        <w:rPr>
          <w:rStyle w:val="FootnoteReference"/>
          <w:sz w:val="16"/>
          <w:szCs w:val="16"/>
        </w:rPr>
        <w:footnoteRef/>
      </w:r>
      <w:r w:rsidRPr="00EF190F">
        <w:rPr>
          <w:sz w:val="16"/>
          <w:szCs w:val="16"/>
        </w:rPr>
        <w:t xml:space="preserve"> </w:t>
      </w:r>
      <w:r w:rsidRPr="00EF190F">
        <w:rPr>
          <w:sz w:val="16"/>
          <w:szCs w:val="16"/>
        </w:rPr>
        <w:tab/>
        <w:t xml:space="preserve">El </w:t>
      </w:r>
      <w:r w:rsidRPr="00EF190F">
        <w:rPr>
          <w:rFonts w:cs="Tahoma"/>
          <w:bCs/>
          <w:color w:val="000000"/>
          <w:sz w:val="16"/>
          <w:szCs w:val="16"/>
          <w:lang w:eastAsia="en-US"/>
        </w:rPr>
        <w:t xml:space="preserve">artículo 5 </w:t>
      </w:r>
      <w:r w:rsidRPr="00EF190F">
        <w:rPr>
          <w:rFonts w:cs="Tahoma"/>
          <w:bCs/>
          <w:color w:val="000000"/>
          <w:sz w:val="16"/>
          <w:szCs w:val="16"/>
          <w:lang w:val="es-CR" w:eastAsia="en-US"/>
        </w:rPr>
        <w:t>de la Convención, en lo pertinente establece:</w:t>
      </w:r>
      <w:r w:rsidRPr="00EF190F">
        <w:rPr>
          <w:rFonts w:cs="Tahoma"/>
          <w:color w:val="000000"/>
          <w:sz w:val="16"/>
          <w:szCs w:val="16"/>
          <w:lang w:eastAsia="en-US"/>
        </w:rPr>
        <w:t xml:space="preserve"> “1.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footnote>
  <w:footnote w:id="137">
    <w:p w:rsidR="006A0E1C" w:rsidRPr="00EF190F" w:rsidRDefault="006A0E1C" w:rsidP="006A0E1C">
      <w:pPr>
        <w:pStyle w:val="FootnoteText"/>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El </w:t>
      </w:r>
      <w:r w:rsidRPr="00EF190F">
        <w:rPr>
          <w:rFonts w:cs="Tahoma"/>
          <w:bCs/>
          <w:color w:val="000000"/>
          <w:sz w:val="16"/>
          <w:szCs w:val="16"/>
          <w:lang w:eastAsia="en-US"/>
        </w:rPr>
        <w:t xml:space="preserve">artículo 4.1 </w:t>
      </w:r>
      <w:r w:rsidRPr="00EF190F">
        <w:rPr>
          <w:rFonts w:cs="Tahoma"/>
          <w:bCs/>
          <w:color w:val="000000"/>
          <w:sz w:val="16"/>
          <w:szCs w:val="16"/>
          <w:lang w:val="es-CR" w:eastAsia="en-US"/>
        </w:rPr>
        <w:t>de la Convención indica:</w:t>
      </w:r>
      <w:r w:rsidRPr="00EF190F">
        <w:rPr>
          <w:rFonts w:cs="Tahoma"/>
          <w:color w:val="000000"/>
          <w:sz w:val="16"/>
          <w:szCs w:val="16"/>
          <w:lang w:eastAsia="en-US"/>
        </w:rPr>
        <w:t xml:space="preserve"> “1. Toda persona tiene derecho a que se respete su vida. Este derecho estará protegido por la ley y, en general, a partir del momento de la concepción. Nadie puede ser privado de la vida arbitrariamente”.</w:t>
      </w:r>
    </w:p>
  </w:footnote>
  <w:footnote w:id="138">
    <w:p w:rsidR="006A0E1C" w:rsidRPr="00EF190F" w:rsidRDefault="006A0E1C" w:rsidP="006A0E1C">
      <w:pPr>
        <w:pStyle w:val="FootnoteText"/>
        <w:rPr>
          <w:rFonts w:cs="Tahoma"/>
          <w:color w:val="000000"/>
          <w:sz w:val="16"/>
          <w:szCs w:val="16"/>
          <w:lang w:eastAsia="en-US"/>
        </w:rPr>
      </w:pPr>
      <w:r w:rsidRPr="00EF190F">
        <w:rPr>
          <w:rStyle w:val="FootnoteReference"/>
          <w:sz w:val="16"/>
          <w:szCs w:val="16"/>
        </w:rPr>
        <w:footnoteRef/>
      </w:r>
      <w:r w:rsidRPr="00EF190F">
        <w:rPr>
          <w:sz w:val="16"/>
          <w:szCs w:val="16"/>
        </w:rPr>
        <w:t xml:space="preserve"> </w:t>
      </w:r>
      <w:r w:rsidRPr="00EF190F">
        <w:rPr>
          <w:sz w:val="16"/>
          <w:szCs w:val="16"/>
        </w:rPr>
        <w:tab/>
        <w:t xml:space="preserve">El </w:t>
      </w:r>
      <w:r w:rsidRPr="00EF190F">
        <w:rPr>
          <w:rFonts w:cs="Tahoma"/>
          <w:bCs/>
          <w:color w:val="000000"/>
          <w:sz w:val="16"/>
          <w:szCs w:val="16"/>
          <w:lang w:eastAsia="en-US"/>
        </w:rPr>
        <w:t xml:space="preserve">artículo 3 </w:t>
      </w:r>
      <w:r w:rsidRPr="00EF190F">
        <w:rPr>
          <w:rFonts w:cs="Tahoma"/>
          <w:bCs/>
          <w:color w:val="000000"/>
          <w:sz w:val="16"/>
          <w:szCs w:val="16"/>
          <w:lang w:val="es-CR" w:eastAsia="en-US"/>
        </w:rPr>
        <w:t>de la Convención</w:t>
      </w:r>
      <w:r w:rsidRPr="00EF190F">
        <w:rPr>
          <w:rFonts w:cs="Tahoma"/>
          <w:bCs/>
          <w:color w:val="000000"/>
          <w:sz w:val="16"/>
          <w:szCs w:val="16"/>
          <w:lang w:eastAsia="en-US"/>
        </w:rPr>
        <w:t xml:space="preserve"> expresa: “</w:t>
      </w:r>
      <w:r w:rsidRPr="00EF190F">
        <w:rPr>
          <w:rFonts w:cs="Tahoma"/>
          <w:color w:val="000000"/>
          <w:sz w:val="16"/>
          <w:szCs w:val="16"/>
          <w:lang w:eastAsia="en-US"/>
        </w:rPr>
        <w:t>Toda persona tiene derecho al reconocimiento de su personalidad jurídica”.</w:t>
      </w:r>
    </w:p>
  </w:footnote>
  <w:footnote w:id="139">
    <w:p w:rsidR="006A0E1C" w:rsidRPr="00EF190F" w:rsidRDefault="006A0E1C" w:rsidP="006A0E1C">
      <w:pPr>
        <w:pStyle w:val="FootnoteText"/>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El </w:t>
      </w:r>
      <w:r w:rsidRPr="00EF190F">
        <w:rPr>
          <w:rFonts w:cs="Tahoma"/>
          <w:bCs/>
          <w:color w:val="000000"/>
          <w:sz w:val="16"/>
          <w:szCs w:val="16"/>
          <w:lang w:eastAsia="en-US"/>
        </w:rPr>
        <w:t xml:space="preserve">artículo 17 </w:t>
      </w:r>
      <w:r w:rsidRPr="00EF190F">
        <w:rPr>
          <w:rFonts w:cs="Tahoma"/>
          <w:bCs/>
          <w:color w:val="000000"/>
          <w:sz w:val="16"/>
          <w:szCs w:val="16"/>
          <w:lang w:val="es-CR" w:eastAsia="en-US"/>
        </w:rPr>
        <w:t>de la Convención, en lo pertinente</w:t>
      </w:r>
      <w:r w:rsidRPr="00EF190F">
        <w:rPr>
          <w:rFonts w:cs="Tahoma"/>
          <w:bCs/>
          <w:color w:val="000000"/>
          <w:sz w:val="16"/>
          <w:szCs w:val="16"/>
          <w:lang w:eastAsia="en-US"/>
        </w:rPr>
        <w:t xml:space="preserve"> establece: “</w:t>
      </w:r>
      <w:r w:rsidRPr="00EF190F">
        <w:rPr>
          <w:rFonts w:cs="Tahoma"/>
          <w:color w:val="000000"/>
          <w:sz w:val="16"/>
          <w:szCs w:val="16"/>
          <w:lang w:eastAsia="en-US"/>
        </w:rPr>
        <w:t>1. La familia es el elemento natural y fundamental de la sociedad y debe ser protegida por la sociedad y el Estado”.</w:t>
      </w:r>
    </w:p>
  </w:footnote>
  <w:footnote w:id="140">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rPr>
        <w:t xml:space="preserve"> </w:t>
      </w:r>
      <w:r w:rsidRPr="00EF190F">
        <w:rPr>
          <w:sz w:val="16"/>
          <w:szCs w:val="16"/>
          <w:lang w:val="es-CR"/>
        </w:rPr>
        <w:tab/>
      </w:r>
      <w:r w:rsidRPr="00EF190F">
        <w:rPr>
          <w:i/>
          <w:sz w:val="16"/>
          <w:szCs w:val="16"/>
        </w:rPr>
        <w:t>Cfr. Caso Velásquez Rodríguez Vs. Honduras</w:t>
      </w:r>
      <w:r w:rsidRPr="00EF190F">
        <w:rPr>
          <w:sz w:val="16"/>
          <w:szCs w:val="16"/>
        </w:rPr>
        <w:t xml:space="preserve">. </w:t>
      </w:r>
      <w:r w:rsidRPr="00EF190F">
        <w:rPr>
          <w:i/>
          <w:sz w:val="16"/>
          <w:szCs w:val="16"/>
        </w:rPr>
        <w:t>Fondo</w:t>
      </w:r>
      <w:r w:rsidRPr="00EF190F">
        <w:rPr>
          <w:sz w:val="16"/>
          <w:szCs w:val="16"/>
        </w:rPr>
        <w:t xml:space="preserve">. Sentencia de 29 de julio de 1988. Serie C No. 4, párr. 155, y </w:t>
      </w:r>
      <w:r w:rsidRPr="00EF190F">
        <w:rPr>
          <w:i/>
          <w:sz w:val="16"/>
          <w:szCs w:val="16"/>
        </w:rPr>
        <w:t xml:space="preserve">Caso Tenorio Roca y otros Vs. Perú. Excepciones Preliminares, Fondo, Reparaciones y Costas. </w:t>
      </w:r>
      <w:r w:rsidRPr="00EF190F">
        <w:rPr>
          <w:sz w:val="16"/>
          <w:szCs w:val="16"/>
        </w:rPr>
        <w:t>Sentencia de 22 de junio de 2016. Serie C No. 314, párr. 141.</w:t>
      </w:r>
    </w:p>
  </w:footnote>
  <w:footnote w:id="141">
    <w:p w:rsidR="006A0E1C" w:rsidRPr="00EF190F" w:rsidRDefault="006A0E1C" w:rsidP="006A0E1C">
      <w:pPr>
        <w:pStyle w:val="FootnoteText"/>
        <w:tabs>
          <w:tab w:val="left" w:pos="360"/>
          <w:tab w:val="left" w:pos="450"/>
        </w:tabs>
        <w:rPr>
          <w:spacing w:val="-4"/>
          <w:sz w:val="16"/>
          <w:szCs w:val="16"/>
          <w:lang w:val="es-PR"/>
        </w:rPr>
      </w:pPr>
      <w:r w:rsidRPr="00EF190F">
        <w:rPr>
          <w:rStyle w:val="FootnoteReference"/>
          <w:rFonts w:eastAsia="Calibri"/>
          <w:sz w:val="16"/>
          <w:szCs w:val="16"/>
          <w:lang w:val="es-PR"/>
        </w:rPr>
        <w:footnoteRef/>
      </w:r>
      <w:r w:rsidRPr="00EF190F">
        <w:rPr>
          <w:spacing w:val="-4"/>
          <w:sz w:val="16"/>
          <w:szCs w:val="16"/>
          <w:lang w:val="es-PR"/>
        </w:rPr>
        <w:t xml:space="preserve"> </w:t>
      </w:r>
      <w:r w:rsidRPr="00EF190F">
        <w:rPr>
          <w:spacing w:val="-4"/>
          <w:sz w:val="16"/>
          <w:szCs w:val="16"/>
          <w:lang w:val="es-PR"/>
        </w:rPr>
        <w:tab/>
      </w:r>
      <w:r w:rsidRPr="00EF190F">
        <w:rPr>
          <w:rFonts w:cs="Arial"/>
          <w:i/>
          <w:sz w:val="16"/>
          <w:szCs w:val="16"/>
          <w:lang w:val="es-PR"/>
        </w:rPr>
        <w:t>Cfr.</w:t>
      </w:r>
      <w:r w:rsidRPr="00EF190F">
        <w:rPr>
          <w:rFonts w:cs="Arial"/>
          <w:sz w:val="16"/>
          <w:szCs w:val="16"/>
          <w:lang w:val="es-PR"/>
        </w:rPr>
        <w:t xml:space="preserve"> </w:t>
      </w:r>
      <w:r w:rsidRPr="00EF190F">
        <w:rPr>
          <w:rFonts w:cs="Arial"/>
          <w:i/>
          <w:sz w:val="16"/>
          <w:szCs w:val="16"/>
          <w:lang w:val="es-PR"/>
        </w:rPr>
        <w:t>inter alia</w:t>
      </w:r>
      <w:r w:rsidRPr="00EF190F">
        <w:rPr>
          <w:rFonts w:cs="Arial"/>
          <w:sz w:val="16"/>
          <w:szCs w:val="16"/>
          <w:lang w:val="es-PR"/>
        </w:rPr>
        <w:t xml:space="preserve">, </w:t>
      </w:r>
      <w:r w:rsidRPr="00EF190F">
        <w:rPr>
          <w:i/>
          <w:sz w:val="16"/>
          <w:szCs w:val="16"/>
          <w:lang w:val="es-PR"/>
        </w:rPr>
        <w:t>Caso Velásquez Rodríguez Vs. Honduras. Fondo,</w:t>
      </w:r>
      <w:r w:rsidRPr="00EF190F">
        <w:rPr>
          <w:sz w:val="16"/>
          <w:szCs w:val="16"/>
          <w:lang w:val="es-PR"/>
        </w:rPr>
        <w:t xml:space="preserve"> </w:t>
      </w:r>
      <w:r w:rsidRPr="00EF190F">
        <w:rPr>
          <w:noProof/>
          <w:sz w:val="16"/>
          <w:szCs w:val="16"/>
          <w:lang w:val="es-PR"/>
        </w:rPr>
        <w:t xml:space="preserve">párrs. 155 a 157, y </w:t>
      </w:r>
      <w:r w:rsidRPr="00EF190F">
        <w:rPr>
          <w:i/>
          <w:sz w:val="16"/>
          <w:szCs w:val="16"/>
          <w:lang w:val="es-PR"/>
        </w:rPr>
        <w:t xml:space="preserve">Caso Osorio Rivera y Familiares Vs. Perú. Excepciones Preliminares, Fondo, Reparaciones y Costas. </w:t>
      </w:r>
      <w:r w:rsidRPr="00EF190F">
        <w:rPr>
          <w:sz w:val="16"/>
          <w:szCs w:val="16"/>
          <w:lang w:val="es-PR"/>
        </w:rPr>
        <w:t>Sentencia de 26 de noviembre de 2013. Serie C No. 274, párr. 31.</w:t>
      </w:r>
    </w:p>
  </w:footnote>
  <w:footnote w:id="142">
    <w:p w:rsidR="006A0E1C" w:rsidRPr="00EF190F" w:rsidRDefault="006A0E1C" w:rsidP="006A0E1C">
      <w:pPr>
        <w:pStyle w:val="FootnoteText"/>
        <w:tabs>
          <w:tab w:val="left" w:pos="360"/>
          <w:tab w:val="left" w:pos="450"/>
        </w:tabs>
        <w:rPr>
          <w:b/>
          <w:sz w:val="16"/>
          <w:szCs w:val="16"/>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z w:val="16"/>
          <w:szCs w:val="16"/>
          <w:lang w:val="es-PR"/>
        </w:rPr>
        <w:tab/>
      </w:r>
      <w:r w:rsidRPr="00EF190F">
        <w:rPr>
          <w:i/>
          <w:sz w:val="16"/>
          <w:szCs w:val="16"/>
          <w:lang w:val="es-PR"/>
        </w:rPr>
        <w:t>Cfr.</w:t>
      </w:r>
      <w:r w:rsidRPr="00EF190F">
        <w:rPr>
          <w:sz w:val="16"/>
          <w:szCs w:val="16"/>
          <w:lang w:val="es-PR"/>
        </w:rPr>
        <w:t xml:space="preserve"> </w:t>
      </w:r>
      <w:r w:rsidRPr="00EF190F">
        <w:rPr>
          <w:rStyle w:val="Strong"/>
          <w:b w:val="0"/>
          <w:i/>
          <w:sz w:val="16"/>
          <w:szCs w:val="16"/>
          <w:shd w:val="clear" w:color="auto" w:fill="FFFFFF"/>
          <w:lang w:val="es-PR"/>
        </w:rPr>
        <w:t xml:space="preserve">Caso Radilla Pacheco Vs. México. Excepciones Preliminares, Fondo, Reparaciones y Costas. </w:t>
      </w:r>
      <w:r w:rsidRPr="00EF190F">
        <w:rPr>
          <w:rStyle w:val="Strong"/>
          <w:b w:val="0"/>
          <w:sz w:val="16"/>
          <w:szCs w:val="16"/>
          <w:shd w:val="clear" w:color="auto" w:fill="FFFFFF"/>
          <w:lang w:val="es-PR"/>
        </w:rPr>
        <w:t>Sentencia de 23 de noviembre de 2009. Serie C No. 209</w:t>
      </w:r>
      <w:r w:rsidRPr="00EF190F">
        <w:rPr>
          <w:rStyle w:val="Strong"/>
          <w:b w:val="0"/>
          <w:i/>
          <w:sz w:val="16"/>
          <w:szCs w:val="16"/>
          <w:shd w:val="clear" w:color="auto" w:fill="FFFFFF"/>
          <w:lang w:val="es-PR"/>
        </w:rPr>
        <w:t xml:space="preserve">, </w:t>
      </w:r>
      <w:r w:rsidRPr="00EF190F">
        <w:rPr>
          <w:rStyle w:val="Strong"/>
          <w:b w:val="0"/>
          <w:sz w:val="16"/>
          <w:szCs w:val="16"/>
          <w:shd w:val="clear" w:color="auto" w:fill="FFFFFF"/>
          <w:lang w:val="es-PR"/>
        </w:rPr>
        <w:t xml:space="preserve">párr. 145, y </w:t>
      </w:r>
      <w:r w:rsidRPr="00EF190F">
        <w:rPr>
          <w:rStyle w:val="Strong"/>
          <w:b w:val="0"/>
          <w:i/>
          <w:sz w:val="16"/>
          <w:szCs w:val="16"/>
          <w:shd w:val="clear" w:color="auto" w:fill="FFFFFF"/>
          <w:lang w:val="es-PR"/>
        </w:rPr>
        <w:t>Caso Osorio Rivera y Familiares Vs. Perú</w:t>
      </w:r>
      <w:r w:rsidRPr="00EF190F">
        <w:rPr>
          <w:rStyle w:val="Strong"/>
          <w:b w:val="0"/>
          <w:sz w:val="16"/>
          <w:szCs w:val="16"/>
          <w:shd w:val="clear" w:color="auto" w:fill="FFFFFF"/>
          <w:lang w:val="es-PR"/>
        </w:rPr>
        <w:t>,</w:t>
      </w:r>
      <w:r w:rsidRPr="00EF190F">
        <w:rPr>
          <w:rStyle w:val="Strong"/>
          <w:b w:val="0"/>
          <w:i/>
          <w:sz w:val="16"/>
          <w:szCs w:val="16"/>
          <w:shd w:val="clear" w:color="auto" w:fill="FFFFFF"/>
          <w:lang w:val="es-PR"/>
        </w:rPr>
        <w:t xml:space="preserve"> </w:t>
      </w:r>
      <w:r w:rsidRPr="00EF190F">
        <w:rPr>
          <w:rStyle w:val="Strong"/>
          <w:b w:val="0"/>
          <w:sz w:val="16"/>
          <w:szCs w:val="16"/>
          <w:shd w:val="clear" w:color="auto" w:fill="FFFFFF"/>
          <w:lang w:val="es-PR"/>
        </w:rPr>
        <w:t>párr. 115.</w:t>
      </w:r>
    </w:p>
  </w:footnote>
  <w:footnote w:id="143">
    <w:p w:rsidR="006A0E1C" w:rsidRPr="00EF190F" w:rsidRDefault="006A0E1C" w:rsidP="006A0E1C">
      <w:pPr>
        <w:pStyle w:val="FootnoteText"/>
        <w:tabs>
          <w:tab w:val="left" w:pos="360"/>
          <w:tab w:val="left" w:pos="426"/>
        </w:tabs>
        <w:rPr>
          <w:sz w:val="16"/>
          <w:szCs w:val="16"/>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z w:val="16"/>
          <w:szCs w:val="16"/>
          <w:lang w:val="es-PR"/>
        </w:rPr>
        <w:tab/>
      </w:r>
      <w:r w:rsidRPr="00EF190F">
        <w:rPr>
          <w:i/>
          <w:sz w:val="16"/>
          <w:szCs w:val="16"/>
          <w:lang w:val="es-PR"/>
        </w:rPr>
        <w:t xml:space="preserve">Cfr. Caso Radilla Pacheco Vs. México, </w:t>
      </w:r>
      <w:r w:rsidRPr="00EF190F">
        <w:rPr>
          <w:sz w:val="16"/>
          <w:szCs w:val="16"/>
          <w:lang w:val="es-PR"/>
        </w:rPr>
        <w:t xml:space="preserve">párr. 138, y </w:t>
      </w:r>
      <w:r w:rsidRPr="00EF190F">
        <w:rPr>
          <w:i/>
          <w:sz w:val="16"/>
          <w:szCs w:val="16"/>
        </w:rPr>
        <w:t>Caso Comunidad Campesina de Santa Bárbara Vs. Perú</w:t>
      </w:r>
      <w:r w:rsidRPr="00EF190F">
        <w:rPr>
          <w:sz w:val="16"/>
          <w:szCs w:val="16"/>
        </w:rPr>
        <w:t xml:space="preserve">. </w:t>
      </w:r>
      <w:r w:rsidRPr="00EF190F">
        <w:rPr>
          <w:i/>
          <w:sz w:val="16"/>
          <w:szCs w:val="16"/>
        </w:rPr>
        <w:t>Excepciones Preliminares, Fondo, Reparaciones y Costas</w:t>
      </w:r>
      <w:r w:rsidRPr="00EF190F">
        <w:rPr>
          <w:sz w:val="16"/>
          <w:szCs w:val="16"/>
        </w:rPr>
        <w:t>. Sentencia de 01 de septiembre de 2015. Serie C No. 299, párr. 166.</w:t>
      </w:r>
    </w:p>
  </w:footnote>
  <w:footnote w:id="144">
    <w:p w:rsidR="006A0E1C" w:rsidRPr="00EF190F" w:rsidRDefault="006A0E1C" w:rsidP="006A0E1C">
      <w:pPr>
        <w:pStyle w:val="FootnoteText"/>
        <w:tabs>
          <w:tab w:val="left" w:pos="360"/>
          <w:tab w:val="left" w:pos="450"/>
        </w:tabs>
        <w:rPr>
          <w:sz w:val="16"/>
          <w:szCs w:val="16"/>
          <w:lang w:val="es-PR"/>
        </w:rPr>
      </w:pPr>
      <w:r w:rsidRPr="00EF190F">
        <w:rPr>
          <w:rStyle w:val="FootnoteReference"/>
          <w:rFonts w:eastAsia="Times"/>
          <w:sz w:val="16"/>
          <w:szCs w:val="16"/>
          <w:lang w:val="es-PR"/>
        </w:rPr>
        <w:footnoteRef/>
      </w:r>
      <w:r w:rsidRPr="00EF190F">
        <w:rPr>
          <w:sz w:val="16"/>
          <w:szCs w:val="16"/>
          <w:lang w:val="es-PR"/>
        </w:rPr>
        <w:tab/>
      </w:r>
      <w:r w:rsidRPr="00EF190F">
        <w:rPr>
          <w:i/>
          <w:sz w:val="16"/>
          <w:szCs w:val="16"/>
          <w:lang w:val="es-PR"/>
        </w:rPr>
        <w:t>Cfr. Caso Heliodoro Portugal Vs. Panamá.</w:t>
      </w:r>
      <w:r w:rsidRPr="00EF190F">
        <w:rPr>
          <w:i/>
          <w:spacing w:val="-4"/>
          <w:sz w:val="16"/>
          <w:szCs w:val="16"/>
          <w:lang w:val="es-PR"/>
        </w:rPr>
        <w:t xml:space="preserve"> Excepciones Preliminares, Fondo, Reparaciones y Costas. </w:t>
      </w:r>
      <w:r w:rsidRPr="00EF190F">
        <w:rPr>
          <w:spacing w:val="-4"/>
          <w:sz w:val="16"/>
          <w:szCs w:val="16"/>
          <w:lang w:val="es-PR"/>
        </w:rPr>
        <w:t>Sentencia de 12 de agosto de 2008. Serie C No. 186</w:t>
      </w:r>
      <w:r w:rsidRPr="00EF190F">
        <w:rPr>
          <w:sz w:val="16"/>
          <w:szCs w:val="16"/>
          <w:lang w:val="es-PR"/>
        </w:rPr>
        <w:t>,</w:t>
      </w:r>
      <w:r w:rsidRPr="00EF190F">
        <w:rPr>
          <w:i/>
          <w:sz w:val="16"/>
          <w:szCs w:val="16"/>
          <w:lang w:val="es-PR"/>
        </w:rPr>
        <w:t xml:space="preserve"> </w:t>
      </w:r>
      <w:r w:rsidRPr="00EF190F">
        <w:rPr>
          <w:sz w:val="16"/>
          <w:szCs w:val="16"/>
          <w:lang w:val="es-PR"/>
        </w:rPr>
        <w:t>párr.</w:t>
      </w:r>
      <w:r w:rsidRPr="00EF190F">
        <w:rPr>
          <w:sz w:val="16"/>
          <w:szCs w:val="16"/>
          <w:lang w:val="es-PR" w:bidi="en-US"/>
        </w:rPr>
        <w:t xml:space="preserve"> </w:t>
      </w:r>
      <w:r w:rsidRPr="00EF190F">
        <w:rPr>
          <w:sz w:val="16"/>
          <w:szCs w:val="16"/>
          <w:lang w:val="es-PR"/>
        </w:rPr>
        <w:t xml:space="preserve">112, y </w:t>
      </w:r>
      <w:r w:rsidRPr="00EF190F">
        <w:rPr>
          <w:i/>
          <w:sz w:val="16"/>
          <w:szCs w:val="16"/>
        </w:rPr>
        <w:t>Caso Comunidad Campesina de Santa Bárbara Vs. Perú</w:t>
      </w:r>
      <w:r w:rsidRPr="00EF190F">
        <w:rPr>
          <w:sz w:val="16"/>
          <w:szCs w:val="16"/>
        </w:rPr>
        <w:t>, párr. 166.</w:t>
      </w:r>
    </w:p>
  </w:footnote>
  <w:footnote w:id="145">
    <w:p w:rsidR="006A0E1C" w:rsidRPr="00EF190F" w:rsidRDefault="006A0E1C" w:rsidP="006A0E1C">
      <w:pPr>
        <w:tabs>
          <w:tab w:val="left" w:pos="360"/>
          <w:tab w:val="left" w:pos="426"/>
        </w:tabs>
        <w:autoSpaceDE w:val="0"/>
        <w:autoSpaceDN w:val="0"/>
        <w:spacing w:line="240" w:lineRule="auto"/>
        <w:rPr>
          <w:sz w:val="16"/>
          <w:szCs w:val="16"/>
          <w:lang w:val="es-PR"/>
        </w:rPr>
      </w:pPr>
      <w:r w:rsidRPr="00EF190F">
        <w:rPr>
          <w:rStyle w:val="FootnoteReference"/>
          <w:sz w:val="16"/>
          <w:szCs w:val="16"/>
          <w:lang w:val="es-PR"/>
        </w:rPr>
        <w:footnoteRef/>
      </w:r>
      <w:r w:rsidRPr="00EF190F">
        <w:rPr>
          <w:sz w:val="16"/>
          <w:szCs w:val="16"/>
          <w:lang w:val="es-PR"/>
        </w:rPr>
        <w:t xml:space="preserve"> </w:t>
      </w:r>
      <w:r w:rsidRPr="00EF190F">
        <w:rPr>
          <w:sz w:val="16"/>
          <w:szCs w:val="16"/>
          <w:lang w:val="es-PR"/>
        </w:rPr>
        <w:tab/>
      </w:r>
      <w:r w:rsidRPr="00EF190F">
        <w:rPr>
          <w:i/>
          <w:sz w:val="16"/>
          <w:szCs w:val="16"/>
          <w:lang w:val="es-PR"/>
        </w:rPr>
        <w:t>Cfr.</w:t>
      </w:r>
      <w:r w:rsidRPr="00EF190F">
        <w:rPr>
          <w:sz w:val="16"/>
          <w:szCs w:val="16"/>
          <w:lang w:val="es-PR"/>
        </w:rPr>
        <w:t xml:space="preserve"> </w:t>
      </w:r>
      <w:r w:rsidRPr="00EF190F">
        <w:rPr>
          <w:i/>
          <w:sz w:val="16"/>
          <w:szCs w:val="16"/>
          <w:lang w:val="es-PR"/>
        </w:rPr>
        <w:t>Caso Heliodoro Portugal Vs. Panamá</w:t>
      </w:r>
      <w:r w:rsidRPr="00EF190F">
        <w:rPr>
          <w:i/>
          <w:sz w:val="16"/>
          <w:szCs w:val="16"/>
          <w:lang w:val="es-PR" w:bidi="en-US"/>
        </w:rPr>
        <w:t xml:space="preserve">, </w:t>
      </w:r>
      <w:r w:rsidRPr="00EF190F">
        <w:rPr>
          <w:sz w:val="16"/>
          <w:szCs w:val="16"/>
          <w:lang w:val="es-PR" w:bidi="en-US"/>
        </w:rPr>
        <w:t>párr. 112,</w:t>
      </w:r>
      <w:r w:rsidRPr="00EF190F">
        <w:rPr>
          <w:sz w:val="16"/>
          <w:szCs w:val="16"/>
          <w:lang w:val="es-PR"/>
        </w:rPr>
        <w:t xml:space="preserve"> y </w:t>
      </w:r>
      <w:r w:rsidRPr="00EF190F">
        <w:rPr>
          <w:bCs/>
          <w:i/>
          <w:sz w:val="16"/>
          <w:szCs w:val="16"/>
          <w:lang w:val="es-PR"/>
        </w:rPr>
        <w:t>Caso Osorio Rivera y familiares Vs. Perú</w:t>
      </w:r>
      <w:r w:rsidRPr="00EF190F">
        <w:rPr>
          <w:bCs/>
          <w:sz w:val="16"/>
          <w:szCs w:val="16"/>
          <w:lang w:val="es-PR"/>
        </w:rPr>
        <w:t>, párr. 116.</w:t>
      </w:r>
    </w:p>
  </w:footnote>
  <w:footnote w:id="146">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lang w:val="es-CR"/>
        </w:rPr>
        <w:t xml:space="preserve"> </w:t>
      </w:r>
      <w:r w:rsidRPr="00EF190F">
        <w:rPr>
          <w:sz w:val="16"/>
          <w:szCs w:val="16"/>
          <w:lang w:val="es-CR"/>
        </w:rPr>
        <w:tab/>
        <w:t xml:space="preserve">Esta ha sido la </w:t>
      </w:r>
      <w:r w:rsidRPr="00EF190F">
        <w:rPr>
          <w:sz w:val="16"/>
          <w:szCs w:val="16"/>
        </w:rPr>
        <w:t xml:space="preserve">jurisprudencia constante de la Corte en </w:t>
      </w:r>
      <w:r w:rsidRPr="00EF190F">
        <w:rPr>
          <w:sz w:val="16"/>
          <w:szCs w:val="16"/>
          <w:lang w:val="es-CR"/>
        </w:rPr>
        <w:t xml:space="preserve">casos de desaparición forzada de personas. </w:t>
      </w:r>
      <w:r w:rsidRPr="00EF190F">
        <w:rPr>
          <w:i/>
          <w:sz w:val="16"/>
          <w:szCs w:val="16"/>
          <w:lang w:val="es-CR"/>
        </w:rPr>
        <w:t>Cfr.</w:t>
      </w:r>
      <w:r w:rsidRPr="00EF190F">
        <w:rPr>
          <w:sz w:val="16"/>
          <w:szCs w:val="16"/>
        </w:rPr>
        <w:t xml:space="preserve"> </w:t>
      </w:r>
      <w:r w:rsidRPr="00EF190F">
        <w:rPr>
          <w:i/>
          <w:sz w:val="16"/>
          <w:szCs w:val="16"/>
        </w:rPr>
        <w:t>Caso Heliodoro Portugal Vs. Panamá</w:t>
      </w:r>
      <w:r w:rsidRPr="00EF190F">
        <w:rPr>
          <w:sz w:val="16"/>
          <w:szCs w:val="16"/>
        </w:rPr>
        <w:t xml:space="preserve">, párr. 34; </w:t>
      </w:r>
      <w:r w:rsidRPr="00EF190F">
        <w:rPr>
          <w:i/>
          <w:sz w:val="16"/>
          <w:szCs w:val="16"/>
        </w:rPr>
        <w:t xml:space="preserve">Caso Ticona Estrada y otros Vs. Bolivia. Fondo, Reparaciones y Costas. </w:t>
      </w:r>
      <w:r w:rsidRPr="00EF190F">
        <w:rPr>
          <w:sz w:val="16"/>
          <w:szCs w:val="16"/>
        </w:rPr>
        <w:t xml:space="preserve">Sentencia de 27 de noviembre de 2008. Serie C No. 191, párr. 28 y ss; </w:t>
      </w:r>
      <w:r w:rsidRPr="00EF190F">
        <w:rPr>
          <w:i/>
          <w:sz w:val="16"/>
          <w:szCs w:val="16"/>
        </w:rPr>
        <w:t>Caso Radilla Pacheco Vs. México</w:t>
      </w:r>
      <w:r w:rsidRPr="00EF190F">
        <w:rPr>
          <w:sz w:val="16"/>
          <w:szCs w:val="16"/>
        </w:rPr>
        <w:t xml:space="preserve">, párr. 24; </w:t>
      </w:r>
      <w:r w:rsidRPr="00EF190F">
        <w:rPr>
          <w:rStyle w:val="Strong"/>
          <w:b w:val="0"/>
          <w:i/>
          <w:sz w:val="16"/>
          <w:szCs w:val="16"/>
          <w:shd w:val="clear" w:color="auto" w:fill="FFFFFF"/>
        </w:rPr>
        <w:t>Caso González Medina y familiares</w:t>
      </w:r>
      <w:r w:rsidRPr="00EF190F">
        <w:rPr>
          <w:rStyle w:val="Strong"/>
          <w:b w:val="0"/>
          <w:sz w:val="16"/>
          <w:szCs w:val="16"/>
          <w:shd w:val="clear" w:color="auto" w:fill="FFFFFF"/>
        </w:rPr>
        <w:t xml:space="preserve"> </w:t>
      </w:r>
      <w:r w:rsidRPr="00EF190F">
        <w:rPr>
          <w:rStyle w:val="Strong"/>
          <w:b w:val="0"/>
          <w:i/>
          <w:sz w:val="16"/>
          <w:szCs w:val="16"/>
          <w:shd w:val="clear" w:color="auto" w:fill="FFFFFF"/>
        </w:rPr>
        <w:t xml:space="preserve">Vs. República Dominicana. Excepciones Preliminares, Fondo, Reparaciones y Costas. </w:t>
      </w:r>
      <w:r w:rsidRPr="00EF190F">
        <w:rPr>
          <w:rStyle w:val="Strong"/>
          <w:b w:val="0"/>
          <w:sz w:val="16"/>
          <w:szCs w:val="16"/>
          <w:shd w:val="clear" w:color="auto" w:fill="FFFFFF"/>
        </w:rPr>
        <w:t xml:space="preserve">Sentencia de 27 de febrero de 2012. Serie C No. 240, párr. 48; </w:t>
      </w:r>
      <w:r w:rsidRPr="00EF190F">
        <w:rPr>
          <w:rStyle w:val="Strong"/>
          <w:b w:val="0"/>
          <w:i/>
          <w:sz w:val="16"/>
          <w:szCs w:val="16"/>
          <w:shd w:val="clear" w:color="auto" w:fill="FFFFFF"/>
        </w:rPr>
        <w:t>Caso Tenorio Roca y Otros Vs. Perú</w:t>
      </w:r>
      <w:r w:rsidRPr="00EF190F">
        <w:rPr>
          <w:rStyle w:val="Strong"/>
          <w:b w:val="0"/>
          <w:sz w:val="16"/>
          <w:szCs w:val="16"/>
          <w:shd w:val="clear" w:color="auto" w:fill="FFFFFF"/>
        </w:rPr>
        <w:t>, párr. 31</w:t>
      </w:r>
      <w:r w:rsidRPr="00EF190F">
        <w:rPr>
          <w:sz w:val="16"/>
          <w:szCs w:val="16"/>
        </w:rPr>
        <w:t>.</w:t>
      </w:r>
    </w:p>
  </w:footnote>
  <w:footnote w:id="147">
    <w:p w:rsidR="006A0E1C" w:rsidRPr="00EF190F" w:rsidRDefault="006A0E1C" w:rsidP="006A0E1C">
      <w:pPr>
        <w:pStyle w:val="FootnoteText"/>
        <w:tabs>
          <w:tab w:val="left" w:pos="360"/>
        </w:tabs>
        <w:rPr>
          <w:i/>
          <w:sz w:val="16"/>
          <w:szCs w:val="16"/>
        </w:rPr>
      </w:pPr>
      <w:r w:rsidRPr="00EF190F">
        <w:rPr>
          <w:rStyle w:val="FootnoteReference"/>
          <w:sz w:val="16"/>
          <w:szCs w:val="16"/>
        </w:rPr>
        <w:footnoteRef/>
      </w:r>
      <w:r w:rsidRPr="00EF190F">
        <w:rPr>
          <w:sz w:val="16"/>
          <w:szCs w:val="16"/>
        </w:rPr>
        <w:t xml:space="preserve">   </w:t>
      </w:r>
      <w:r w:rsidRPr="00EF190F">
        <w:rPr>
          <w:i/>
          <w:sz w:val="16"/>
          <w:szCs w:val="16"/>
        </w:rPr>
        <w:t xml:space="preserve">Cfr. </w:t>
      </w:r>
      <w:r w:rsidRPr="00EF190F">
        <w:rPr>
          <w:rStyle w:val="Strong"/>
          <w:b w:val="0"/>
          <w:i/>
          <w:sz w:val="16"/>
          <w:szCs w:val="16"/>
          <w:shd w:val="clear" w:color="auto" w:fill="FFFFFF"/>
        </w:rPr>
        <w:t>Caso González Medina y familiares</w:t>
      </w:r>
      <w:r w:rsidRPr="00EF190F">
        <w:rPr>
          <w:rStyle w:val="Strong"/>
          <w:b w:val="0"/>
          <w:sz w:val="16"/>
          <w:szCs w:val="16"/>
          <w:shd w:val="clear" w:color="auto" w:fill="FFFFFF"/>
        </w:rPr>
        <w:t xml:space="preserve"> </w:t>
      </w:r>
      <w:r w:rsidRPr="00EF190F">
        <w:rPr>
          <w:rStyle w:val="Strong"/>
          <w:b w:val="0"/>
          <w:i/>
          <w:sz w:val="16"/>
          <w:szCs w:val="16"/>
          <w:shd w:val="clear" w:color="auto" w:fill="FFFFFF"/>
        </w:rPr>
        <w:t>Vs. República Dominicana</w:t>
      </w:r>
      <w:r w:rsidRPr="00EF190F">
        <w:rPr>
          <w:rStyle w:val="Strong"/>
          <w:b w:val="0"/>
          <w:sz w:val="16"/>
          <w:szCs w:val="16"/>
          <w:shd w:val="clear" w:color="auto" w:fill="FFFFFF"/>
        </w:rPr>
        <w:t>, párr. 53.</w:t>
      </w:r>
    </w:p>
  </w:footnote>
  <w:footnote w:id="148">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w:t>
      </w:r>
      <w:r w:rsidRPr="00EF190F">
        <w:rPr>
          <w:rStyle w:val="Strong"/>
          <w:b w:val="0"/>
          <w:i/>
          <w:sz w:val="16"/>
          <w:szCs w:val="16"/>
          <w:shd w:val="clear" w:color="auto" w:fill="FFFFFF"/>
        </w:rPr>
        <w:t>Caso Ticona Estrada y otros Vs. Bolivia</w:t>
      </w:r>
      <w:r w:rsidRPr="00EF190F">
        <w:rPr>
          <w:rStyle w:val="Strong"/>
          <w:b w:val="0"/>
          <w:sz w:val="16"/>
          <w:szCs w:val="16"/>
          <w:shd w:val="clear" w:color="auto" w:fill="FFFFFF"/>
        </w:rPr>
        <w:t>, párrs. 75, 76, 103 y 104.</w:t>
      </w:r>
    </w:p>
  </w:footnote>
  <w:footnote w:id="149">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w:t>
      </w:r>
      <w:r w:rsidRPr="00EF190F">
        <w:rPr>
          <w:rStyle w:val="Strong"/>
          <w:b w:val="0"/>
          <w:i/>
          <w:sz w:val="16"/>
          <w:szCs w:val="16"/>
          <w:shd w:val="clear" w:color="auto" w:fill="FFFFFF"/>
        </w:rPr>
        <w:t xml:space="preserve">Caso Goiburú y otros Vs. Paraguay. Fondo, Reparaciones y Costas. </w:t>
      </w:r>
      <w:r w:rsidRPr="00EF190F">
        <w:rPr>
          <w:rStyle w:val="Strong"/>
          <w:b w:val="0"/>
          <w:sz w:val="16"/>
          <w:szCs w:val="16"/>
          <w:shd w:val="clear" w:color="auto" w:fill="FFFFFF"/>
        </w:rPr>
        <w:t>Sentencia de 22 de septiembre de 2006. Serie C No. 153, párrs. 91 y 92.</w:t>
      </w:r>
    </w:p>
  </w:footnote>
  <w:footnote w:id="150">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lang w:val="es-CR"/>
        </w:rPr>
        <w:t>Cfr. Caso Castillo Páez Vs. Perú</w:t>
      </w:r>
      <w:r w:rsidRPr="00EF190F">
        <w:rPr>
          <w:sz w:val="16"/>
          <w:szCs w:val="16"/>
          <w:lang w:val="es-CR"/>
        </w:rPr>
        <w:t>. Resolución de la Corte Interamericana de Derechos Humanos de 3 de abril de 2009. Supervisión de cumplimiento de Sentencia, considerandos 8 y 15.</w:t>
      </w:r>
    </w:p>
  </w:footnote>
  <w:footnote w:id="151">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rPr>
        <w:t xml:space="preserve"> </w:t>
      </w:r>
      <w:r w:rsidRPr="00EF190F">
        <w:rPr>
          <w:sz w:val="16"/>
          <w:szCs w:val="16"/>
          <w:lang w:val="es-CR"/>
        </w:rPr>
        <w:tab/>
      </w:r>
      <w:r w:rsidRPr="00EF190F">
        <w:rPr>
          <w:i/>
          <w:sz w:val="16"/>
          <w:szCs w:val="16"/>
          <w:lang w:val="es-CR"/>
        </w:rPr>
        <w:t xml:space="preserve">Cfr. </w:t>
      </w:r>
      <w:r w:rsidRPr="00EF190F">
        <w:rPr>
          <w:i/>
          <w:sz w:val="16"/>
          <w:szCs w:val="16"/>
        </w:rPr>
        <w:t>Caso Velásquez Rodríguez Vs. Honduras. Fondo</w:t>
      </w:r>
      <w:r w:rsidRPr="00EF190F">
        <w:rPr>
          <w:sz w:val="16"/>
          <w:szCs w:val="16"/>
        </w:rPr>
        <w:t>, párr. 134.</w:t>
      </w:r>
    </w:p>
  </w:footnote>
  <w:footnote w:id="152">
    <w:p w:rsidR="006A0E1C" w:rsidRPr="00EF190F" w:rsidRDefault="006A0E1C" w:rsidP="006A0E1C">
      <w:pPr>
        <w:tabs>
          <w:tab w:val="left" w:pos="360"/>
        </w:tabs>
        <w:spacing w:line="240" w:lineRule="auto"/>
        <w:ind w:right="-90"/>
        <w:rPr>
          <w:rFonts w:cs="Arial"/>
          <w:sz w:val="16"/>
          <w:szCs w:val="16"/>
          <w:lang w:val="es-ES"/>
        </w:rPr>
      </w:pPr>
      <w:r w:rsidRPr="00EF190F">
        <w:rPr>
          <w:rStyle w:val="FootnoteReference"/>
          <w:rFonts w:eastAsia="Times"/>
          <w:sz w:val="16"/>
          <w:szCs w:val="16"/>
        </w:rPr>
        <w:footnoteRef/>
      </w:r>
      <w:r w:rsidRPr="00EF190F">
        <w:rPr>
          <w:sz w:val="16"/>
          <w:szCs w:val="16"/>
          <w:lang w:val="es-ES"/>
        </w:rPr>
        <w:t xml:space="preserve"> </w:t>
      </w:r>
      <w:r w:rsidRPr="00EF190F">
        <w:rPr>
          <w:sz w:val="16"/>
          <w:szCs w:val="16"/>
          <w:lang w:val="es-ES"/>
        </w:rPr>
        <w:tab/>
      </w:r>
      <w:r w:rsidRPr="00EF190F">
        <w:rPr>
          <w:i/>
          <w:sz w:val="16"/>
          <w:szCs w:val="16"/>
          <w:lang w:val="es-ES"/>
        </w:rPr>
        <w:t>Cfr</w:t>
      </w:r>
      <w:r w:rsidRPr="00EF190F">
        <w:rPr>
          <w:sz w:val="16"/>
          <w:szCs w:val="16"/>
          <w:lang w:val="es-ES"/>
        </w:rPr>
        <w:t xml:space="preserve">. </w:t>
      </w:r>
      <w:r w:rsidRPr="00EF190F">
        <w:rPr>
          <w:i/>
          <w:sz w:val="16"/>
          <w:szCs w:val="16"/>
          <w:lang w:val="es-ES"/>
        </w:rPr>
        <w:t>Caso Velásquez Rodríguez</w:t>
      </w:r>
      <w:r w:rsidRPr="00EF190F">
        <w:rPr>
          <w:sz w:val="16"/>
          <w:szCs w:val="16"/>
          <w:lang w:val="es-ES"/>
        </w:rPr>
        <w:t xml:space="preserve"> </w:t>
      </w:r>
      <w:r w:rsidRPr="00EF190F">
        <w:rPr>
          <w:bCs/>
          <w:i/>
          <w:sz w:val="16"/>
          <w:szCs w:val="16"/>
        </w:rPr>
        <w:t xml:space="preserve">Vs. Honduras. </w:t>
      </w:r>
      <w:r w:rsidRPr="00EF190F">
        <w:rPr>
          <w:i/>
          <w:sz w:val="16"/>
          <w:szCs w:val="16"/>
        </w:rPr>
        <w:t xml:space="preserve">Fondo, </w:t>
      </w:r>
      <w:r w:rsidRPr="00EF190F">
        <w:rPr>
          <w:sz w:val="16"/>
          <w:szCs w:val="16"/>
          <w:lang w:val="es-ES"/>
        </w:rPr>
        <w:t xml:space="preserve">párrs. 172 y 173, y </w:t>
      </w:r>
      <w:r w:rsidRPr="00EF190F">
        <w:rPr>
          <w:bCs/>
          <w:i/>
          <w:sz w:val="16"/>
          <w:szCs w:val="16"/>
        </w:rPr>
        <w:t>Caso Gonzáles Medina y Familiares Vs. República Dominicana</w:t>
      </w:r>
      <w:r w:rsidRPr="00EF190F">
        <w:rPr>
          <w:sz w:val="16"/>
          <w:szCs w:val="16"/>
        </w:rPr>
        <w:t xml:space="preserve">, </w:t>
      </w:r>
      <w:r w:rsidRPr="00EF190F">
        <w:rPr>
          <w:rFonts w:cs="Arial"/>
          <w:sz w:val="16"/>
          <w:szCs w:val="16"/>
          <w:lang w:val="es-ES"/>
        </w:rPr>
        <w:t>párr. 133.</w:t>
      </w:r>
    </w:p>
  </w:footnote>
  <w:footnote w:id="153">
    <w:p w:rsidR="006A0E1C" w:rsidRPr="00EF190F" w:rsidRDefault="006A0E1C" w:rsidP="006A0E1C">
      <w:pPr>
        <w:pStyle w:val="FootnoteText"/>
        <w:tabs>
          <w:tab w:val="left" w:pos="360"/>
        </w:tabs>
        <w:ind w:right="-90"/>
        <w:rPr>
          <w:sz w:val="16"/>
          <w:szCs w:val="16"/>
          <w:lang w:val="es-CR"/>
        </w:rPr>
      </w:pPr>
      <w:r w:rsidRPr="00EF190F">
        <w:rPr>
          <w:rStyle w:val="FootnoteReference"/>
          <w:rFonts w:eastAsia="Times"/>
          <w:sz w:val="16"/>
          <w:szCs w:val="16"/>
          <w:lang w:val="es-CR"/>
        </w:rPr>
        <w:footnoteRef/>
      </w:r>
      <w:r w:rsidRPr="00EF190F">
        <w:rPr>
          <w:sz w:val="16"/>
          <w:szCs w:val="16"/>
          <w:lang w:val="es-CR"/>
        </w:rPr>
        <w:t xml:space="preserve"> </w:t>
      </w:r>
      <w:r w:rsidRPr="00EF190F">
        <w:rPr>
          <w:sz w:val="16"/>
          <w:szCs w:val="16"/>
          <w:lang w:val="es-CR"/>
        </w:rPr>
        <w:tab/>
      </w:r>
      <w:r w:rsidRPr="00EF190F">
        <w:rPr>
          <w:i/>
          <w:sz w:val="16"/>
          <w:szCs w:val="16"/>
          <w:lang w:val="es-CR"/>
        </w:rPr>
        <w:t>Cfr</w:t>
      </w:r>
      <w:r w:rsidRPr="00EF190F">
        <w:rPr>
          <w:sz w:val="16"/>
          <w:szCs w:val="16"/>
          <w:lang w:val="es-CR"/>
        </w:rPr>
        <w:t xml:space="preserve">. </w:t>
      </w:r>
      <w:r w:rsidRPr="00EF190F">
        <w:rPr>
          <w:i/>
          <w:sz w:val="16"/>
          <w:szCs w:val="16"/>
          <w:lang w:val="es-CR"/>
        </w:rPr>
        <w:t xml:space="preserve">Caso Velásquez Rodríguez Vs. Honduras. Fondo, </w:t>
      </w:r>
      <w:r w:rsidRPr="00EF190F">
        <w:rPr>
          <w:sz w:val="16"/>
          <w:szCs w:val="16"/>
          <w:lang w:val="es-CR"/>
        </w:rPr>
        <w:t xml:space="preserve">párr. 129, y </w:t>
      </w:r>
      <w:r w:rsidRPr="00EF190F">
        <w:rPr>
          <w:i/>
          <w:sz w:val="16"/>
          <w:szCs w:val="16"/>
          <w:lang w:val="es-CR"/>
        </w:rPr>
        <w:t>Caso González Medina</w:t>
      </w:r>
      <w:r w:rsidRPr="00EF190F">
        <w:rPr>
          <w:sz w:val="16"/>
          <w:szCs w:val="16"/>
        </w:rPr>
        <w:t xml:space="preserve"> </w:t>
      </w:r>
      <w:r w:rsidRPr="00EF190F">
        <w:rPr>
          <w:i/>
          <w:sz w:val="16"/>
          <w:szCs w:val="16"/>
          <w:lang w:val="es-CR"/>
        </w:rPr>
        <w:t>y Familiares Vs. República Dominicana</w:t>
      </w:r>
      <w:r w:rsidRPr="00EF190F">
        <w:rPr>
          <w:sz w:val="16"/>
          <w:szCs w:val="16"/>
          <w:lang w:val="es-CR"/>
        </w:rPr>
        <w:t>, párr. 132.</w:t>
      </w:r>
    </w:p>
  </w:footnote>
  <w:footnote w:id="154">
    <w:p w:rsidR="006A0E1C" w:rsidRPr="00EF190F" w:rsidRDefault="006A0E1C" w:rsidP="006A0E1C">
      <w:pPr>
        <w:pStyle w:val="FootnoteText"/>
        <w:tabs>
          <w:tab w:val="left" w:pos="360"/>
        </w:tabs>
        <w:ind w:right="-90"/>
        <w:rPr>
          <w:rFonts w:cs="Verdana"/>
          <w:sz w:val="16"/>
          <w:szCs w:val="16"/>
          <w:lang w:val="es-CR"/>
        </w:rPr>
      </w:pPr>
      <w:r w:rsidRPr="00EF190F">
        <w:rPr>
          <w:rStyle w:val="FootnoteReference"/>
          <w:rFonts w:eastAsia="Times"/>
          <w:sz w:val="16"/>
          <w:szCs w:val="16"/>
        </w:rPr>
        <w:footnoteRef/>
      </w:r>
      <w:r w:rsidRPr="00EF190F">
        <w:rPr>
          <w:sz w:val="16"/>
          <w:szCs w:val="16"/>
          <w:lang w:val="es-CR"/>
        </w:rPr>
        <w:t xml:space="preserve"> </w:t>
      </w:r>
      <w:r w:rsidRPr="00EF190F">
        <w:rPr>
          <w:sz w:val="16"/>
          <w:szCs w:val="16"/>
          <w:lang w:val="es-CR"/>
        </w:rPr>
        <w:tab/>
      </w:r>
      <w:r w:rsidRPr="00EF190F">
        <w:rPr>
          <w:i/>
          <w:iCs/>
          <w:sz w:val="16"/>
          <w:szCs w:val="16"/>
          <w:lang w:val="es-CR"/>
        </w:rPr>
        <w:t xml:space="preserve">Cfr. </w:t>
      </w:r>
      <w:r w:rsidRPr="00EF190F">
        <w:rPr>
          <w:i/>
          <w:sz w:val="16"/>
          <w:szCs w:val="16"/>
          <w:lang w:val="es-CR"/>
        </w:rPr>
        <w:t>Caso Velásquez Rodríguez Vs. Honduras. Fondo</w:t>
      </w:r>
      <w:r w:rsidRPr="00EF190F">
        <w:rPr>
          <w:rFonts w:cs="Verdana"/>
          <w:bCs/>
          <w:i/>
          <w:iCs/>
          <w:sz w:val="16"/>
          <w:szCs w:val="16"/>
        </w:rPr>
        <w:t xml:space="preserve">, </w:t>
      </w:r>
      <w:r w:rsidRPr="00EF190F">
        <w:rPr>
          <w:rFonts w:cs="Verdana"/>
          <w:bCs/>
          <w:iCs/>
          <w:sz w:val="16"/>
          <w:szCs w:val="16"/>
        </w:rPr>
        <w:t xml:space="preserve">párr. 131, y </w:t>
      </w:r>
      <w:r w:rsidRPr="00EF190F">
        <w:rPr>
          <w:rFonts w:cs="Verdana"/>
          <w:bCs/>
          <w:i/>
          <w:iCs/>
          <w:sz w:val="16"/>
          <w:szCs w:val="16"/>
        </w:rPr>
        <w:t>Caso Rodríguez Vera y Otros (Desaparecidos del Palacio de Justicia) Vs. Colombia</w:t>
      </w:r>
      <w:r w:rsidRPr="00EF190F">
        <w:rPr>
          <w:i/>
          <w:sz w:val="16"/>
          <w:szCs w:val="16"/>
          <w:lang w:val="es-CR"/>
        </w:rPr>
        <w:t xml:space="preserve">, </w:t>
      </w:r>
      <w:r w:rsidRPr="00EF190F">
        <w:rPr>
          <w:sz w:val="16"/>
          <w:szCs w:val="16"/>
          <w:lang w:val="es-CR"/>
        </w:rPr>
        <w:t>párr. 230.</w:t>
      </w:r>
    </w:p>
  </w:footnote>
  <w:footnote w:id="155">
    <w:p w:rsidR="006A0E1C" w:rsidRPr="00EF190F" w:rsidRDefault="006A0E1C" w:rsidP="006A0E1C">
      <w:pPr>
        <w:tabs>
          <w:tab w:val="left" w:pos="360"/>
        </w:tabs>
        <w:spacing w:line="240" w:lineRule="auto"/>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Las 81 personas son las siguientes: 1. Víctor Juárez Pangán; 2. </w:t>
      </w:r>
      <w:r w:rsidRPr="00EF190F">
        <w:rPr>
          <w:sz w:val="16"/>
          <w:szCs w:val="16"/>
          <w:lang w:val="pt-BR"/>
        </w:rPr>
        <w:t xml:space="preserve">Clemente Juárez Ixpancoc; 3. Cruz Sic Cuxum; 4. Pedro Sic Jerónimo; 5. Gregorio Valey; 6. Timoteo Sic Cujá; 7. Roberto Galiego Chen; 8. Antonio Alvarado González; 9. Alfonso Cruz Juárez; 10. </w:t>
      </w:r>
      <w:r w:rsidRPr="00E73A70">
        <w:rPr>
          <w:sz w:val="16"/>
          <w:szCs w:val="16"/>
          <w:lang w:val="es-PR"/>
        </w:rPr>
        <w:t xml:space="preserve">Domingo Cahuec Sic; 11. Santiago Alvarado Xitumul; 12. Agustín Juárez Ixpancoc; 13. </w:t>
      </w:r>
      <w:r w:rsidRPr="00EF190F">
        <w:rPr>
          <w:sz w:val="16"/>
          <w:szCs w:val="16"/>
        </w:rPr>
        <w:t xml:space="preserve">Teodoro González; 14. Eulogio Morales Alvarado; 15. Luciano González; 16. </w:t>
      </w:r>
      <w:r w:rsidRPr="00EF190F">
        <w:rPr>
          <w:sz w:val="16"/>
          <w:szCs w:val="16"/>
          <w:lang w:val="es-PR"/>
        </w:rPr>
        <w:t xml:space="preserve">Apolinario Juárez Pérez, 17. </w:t>
      </w:r>
      <w:r w:rsidRPr="00E73A70">
        <w:rPr>
          <w:sz w:val="16"/>
          <w:szCs w:val="16"/>
          <w:lang w:val="es-PR"/>
        </w:rPr>
        <w:t xml:space="preserve">Alberto Juárez Pérez; 18. </w:t>
      </w:r>
      <w:r w:rsidRPr="00EF190F">
        <w:rPr>
          <w:sz w:val="16"/>
          <w:szCs w:val="16"/>
          <w:lang w:val="pt-BR"/>
        </w:rPr>
        <w:t xml:space="preserve">Evaristo Siana; 19. Pedro Tum; 20. Egmidio Siana; 21. Pedro Galiego López; 22. Demetrio Chen Alvarado; 23. Pedro Galiego Mendoza; 24. Camilo Juárez Valey; 25. Julián Garniga; 26. Benito Juárez Ixpancoc; 27. Francisco Depaz; 28. Maximiliano Sis Valey; 29. Vicente Sic Osorio; 30. Patrocinio Galiego; 31. Félix Alvarado Xitumul; 32. José Demetrio Cahuec Jerónimo; 33. </w:t>
      </w:r>
      <w:r w:rsidRPr="00E73A70">
        <w:rPr>
          <w:sz w:val="16"/>
          <w:szCs w:val="16"/>
          <w:lang w:val="pt-BR"/>
        </w:rPr>
        <w:t xml:space="preserve">Andrea Osorio Galeano; 34. </w:t>
      </w:r>
      <w:r w:rsidRPr="00EF190F">
        <w:rPr>
          <w:sz w:val="16"/>
          <w:szCs w:val="16"/>
          <w:lang w:val="es-PR"/>
        </w:rPr>
        <w:t xml:space="preserve">Silvestre Sic Xitumul; 35. </w:t>
      </w:r>
      <w:r w:rsidRPr="00EF190F">
        <w:rPr>
          <w:sz w:val="16"/>
          <w:szCs w:val="16"/>
        </w:rPr>
        <w:t>R</w:t>
      </w:r>
      <w:r>
        <w:rPr>
          <w:sz w:val="16"/>
          <w:szCs w:val="16"/>
        </w:rPr>
        <w:t>aymunda Sical Corazón; 36. Adri</w:t>
      </w:r>
      <w:r>
        <w:rPr>
          <w:sz w:val="16"/>
          <w:szCs w:val="16"/>
          <w:lang w:val="es-GT"/>
        </w:rPr>
        <w:t>á</w:t>
      </w:r>
      <w:r w:rsidRPr="00EF190F">
        <w:rPr>
          <w:sz w:val="16"/>
          <w:szCs w:val="16"/>
        </w:rPr>
        <w:t xml:space="preserve">n García Manuel; 37. </w:t>
      </w:r>
      <w:r w:rsidRPr="00E73A70">
        <w:rPr>
          <w:sz w:val="16"/>
          <w:szCs w:val="16"/>
          <w:lang w:val="es-PR"/>
        </w:rPr>
        <w:t xml:space="preserve">Hugo García Depaz; 38. </w:t>
      </w:r>
      <w:r w:rsidRPr="00EF190F">
        <w:rPr>
          <w:sz w:val="16"/>
          <w:szCs w:val="16"/>
          <w:lang w:val="pt-BR"/>
        </w:rPr>
        <w:t xml:space="preserve">Agapito Alvarado Depaz; 39. Edmundo Alarcón Morente; 40. Manuel de Jesús Alarcón Morente; 41. </w:t>
      </w:r>
      <w:r w:rsidRPr="00EF190F">
        <w:rPr>
          <w:sz w:val="16"/>
          <w:szCs w:val="16"/>
        </w:rPr>
        <w:t xml:space="preserve">Juan Pérez Sic; 42. Gorgonio Gonzalez Gonzalez; 43. Gabino Román Ivoy; 44. Cruz Pérez Amperez; 45. Eustaquio Ixtecoc González; 46. Jorge Galeano Román; 47. Rafael Depaz Tecú; 48. Enrique Mendoza Sis; 49. Dionisio Bachán; 50. Elías Milián González, 51. Amelia Milián Morales; 52. Eusebia Grave García; 53. José León Grave García, 54. Mateo Grave; 55. Juan Alvarado Grave; 56. Pedro Depaz Ciprián; 57. Víctor Alvarado Valey; 58. Ceferino Alvarado Sucup; 59. Enriqueta Tecú Chiquito; 60. Rosa González Tecú; 61. Luciano Alvarado Xitumul; 62. Héctor Rolando Alvarado García; 63. Adela Florentina Alvarado García; 64. </w:t>
      </w:r>
      <w:r w:rsidRPr="00EF190F">
        <w:rPr>
          <w:sz w:val="16"/>
          <w:szCs w:val="16"/>
          <w:lang w:val="es-PR"/>
        </w:rPr>
        <w:t xml:space="preserve">Luciana Xitumul Ixpancoc; 65. María Concepción Xitumul Xitumul; 66. niña de nombre desconocido; 67. </w:t>
      </w:r>
      <w:r w:rsidRPr="00EF190F">
        <w:rPr>
          <w:sz w:val="16"/>
          <w:szCs w:val="16"/>
        </w:rPr>
        <w:t>Medardo Juárez García; 68. Efraín García Depaz; 69. Fidel Alvarado Sucup; 70. Domingo Reyes; 71. Andres Reyes; 72. Santiago Reyes; 73. Antonio Chen Mendoza; 74. Pedro Siana; 75. Lorenzo Depaz Ciprián; 76. Leonardo Cahuec; 77. Juan Mendoza Sucup; 78. José Cruz Mendoza; 79. María Concepción Chen; 80. Casimiro Siana, y 81. Marcelo Sic Chen.</w:t>
      </w:r>
    </w:p>
  </w:footnote>
  <w:footnote w:id="156">
    <w:p w:rsidR="006A0E1C" w:rsidRPr="00EF190F" w:rsidRDefault="006A0E1C" w:rsidP="006A0E1C">
      <w:pPr>
        <w:pStyle w:val="FootnoteText"/>
        <w:tabs>
          <w:tab w:val="left" w:pos="360"/>
          <w:tab w:val="left" w:pos="450"/>
        </w:tabs>
        <w:rPr>
          <w:sz w:val="16"/>
          <w:szCs w:val="16"/>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pacing w:val="-4"/>
          <w:sz w:val="16"/>
          <w:szCs w:val="16"/>
          <w:lang w:val="es-PR"/>
        </w:rPr>
        <w:tab/>
      </w:r>
      <w:r w:rsidRPr="00EF190F">
        <w:rPr>
          <w:i/>
          <w:spacing w:val="-4"/>
          <w:sz w:val="16"/>
          <w:szCs w:val="16"/>
          <w:lang w:val="es-PR"/>
        </w:rPr>
        <w:t>Cfr.</w:t>
      </w:r>
      <w:r w:rsidRPr="00EF190F">
        <w:rPr>
          <w:spacing w:val="-4"/>
          <w:sz w:val="16"/>
          <w:szCs w:val="16"/>
          <w:lang w:val="es-PR"/>
        </w:rPr>
        <w:t xml:space="preserve"> </w:t>
      </w:r>
      <w:r w:rsidRPr="00EF190F">
        <w:rPr>
          <w:i/>
          <w:sz w:val="16"/>
          <w:szCs w:val="16"/>
          <w:lang w:val="es-PR"/>
        </w:rPr>
        <w:t xml:space="preserve">Caso Anzualdo Castro Vs. Perú. Excepciones Preliminares, Fondo, Reparaciones y Costas. </w:t>
      </w:r>
      <w:r w:rsidRPr="00EF190F">
        <w:rPr>
          <w:sz w:val="16"/>
          <w:szCs w:val="16"/>
          <w:lang w:val="es-PR"/>
        </w:rPr>
        <w:t xml:space="preserve">Sentencia de 22 de septiembre de 2009. Serie C No. 202, párr. 91, y </w:t>
      </w:r>
      <w:r w:rsidRPr="00EF190F">
        <w:rPr>
          <w:i/>
          <w:spacing w:val="-4"/>
          <w:sz w:val="16"/>
          <w:szCs w:val="16"/>
          <w:lang w:val="es-PR"/>
        </w:rPr>
        <w:t>Caso Comunidad Campesina de Santa Bárbara Vs. Perú</w:t>
      </w:r>
      <w:r w:rsidRPr="00EF190F">
        <w:rPr>
          <w:spacing w:val="-4"/>
          <w:sz w:val="16"/>
          <w:szCs w:val="16"/>
          <w:lang w:val="es-PR"/>
        </w:rPr>
        <w:t>, párr. 163.</w:t>
      </w:r>
    </w:p>
  </w:footnote>
  <w:footnote w:id="157">
    <w:p w:rsidR="006A0E1C" w:rsidRPr="00EF190F" w:rsidRDefault="006A0E1C" w:rsidP="006A0E1C">
      <w:pPr>
        <w:pStyle w:val="FootnoteText"/>
        <w:tabs>
          <w:tab w:val="left" w:pos="360"/>
          <w:tab w:val="left" w:pos="450"/>
        </w:tabs>
        <w:rPr>
          <w:spacing w:val="-4"/>
          <w:sz w:val="16"/>
          <w:szCs w:val="16"/>
          <w:lang w:val="es-PR"/>
        </w:rPr>
      </w:pPr>
      <w:r w:rsidRPr="00EF190F">
        <w:rPr>
          <w:rStyle w:val="FootnoteReference"/>
          <w:rFonts w:eastAsia="Times"/>
          <w:sz w:val="16"/>
          <w:szCs w:val="16"/>
          <w:lang w:val="es-PR"/>
        </w:rPr>
        <w:footnoteRef/>
      </w:r>
      <w:r w:rsidRPr="00EF190F">
        <w:rPr>
          <w:spacing w:val="-4"/>
          <w:sz w:val="16"/>
          <w:szCs w:val="16"/>
          <w:lang w:val="es-PR"/>
        </w:rPr>
        <w:t xml:space="preserve"> </w:t>
      </w:r>
      <w:r w:rsidRPr="00EF190F">
        <w:rPr>
          <w:spacing w:val="-4"/>
          <w:sz w:val="16"/>
          <w:szCs w:val="16"/>
          <w:lang w:val="es-PR"/>
        </w:rPr>
        <w:tab/>
      </w:r>
      <w:r w:rsidRPr="00EF190F">
        <w:rPr>
          <w:i/>
          <w:spacing w:val="-4"/>
          <w:sz w:val="16"/>
          <w:szCs w:val="16"/>
          <w:lang w:val="es-PR"/>
        </w:rPr>
        <w:t>Cfr.</w:t>
      </w:r>
      <w:r w:rsidRPr="00EF190F">
        <w:rPr>
          <w:spacing w:val="-4"/>
          <w:sz w:val="16"/>
          <w:szCs w:val="16"/>
          <w:lang w:val="es-PR"/>
        </w:rPr>
        <w:t xml:space="preserve"> </w:t>
      </w:r>
      <w:r w:rsidRPr="00EF190F">
        <w:rPr>
          <w:i/>
          <w:spacing w:val="-4"/>
          <w:sz w:val="16"/>
          <w:szCs w:val="16"/>
          <w:lang w:val="es-PR"/>
        </w:rPr>
        <w:t>Caso Velásquez Rodríguez Vs. Honduras</w:t>
      </w:r>
      <w:r w:rsidRPr="00EF190F">
        <w:rPr>
          <w:spacing w:val="-4"/>
          <w:sz w:val="16"/>
          <w:szCs w:val="16"/>
          <w:lang w:val="es-PR"/>
        </w:rPr>
        <w:t>. Fondo,</w:t>
      </w:r>
      <w:r w:rsidRPr="00EF190F">
        <w:rPr>
          <w:i/>
          <w:spacing w:val="-4"/>
          <w:sz w:val="16"/>
          <w:szCs w:val="16"/>
          <w:lang w:val="es-PR"/>
        </w:rPr>
        <w:t xml:space="preserve"> </w:t>
      </w:r>
      <w:r w:rsidRPr="00EF190F">
        <w:rPr>
          <w:spacing w:val="-4"/>
          <w:sz w:val="16"/>
          <w:szCs w:val="16"/>
          <w:lang w:val="es-PR"/>
        </w:rPr>
        <w:t xml:space="preserve">párr. 157, y </w:t>
      </w:r>
      <w:r w:rsidRPr="00EF190F">
        <w:rPr>
          <w:rStyle w:val="Strong"/>
          <w:b w:val="0"/>
          <w:i/>
          <w:sz w:val="16"/>
          <w:szCs w:val="16"/>
          <w:shd w:val="clear" w:color="auto" w:fill="FFFFFF"/>
          <w:lang w:val="es-PR"/>
        </w:rPr>
        <w:t xml:space="preserve">Caso </w:t>
      </w:r>
      <w:r w:rsidRPr="00EF190F">
        <w:rPr>
          <w:i/>
          <w:sz w:val="16"/>
          <w:szCs w:val="16"/>
        </w:rPr>
        <w:t>Tenorio Roca y otros Vs. Perú</w:t>
      </w:r>
      <w:r w:rsidRPr="00EF190F">
        <w:rPr>
          <w:rStyle w:val="Strong"/>
          <w:b w:val="0"/>
          <w:sz w:val="16"/>
          <w:szCs w:val="16"/>
          <w:shd w:val="clear" w:color="auto" w:fill="FFFFFF"/>
          <w:lang w:val="es-PR"/>
        </w:rPr>
        <w:t xml:space="preserve">, párr. </w:t>
      </w:r>
      <w:r w:rsidRPr="00EF190F">
        <w:rPr>
          <w:rFonts w:cs="Verdana"/>
          <w:spacing w:val="-2"/>
          <w:sz w:val="16"/>
          <w:szCs w:val="16"/>
          <w:lang w:val="es-PR"/>
        </w:rPr>
        <w:t>159.</w:t>
      </w:r>
    </w:p>
  </w:footnote>
  <w:footnote w:id="158">
    <w:p w:rsidR="006A0E1C" w:rsidRPr="00EF190F" w:rsidRDefault="006A0E1C" w:rsidP="006A0E1C">
      <w:pPr>
        <w:pStyle w:val="FootnoteText"/>
        <w:tabs>
          <w:tab w:val="left" w:pos="360"/>
          <w:tab w:val="left" w:pos="450"/>
        </w:tabs>
        <w:rPr>
          <w:sz w:val="16"/>
          <w:szCs w:val="16"/>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z w:val="16"/>
          <w:szCs w:val="16"/>
          <w:lang w:val="es-PR"/>
        </w:rPr>
        <w:tab/>
        <w:t xml:space="preserve">En este sentido, </w:t>
      </w:r>
      <w:r w:rsidRPr="00EF190F">
        <w:rPr>
          <w:rStyle w:val="Strong"/>
          <w:b w:val="0"/>
          <w:i/>
          <w:sz w:val="16"/>
          <w:szCs w:val="16"/>
          <w:shd w:val="clear" w:color="auto" w:fill="FFFFFF"/>
          <w:lang w:val="es-PR"/>
        </w:rPr>
        <w:t xml:space="preserve">Caso Gudiel Álvarez y otros ("Diario Militar") Vs. Guatemala, </w:t>
      </w:r>
      <w:r w:rsidRPr="00EF190F">
        <w:rPr>
          <w:rFonts w:eastAsia="Batang" w:cs="Times"/>
          <w:sz w:val="16"/>
          <w:szCs w:val="16"/>
          <w:lang w:val="es-PR"/>
        </w:rPr>
        <w:t xml:space="preserve">párrs. 199, 206 y 214, y </w:t>
      </w:r>
      <w:r w:rsidRPr="00EF190F">
        <w:rPr>
          <w:rStyle w:val="Strong"/>
          <w:b w:val="0"/>
          <w:i/>
          <w:sz w:val="16"/>
          <w:szCs w:val="16"/>
          <w:shd w:val="clear" w:color="auto" w:fill="FFFFFF"/>
          <w:lang w:val="es-PR"/>
        </w:rPr>
        <w:t>Caso Masacres de Río Negro Vs. Guatemala</w:t>
      </w:r>
      <w:r w:rsidRPr="00EF190F">
        <w:rPr>
          <w:rStyle w:val="Strong"/>
          <w:b w:val="0"/>
          <w:sz w:val="16"/>
          <w:szCs w:val="16"/>
          <w:shd w:val="clear" w:color="auto" w:fill="FFFFFF"/>
          <w:lang w:val="es-PR"/>
        </w:rPr>
        <w:t xml:space="preserve">, </w:t>
      </w:r>
      <w:r w:rsidRPr="00EF190F">
        <w:rPr>
          <w:sz w:val="16"/>
          <w:szCs w:val="16"/>
          <w:lang w:val="es-PR"/>
        </w:rPr>
        <w:t>párrs. 123 y 125.</w:t>
      </w:r>
    </w:p>
  </w:footnote>
  <w:footnote w:id="159">
    <w:p w:rsidR="006A0E1C" w:rsidRPr="00EF190F" w:rsidRDefault="006A0E1C" w:rsidP="006A0E1C">
      <w:pPr>
        <w:pStyle w:val="FootnoteText"/>
        <w:tabs>
          <w:tab w:val="left" w:pos="360"/>
          <w:tab w:val="left" w:pos="450"/>
        </w:tabs>
        <w:rPr>
          <w:sz w:val="16"/>
          <w:szCs w:val="16"/>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z w:val="16"/>
          <w:szCs w:val="16"/>
          <w:lang w:val="es-PR"/>
        </w:rPr>
        <w:tab/>
      </w:r>
      <w:r w:rsidRPr="00EF190F">
        <w:rPr>
          <w:i/>
          <w:sz w:val="16"/>
          <w:szCs w:val="16"/>
          <w:lang w:val="es-PR"/>
        </w:rPr>
        <w:t xml:space="preserve">Cfr. </w:t>
      </w:r>
      <w:r w:rsidRPr="00EF190F">
        <w:rPr>
          <w:rStyle w:val="Strong"/>
          <w:b w:val="0"/>
          <w:i/>
          <w:sz w:val="16"/>
          <w:szCs w:val="16"/>
          <w:shd w:val="clear" w:color="auto" w:fill="FFFFFF"/>
        </w:rPr>
        <w:t>Caso Comunidad Campesina de Santa Bárbara Vs. Perú</w:t>
      </w:r>
      <w:r w:rsidRPr="00EF190F">
        <w:rPr>
          <w:rStyle w:val="Strong"/>
          <w:b w:val="0"/>
          <w:sz w:val="16"/>
          <w:szCs w:val="16"/>
          <w:shd w:val="clear" w:color="auto" w:fill="FFFFFF"/>
        </w:rPr>
        <w:t>, párr. 164</w:t>
      </w:r>
      <w:r w:rsidRPr="00EF190F">
        <w:rPr>
          <w:sz w:val="16"/>
          <w:szCs w:val="16"/>
          <w:lang w:val="es-PR"/>
        </w:rPr>
        <w:t>. Al respecto, el Grupo de Trabajo sobre las Desapariciones Forzadas e Involuntarias de Personas de Naciones Unidas ha señalado que “</w:t>
      </w:r>
      <w:r w:rsidRPr="00EF190F">
        <w:rPr>
          <w:rFonts w:cs="TimesNewRoman"/>
          <w:sz w:val="16"/>
          <w:szCs w:val="16"/>
          <w:lang w:val="es-PR"/>
        </w:rPr>
        <w:t>una detención seguida de una ejecución extrajudicial</w:t>
      </w:r>
      <w:r w:rsidRPr="00EF190F">
        <w:rPr>
          <w:sz w:val="16"/>
          <w:szCs w:val="16"/>
          <w:lang w:val="es-PR"/>
        </w:rPr>
        <w:t xml:space="preserve"> </w:t>
      </w:r>
      <w:r w:rsidRPr="00EF190F">
        <w:rPr>
          <w:rFonts w:cs="TimesNewRoman"/>
          <w:sz w:val="16"/>
          <w:szCs w:val="16"/>
          <w:lang w:val="es-PR"/>
        </w:rPr>
        <w:t>constituye una desaparición forzada en sentido propio, siempre que esa</w:t>
      </w:r>
      <w:r w:rsidRPr="00EF190F">
        <w:rPr>
          <w:sz w:val="16"/>
          <w:szCs w:val="16"/>
          <w:lang w:val="es-PR"/>
        </w:rPr>
        <w:t xml:space="preserve"> </w:t>
      </w:r>
      <w:r w:rsidRPr="00EF190F">
        <w:rPr>
          <w:rFonts w:cs="TimesNewRoman"/>
          <w:sz w:val="16"/>
          <w:szCs w:val="16"/>
          <w:lang w:val="es-PR"/>
        </w:rPr>
        <w:t>detención o privación de libertad la hayan realizado agentes</w:t>
      </w:r>
      <w:r w:rsidRPr="00EF190F">
        <w:rPr>
          <w:sz w:val="16"/>
          <w:szCs w:val="16"/>
          <w:lang w:val="es-PR"/>
        </w:rPr>
        <w:t xml:space="preserve"> </w:t>
      </w:r>
      <w:r w:rsidRPr="00EF190F">
        <w:rPr>
          <w:rFonts w:cs="TimesNewRoman"/>
          <w:sz w:val="16"/>
          <w:szCs w:val="16"/>
          <w:lang w:val="es-PR"/>
        </w:rPr>
        <w:t>gubernamentales, de cualquier sector o nivel, o grupos organizados o</w:t>
      </w:r>
      <w:r w:rsidRPr="00EF190F">
        <w:rPr>
          <w:sz w:val="16"/>
          <w:szCs w:val="16"/>
          <w:lang w:val="es-PR"/>
        </w:rPr>
        <w:t xml:space="preserve"> </w:t>
      </w:r>
      <w:r w:rsidRPr="00EF190F">
        <w:rPr>
          <w:rFonts w:cs="TimesNewRoman"/>
          <w:sz w:val="16"/>
          <w:szCs w:val="16"/>
          <w:lang w:val="es-PR"/>
        </w:rPr>
        <w:t>particulares que actúen en nombre o con el apoyo directo o indirecto del</w:t>
      </w:r>
      <w:r w:rsidRPr="00EF190F">
        <w:rPr>
          <w:sz w:val="16"/>
          <w:szCs w:val="16"/>
          <w:lang w:val="es-PR"/>
        </w:rPr>
        <w:t xml:space="preserve"> </w:t>
      </w:r>
      <w:r w:rsidRPr="00EF190F">
        <w:rPr>
          <w:rFonts w:cs="TimesNewRoman"/>
          <w:sz w:val="16"/>
          <w:szCs w:val="16"/>
          <w:lang w:val="es-PR"/>
        </w:rPr>
        <w:t>Gobierno o con su consentimiento o aquiescencia y que, con posterioridad a</w:t>
      </w:r>
      <w:r w:rsidRPr="00EF190F">
        <w:rPr>
          <w:sz w:val="16"/>
          <w:szCs w:val="16"/>
          <w:lang w:val="es-PR"/>
        </w:rPr>
        <w:t xml:space="preserve"> </w:t>
      </w:r>
      <w:r w:rsidRPr="00EF190F">
        <w:rPr>
          <w:rFonts w:cs="TimesNewRoman"/>
          <w:sz w:val="16"/>
          <w:szCs w:val="16"/>
          <w:lang w:val="es-PR"/>
        </w:rPr>
        <w:t>la detención, o incluso después de haberse llevado a cabo la ejecución, se</w:t>
      </w:r>
      <w:r w:rsidRPr="00EF190F">
        <w:rPr>
          <w:sz w:val="16"/>
          <w:szCs w:val="16"/>
          <w:lang w:val="es-PR"/>
        </w:rPr>
        <w:t xml:space="preserve"> </w:t>
      </w:r>
      <w:r w:rsidRPr="00EF190F">
        <w:rPr>
          <w:rFonts w:cs="TimesNewRoman"/>
          <w:sz w:val="16"/>
          <w:szCs w:val="16"/>
          <w:lang w:val="es-PR"/>
        </w:rPr>
        <w:t>nieguen a revelar la suerte o el paradero de esas personas o a reconocer que el</w:t>
      </w:r>
      <w:r w:rsidRPr="00EF190F">
        <w:rPr>
          <w:sz w:val="16"/>
          <w:szCs w:val="16"/>
          <w:lang w:val="es-PR"/>
        </w:rPr>
        <w:t xml:space="preserve"> </w:t>
      </w:r>
      <w:r w:rsidRPr="00EF190F">
        <w:rPr>
          <w:rFonts w:cs="TimesNewRoman"/>
          <w:sz w:val="16"/>
          <w:szCs w:val="16"/>
          <w:lang w:val="es-PR"/>
        </w:rPr>
        <w:t>acto se haya cometido en absoluto”.</w:t>
      </w:r>
      <w:r w:rsidRPr="00EF190F">
        <w:rPr>
          <w:sz w:val="16"/>
          <w:szCs w:val="16"/>
          <w:lang w:val="es-PR"/>
        </w:rPr>
        <w:t xml:space="preserve"> Desapariciones forzadas o involuntarias, Folleto Informativo No. 6/REV.3, </w:t>
      </w:r>
      <w:r w:rsidRPr="00EF190F">
        <w:rPr>
          <w:rFonts w:cs="TimesNewRoman,Bold"/>
          <w:bCs/>
          <w:sz w:val="16"/>
          <w:szCs w:val="16"/>
          <w:lang w:val="es-PR"/>
        </w:rPr>
        <w:t xml:space="preserve">Oficina del Alto Comisionado de las Naciones Unidas para los Derechos Humanos, 2009, pág. 14, y </w:t>
      </w:r>
      <w:r w:rsidRPr="00EF190F">
        <w:rPr>
          <w:sz w:val="16"/>
          <w:szCs w:val="16"/>
          <w:lang w:val="es-PR"/>
        </w:rPr>
        <w:t xml:space="preserve">Grupo de Trabajo sobre las Desapariciones Forzadas o Involuntarias, </w:t>
      </w:r>
      <w:r w:rsidRPr="00EF190F">
        <w:rPr>
          <w:rFonts w:cs="Arial"/>
          <w:sz w:val="16"/>
          <w:szCs w:val="16"/>
          <w:lang w:val="es-PR"/>
        </w:rPr>
        <w:t xml:space="preserve">Informe del </w:t>
      </w:r>
      <w:r w:rsidRPr="00EF190F">
        <w:rPr>
          <w:sz w:val="16"/>
          <w:szCs w:val="16"/>
          <w:lang w:val="es-PR"/>
        </w:rPr>
        <w:t>Grupo de Trabajo sobre las Desapariciones Forzadas o Involuntarias</w:t>
      </w:r>
      <w:r w:rsidRPr="00EF190F">
        <w:rPr>
          <w:rFonts w:cs="Arial"/>
          <w:sz w:val="16"/>
          <w:szCs w:val="16"/>
          <w:lang w:val="es-PR"/>
        </w:rPr>
        <w:t>,</w:t>
      </w:r>
      <w:r w:rsidRPr="00EF190F">
        <w:rPr>
          <w:rFonts w:cs="Arial"/>
          <w:i/>
          <w:sz w:val="16"/>
          <w:szCs w:val="16"/>
          <w:lang w:val="es-PR"/>
        </w:rPr>
        <w:t xml:space="preserve"> Comentario general sobre la definición de desapariciones forzadas, </w:t>
      </w:r>
      <w:r w:rsidRPr="00EF190F">
        <w:rPr>
          <w:rFonts w:cs="Arial"/>
          <w:sz w:val="16"/>
          <w:szCs w:val="16"/>
          <w:lang w:val="es-PR"/>
        </w:rPr>
        <w:t xml:space="preserve">A/HRC/7/2, 10 de enero de 2008, pág. 14, párr. 10. Lo anterior, </w:t>
      </w:r>
      <w:r w:rsidRPr="00EF190F">
        <w:rPr>
          <w:snapToGrid w:val="0"/>
          <w:sz w:val="16"/>
          <w:szCs w:val="16"/>
          <w:lang w:val="es-PR"/>
        </w:rPr>
        <w:t>“aunque sea de corta duración” la detención.</w:t>
      </w:r>
      <w:r w:rsidRPr="00EF190F">
        <w:rPr>
          <w:rFonts w:cs="Arial"/>
          <w:sz w:val="16"/>
          <w:szCs w:val="16"/>
          <w:lang w:val="es-PR"/>
        </w:rPr>
        <w:t xml:space="preserve"> </w:t>
      </w:r>
      <w:r w:rsidRPr="00EF190F">
        <w:rPr>
          <w:sz w:val="16"/>
          <w:szCs w:val="16"/>
          <w:lang w:val="es-PR"/>
        </w:rPr>
        <w:t xml:space="preserve">Grupo de Trabajo sobre las Desapariciones Forzadas o Involuntarias, </w:t>
      </w:r>
      <w:r w:rsidRPr="00EF190F">
        <w:rPr>
          <w:rFonts w:cs="Arial"/>
          <w:sz w:val="16"/>
          <w:szCs w:val="16"/>
          <w:lang w:val="es-PR"/>
        </w:rPr>
        <w:t xml:space="preserve">Informe del </w:t>
      </w:r>
      <w:r w:rsidRPr="00EF190F">
        <w:rPr>
          <w:sz w:val="16"/>
          <w:szCs w:val="16"/>
          <w:lang w:val="es-PR"/>
        </w:rPr>
        <w:t>Grupo de Trabajo sobre las Desapariciones Forzadas o Involuntarias</w:t>
      </w:r>
      <w:r w:rsidRPr="00EF190F">
        <w:rPr>
          <w:rFonts w:cs="Arial"/>
          <w:sz w:val="16"/>
          <w:szCs w:val="16"/>
          <w:lang w:val="es-PR"/>
        </w:rPr>
        <w:t>,</w:t>
      </w:r>
      <w:r w:rsidRPr="00EF190F">
        <w:rPr>
          <w:rFonts w:cs="Arial"/>
          <w:i/>
          <w:sz w:val="16"/>
          <w:szCs w:val="16"/>
          <w:lang w:val="es-PR"/>
        </w:rPr>
        <w:t xml:space="preserve"> </w:t>
      </w:r>
      <w:r w:rsidRPr="00EF190F">
        <w:rPr>
          <w:rFonts w:cs="Arial"/>
          <w:sz w:val="16"/>
          <w:szCs w:val="16"/>
          <w:lang w:val="es-PR"/>
        </w:rPr>
        <w:t>A/HRC/7/2, 10 de enero de 2008, pág. 95, párr. 427.</w:t>
      </w:r>
    </w:p>
  </w:footnote>
  <w:footnote w:id="160">
    <w:p w:rsidR="006A0E1C" w:rsidRPr="00EF190F" w:rsidRDefault="006A0E1C" w:rsidP="006A0E1C">
      <w:pPr>
        <w:pStyle w:val="FootnoteText"/>
        <w:tabs>
          <w:tab w:val="left" w:pos="360"/>
          <w:tab w:val="left" w:pos="450"/>
        </w:tabs>
        <w:rPr>
          <w:b/>
          <w:bCs/>
          <w:sz w:val="16"/>
          <w:szCs w:val="16"/>
          <w:shd w:val="clear" w:color="auto" w:fill="FFFFFF"/>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z w:val="16"/>
          <w:szCs w:val="16"/>
          <w:lang w:val="es-PR"/>
        </w:rPr>
        <w:tab/>
      </w:r>
      <w:r w:rsidRPr="00EF190F">
        <w:rPr>
          <w:rFonts w:eastAsia="Batang"/>
          <w:i/>
          <w:sz w:val="16"/>
          <w:szCs w:val="16"/>
          <w:lang w:val="es-PR"/>
        </w:rPr>
        <w:t>Cfr.</w:t>
      </w:r>
      <w:r w:rsidRPr="00EF190F">
        <w:rPr>
          <w:rFonts w:eastAsia="Batang"/>
          <w:sz w:val="16"/>
          <w:szCs w:val="16"/>
          <w:lang w:val="es-PR"/>
        </w:rPr>
        <w:t xml:space="preserve"> </w:t>
      </w:r>
      <w:r w:rsidRPr="00EF190F">
        <w:rPr>
          <w:rStyle w:val="Strong"/>
          <w:b w:val="0"/>
          <w:i/>
          <w:sz w:val="16"/>
          <w:szCs w:val="16"/>
          <w:shd w:val="clear" w:color="auto" w:fill="FFFFFF"/>
          <w:lang w:val="es-PR"/>
        </w:rPr>
        <w:t xml:space="preserve">Caso Ibsen Cárdenas e Ibsen Peña Vs. Bolivia. Fondo, Reparaciones y Costas. </w:t>
      </w:r>
      <w:r w:rsidRPr="00EF190F">
        <w:rPr>
          <w:rStyle w:val="Strong"/>
          <w:b w:val="0"/>
          <w:sz w:val="16"/>
          <w:szCs w:val="16"/>
          <w:shd w:val="clear" w:color="auto" w:fill="FFFFFF"/>
          <w:lang w:val="es-PR"/>
        </w:rPr>
        <w:t>Sentencia de 1 de septiembre de 2010. Serie C No. 217,</w:t>
      </w:r>
      <w:r w:rsidRPr="00EF190F">
        <w:rPr>
          <w:rFonts w:eastAsia="Batang"/>
          <w:sz w:val="16"/>
          <w:szCs w:val="16"/>
          <w:lang w:val="es-PR"/>
        </w:rPr>
        <w:t xml:space="preserve"> párr. 82</w:t>
      </w:r>
      <w:r w:rsidRPr="00EF190F">
        <w:rPr>
          <w:rStyle w:val="Strong"/>
          <w:sz w:val="16"/>
          <w:szCs w:val="16"/>
          <w:shd w:val="clear" w:color="auto" w:fill="FFFFFF"/>
          <w:lang w:val="es-PR"/>
        </w:rPr>
        <w:t xml:space="preserve">, </w:t>
      </w:r>
      <w:r w:rsidRPr="00EF190F">
        <w:rPr>
          <w:rStyle w:val="Strong"/>
          <w:b w:val="0"/>
          <w:sz w:val="16"/>
          <w:szCs w:val="16"/>
          <w:shd w:val="clear" w:color="auto" w:fill="FFFFFF"/>
          <w:lang w:val="es-PR"/>
        </w:rPr>
        <w:t xml:space="preserve">y </w:t>
      </w:r>
      <w:r w:rsidRPr="00EF190F">
        <w:rPr>
          <w:rStyle w:val="Strong"/>
          <w:b w:val="0"/>
          <w:i/>
          <w:sz w:val="16"/>
          <w:szCs w:val="16"/>
          <w:shd w:val="clear" w:color="auto" w:fill="FFFFFF"/>
          <w:lang w:val="es-PR"/>
        </w:rPr>
        <w:t xml:space="preserve">Caso </w:t>
      </w:r>
      <w:r w:rsidRPr="00EF190F">
        <w:rPr>
          <w:i/>
          <w:spacing w:val="-4"/>
          <w:sz w:val="16"/>
          <w:szCs w:val="16"/>
          <w:lang w:val="es-PR"/>
        </w:rPr>
        <w:t>Comunidad Campesina de Santa Bárbara Vs. Perú</w:t>
      </w:r>
      <w:r w:rsidRPr="00EF190F">
        <w:rPr>
          <w:rStyle w:val="Strong"/>
          <w:b w:val="0"/>
          <w:i/>
          <w:sz w:val="16"/>
          <w:szCs w:val="16"/>
          <w:shd w:val="clear" w:color="auto" w:fill="FFFFFF"/>
          <w:lang w:val="es-PR"/>
        </w:rPr>
        <w:t xml:space="preserve">, </w:t>
      </w:r>
      <w:r w:rsidRPr="00EF190F">
        <w:rPr>
          <w:rStyle w:val="Strong"/>
          <w:b w:val="0"/>
          <w:sz w:val="16"/>
          <w:szCs w:val="16"/>
          <w:shd w:val="clear" w:color="auto" w:fill="FFFFFF"/>
          <w:lang w:val="es-PR"/>
        </w:rPr>
        <w:t xml:space="preserve">párr. 165. </w:t>
      </w:r>
    </w:p>
  </w:footnote>
  <w:footnote w:id="161">
    <w:p w:rsidR="006A0E1C" w:rsidRPr="00EF190F" w:rsidRDefault="006A0E1C" w:rsidP="006A0E1C">
      <w:pPr>
        <w:pStyle w:val="FootnoteText"/>
        <w:tabs>
          <w:tab w:val="left" w:pos="360"/>
          <w:tab w:val="left" w:pos="450"/>
        </w:tabs>
        <w:rPr>
          <w:b/>
          <w:sz w:val="16"/>
          <w:szCs w:val="16"/>
          <w:shd w:val="clear" w:color="auto" w:fill="FFFFFF"/>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z w:val="16"/>
          <w:szCs w:val="16"/>
          <w:lang w:val="es-PR"/>
        </w:rPr>
        <w:tab/>
      </w:r>
      <w:r w:rsidRPr="00EF190F">
        <w:rPr>
          <w:rFonts w:eastAsia="Batang"/>
          <w:i/>
          <w:sz w:val="16"/>
          <w:szCs w:val="16"/>
          <w:lang w:val="es-PR"/>
        </w:rPr>
        <w:t>Cfr.</w:t>
      </w:r>
      <w:r w:rsidRPr="00EF190F">
        <w:rPr>
          <w:rFonts w:eastAsia="Batang"/>
          <w:sz w:val="16"/>
          <w:szCs w:val="16"/>
          <w:lang w:val="es-PR"/>
        </w:rPr>
        <w:t xml:space="preserve"> </w:t>
      </w:r>
      <w:r w:rsidRPr="00EF190F">
        <w:rPr>
          <w:rStyle w:val="Strong"/>
          <w:b w:val="0"/>
          <w:i/>
          <w:sz w:val="16"/>
          <w:szCs w:val="16"/>
          <w:shd w:val="clear" w:color="auto" w:fill="FFFFFF"/>
          <w:lang w:val="es-PR"/>
        </w:rPr>
        <w:t>Caso La Cantuta Vs. Perú. Fondo, Reparaciones y Costas.</w:t>
      </w:r>
      <w:r w:rsidRPr="00EF190F">
        <w:rPr>
          <w:rStyle w:val="Strong"/>
          <w:b w:val="0"/>
          <w:sz w:val="16"/>
          <w:szCs w:val="16"/>
          <w:shd w:val="clear" w:color="auto" w:fill="FFFFFF"/>
          <w:lang w:val="es-PR"/>
        </w:rPr>
        <w:t xml:space="preserve"> Sentencia de 29 de noviembre de 20056. Serie C No. 162,</w:t>
      </w:r>
      <w:r w:rsidRPr="00EF190F">
        <w:rPr>
          <w:rStyle w:val="Strong"/>
          <w:b w:val="0"/>
          <w:i/>
          <w:sz w:val="16"/>
          <w:szCs w:val="16"/>
          <w:shd w:val="clear" w:color="auto" w:fill="FFFFFF"/>
          <w:lang w:val="es-PR"/>
        </w:rPr>
        <w:t xml:space="preserve"> </w:t>
      </w:r>
      <w:r w:rsidRPr="00EF190F">
        <w:rPr>
          <w:rStyle w:val="Strong"/>
          <w:b w:val="0"/>
          <w:sz w:val="16"/>
          <w:szCs w:val="16"/>
          <w:shd w:val="clear" w:color="auto" w:fill="FFFFFF"/>
          <w:lang w:val="es-PR"/>
        </w:rPr>
        <w:t xml:space="preserve">párr. 114, y </w:t>
      </w:r>
      <w:r w:rsidRPr="00EF190F">
        <w:rPr>
          <w:rStyle w:val="Strong"/>
          <w:b w:val="0"/>
          <w:i/>
          <w:sz w:val="16"/>
          <w:szCs w:val="16"/>
          <w:shd w:val="clear" w:color="auto" w:fill="FFFFFF"/>
          <w:lang w:val="es-PR"/>
        </w:rPr>
        <w:t xml:space="preserve">Caso </w:t>
      </w:r>
      <w:r w:rsidRPr="00EF190F">
        <w:rPr>
          <w:i/>
          <w:spacing w:val="-4"/>
          <w:sz w:val="16"/>
          <w:szCs w:val="16"/>
          <w:lang w:val="es-PR"/>
        </w:rPr>
        <w:t>Comunidad Campesina de Santa Bárbara Vs. Perú</w:t>
      </w:r>
      <w:r w:rsidRPr="00EF190F">
        <w:rPr>
          <w:rStyle w:val="Strong"/>
          <w:b w:val="0"/>
          <w:i/>
          <w:sz w:val="16"/>
          <w:szCs w:val="16"/>
          <w:shd w:val="clear" w:color="auto" w:fill="FFFFFF"/>
          <w:lang w:val="es-PR"/>
        </w:rPr>
        <w:t xml:space="preserve">, </w:t>
      </w:r>
      <w:r w:rsidRPr="00EF190F">
        <w:rPr>
          <w:rStyle w:val="Strong"/>
          <w:b w:val="0"/>
          <w:sz w:val="16"/>
          <w:szCs w:val="16"/>
          <w:shd w:val="clear" w:color="auto" w:fill="FFFFFF"/>
          <w:lang w:val="es-PR"/>
        </w:rPr>
        <w:t>párr. 165.</w:t>
      </w:r>
    </w:p>
  </w:footnote>
  <w:footnote w:id="162">
    <w:p w:rsidR="006A0E1C" w:rsidRPr="00EF190F" w:rsidRDefault="006A0E1C" w:rsidP="006A0E1C">
      <w:pPr>
        <w:pStyle w:val="FootnoteText"/>
        <w:tabs>
          <w:tab w:val="left" w:pos="360"/>
          <w:tab w:val="left" w:pos="720"/>
        </w:tabs>
        <w:rPr>
          <w:i/>
          <w:sz w:val="16"/>
          <w:szCs w:val="16"/>
          <w:lang w:val="es-PR"/>
        </w:rPr>
      </w:pPr>
      <w:r w:rsidRPr="00EF190F">
        <w:rPr>
          <w:rStyle w:val="FootnoteReference"/>
          <w:sz w:val="16"/>
          <w:szCs w:val="16"/>
          <w:lang w:val="es-PR"/>
        </w:rPr>
        <w:footnoteRef/>
      </w:r>
      <w:r w:rsidRPr="00EF190F">
        <w:rPr>
          <w:sz w:val="16"/>
          <w:szCs w:val="16"/>
          <w:lang w:val="es-PR"/>
        </w:rPr>
        <w:t xml:space="preserve">   Al respecto, ver </w:t>
      </w:r>
      <w:r w:rsidRPr="00EF190F">
        <w:rPr>
          <w:i/>
          <w:sz w:val="16"/>
          <w:szCs w:val="16"/>
          <w:lang w:val="es-PR"/>
        </w:rPr>
        <w:t xml:space="preserve">Caso Gómez Palomino Vs. Perú. </w:t>
      </w:r>
      <w:r w:rsidRPr="00EF190F">
        <w:rPr>
          <w:sz w:val="16"/>
          <w:szCs w:val="16"/>
          <w:lang w:val="es-PR"/>
        </w:rPr>
        <w:t>Supervisión de Cumplimiento de Sentencia.</w:t>
      </w:r>
      <w:r w:rsidRPr="00EF190F">
        <w:rPr>
          <w:i/>
          <w:sz w:val="16"/>
          <w:szCs w:val="16"/>
          <w:lang w:val="es-PR"/>
        </w:rPr>
        <w:t xml:space="preserve"> </w:t>
      </w:r>
      <w:r w:rsidRPr="00EF190F">
        <w:rPr>
          <w:sz w:val="16"/>
          <w:szCs w:val="16"/>
          <w:lang w:val="es-PR"/>
        </w:rPr>
        <w:t>Resolución de la Corte Interamericana de Derechos Humanos de 5 de julio de 2011, Considerando 15</w:t>
      </w:r>
      <w:r w:rsidRPr="00EF190F">
        <w:rPr>
          <w:sz w:val="16"/>
          <w:szCs w:val="16"/>
          <w:lang w:val="es-PR" w:bidi="en-US"/>
        </w:rPr>
        <w:t xml:space="preserve">. </w:t>
      </w:r>
    </w:p>
  </w:footnote>
  <w:footnote w:id="163">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rPr>
        <w:t xml:space="preserve"> </w:t>
      </w:r>
      <w:r w:rsidRPr="00EF190F">
        <w:rPr>
          <w:sz w:val="16"/>
          <w:szCs w:val="16"/>
          <w:lang w:val="es-CR"/>
        </w:rPr>
        <w:t xml:space="preserve">  </w:t>
      </w:r>
      <w:r w:rsidRPr="00EF190F">
        <w:rPr>
          <w:rStyle w:val="Strong"/>
          <w:b w:val="0"/>
          <w:i/>
          <w:sz w:val="16"/>
          <w:szCs w:val="16"/>
          <w:shd w:val="clear" w:color="auto" w:fill="FFFFFF"/>
        </w:rPr>
        <w:t>Cfr. Caso Comunidad Campesina de Santa Bárbara Vs. Perú</w:t>
      </w:r>
      <w:r w:rsidRPr="00EF190F">
        <w:rPr>
          <w:rStyle w:val="Strong"/>
          <w:b w:val="0"/>
          <w:sz w:val="16"/>
          <w:szCs w:val="16"/>
          <w:shd w:val="clear" w:color="auto" w:fill="FFFFFF"/>
        </w:rPr>
        <w:t>, párrs. 186 y 289.</w:t>
      </w:r>
    </w:p>
  </w:footnote>
  <w:footnote w:id="164">
    <w:p w:rsidR="006A0E1C" w:rsidRPr="00EF190F" w:rsidRDefault="006A0E1C" w:rsidP="006A0E1C">
      <w:pPr>
        <w:pStyle w:val="FootnoteText"/>
        <w:tabs>
          <w:tab w:val="left" w:pos="360"/>
        </w:tabs>
        <w:rPr>
          <w:spacing w:val="-4"/>
          <w:sz w:val="16"/>
          <w:szCs w:val="16"/>
          <w:lang w:val="es-PR"/>
        </w:rPr>
      </w:pPr>
      <w:r w:rsidRPr="00EF190F">
        <w:rPr>
          <w:rStyle w:val="FootnoteReference"/>
          <w:sz w:val="16"/>
          <w:szCs w:val="16"/>
        </w:rPr>
        <w:footnoteRef/>
      </w:r>
      <w:r w:rsidRPr="00EF190F">
        <w:rPr>
          <w:sz w:val="16"/>
          <w:szCs w:val="16"/>
        </w:rPr>
        <w:t xml:space="preserve"> </w:t>
      </w:r>
      <w:r w:rsidRPr="00EF190F">
        <w:rPr>
          <w:sz w:val="16"/>
          <w:szCs w:val="16"/>
        </w:rPr>
        <w:tab/>
        <w:t>Las personas mencionadas son: 1.</w:t>
      </w:r>
      <w:r w:rsidRPr="00EF190F">
        <w:rPr>
          <w:sz w:val="16"/>
          <w:szCs w:val="16"/>
          <w:lang w:val="es-PR"/>
        </w:rPr>
        <w:t xml:space="preserve"> </w:t>
      </w:r>
      <w:r w:rsidRPr="00E73A70">
        <w:rPr>
          <w:sz w:val="16"/>
          <w:szCs w:val="16"/>
          <w:lang w:val="pt-BR"/>
        </w:rPr>
        <w:t xml:space="preserve">Víctor Alvarado Valey; 2. </w:t>
      </w:r>
      <w:r w:rsidRPr="00EF190F">
        <w:rPr>
          <w:sz w:val="16"/>
          <w:szCs w:val="16"/>
          <w:lang w:val="pt-BR"/>
        </w:rPr>
        <w:t xml:space="preserve">Ceferino Alvarado Sucup; 3. </w:t>
      </w:r>
      <w:r w:rsidRPr="00E73A70">
        <w:rPr>
          <w:sz w:val="16"/>
          <w:szCs w:val="16"/>
          <w:lang w:val="es-PR"/>
        </w:rPr>
        <w:t xml:space="preserve">Fidel Alvarado Sucup; 4. </w:t>
      </w:r>
      <w:r w:rsidRPr="00EF190F">
        <w:rPr>
          <w:sz w:val="16"/>
          <w:szCs w:val="16"/>
          <w:lang w:val="es-PR"/>
        </w:rPr>
        <w:t xml:space="preserve">Santiago Reyes </w:t>
      </w:r>
      <w:r w:rsidRPr="00EF190F">
        <w:rPr>
          <w:sz w:val="16"/>
          <w:szCs w:val="16"/>
          <w:lang w:val="es-CR"/>
        </w:rPr>
        <w:t>Román</w:t>
      </w:r>
      <w:r w:rsidRPr="00EF190F">
        <w:rPr>
          <w:sz w:val="16"/>
          <w:szCs w:val="16"/>
          <w:lang w:val="es-PR"/>
        </w:rPr>
        <w:t xml:space="preserve">; 5. Andrés Reyes </w:t>
      </w:r>
      <w:r w:rsidRPr="00EF190F">
        <w:rPr>
          <w:sz w:val="16"/>
          <w:szCs w:val="16"/>
          <w:lang w:val="es-CR"/>
        </w:rPr>
        <w:t>Román</w:t>
      </w:r>
      <w:r w:rsidRPr="00EF190F">
        <w:rPr>
          <w:sz w:val="16"/>
          <w:szCs w:val="16"/>
          <w:lang w:val="es-PR"/>
        </w:rPr>
        <w:t xml:space="preserve">; 6. Domingo Reyes Juárez; 7. Andrea Osorio Galeano; 8. Eusebia Grave Garcia; 9. José León Grave García; 10. Medardo Juárez Garcia; 11. Silvestre Sic Xutumul; 12. </w:t>
      </w:r>
      <w:r w:rsidRPr="00EF190F">
        <w:rPr>
          <w:sz w:val="16"/>
          <w:szCs w:val="16"/>
          <w:lang w:val="es-CR"/>
        </w:rPr>
        <w:t>Raymunda Corazón o Raymunda Sical Corazón</w:t>
      </w:r>
      <w:r w:rsidRPr="00EF190F">
        <w:rPr>
          <w:sz w:val="16"/>
          <w:szCs w:val="16"/>
          <w:lang w:val="es-PR"/>
        </w:rPr>
        <w:t>; 13. Rosa González Tecu; 14. María Concepción Xitumul; 15. Héctor Rolando Alvarado García; 16. Adela Florentina Alvarado Garcia; 17. Enriqueta Tecu; 18. Luciana o Lucía Xitumul Ixpancoc; 19. Luciano Alvarado Xitumul; 20. Niña de Nombre desconocido 0-3 meses, y 21. Efraín García de Paz.</w:t>
      </w:r>
    </w:p>
  </w:footnote>
  <w:footnote w:id="165">
    <w:p w:rsidR="006A0E1C" w:rsidRPr="00E73A70" w:rsidRDefault="006A0E1C" w:rsidP="006A0E1C">
      <w:pPr>
        <w:pStyle w:val="Prrafodelista2"/>
        <w:tabs>
          <w:tab w:val="left" w:pos="360"/>
          <w:tab w:val="left" w:pos="720"/>
        </w:tabs>
        <w:ind w:left="0" w:right="-90"/>
        <w:jc w:val="both"/>
        <w:rPr>
          <w:sz w:val="16"/>
          <w:szCs w:val="16"/>
          <w:lang w:val="es-PR"/>
        </w:rPr>
      </w:pPr>
      <w:r w:rsidRPr="00EF190F">
        <w:rPr>
          <w:rStyle w:val="FootnoteReference"/>
          <w:sz w:val="16"/>
          <w:szCs w:val="16"/>
        </w:rPr>
        <w:footnoteRef/>
      </w:r>
      <w:r w:rsidRPr="00EF190F">
        <w:rPr>
          <w:sz w:val="16"/>
          <w:szCs w:val="16"/>
        </w:rPr>
        <w:t xml:space="preserve"> </w:t>
      </w:r>
      <w:r w:rsidRPr="00EF190F">
        <w:rPr>
          <w:sz w:val="16"/>
          <w:szCs w:val="16"/>
        </w:rPr>
        <w:tab/>
        <w:t xml:space="preserve">Las personas mencionadas son: 1. Elías Milián González; 2. Amelia Milián Morales; 3. Domingo Cahuec Sic; 4. Víctor Juárez Pangan; 5. Cruz Sic Cuxum; 6. Patrocinio Chen Galiego; 7. Agustín Juarez Ixpancoc; 8. Pedro Galiego López; 9. </w:t>
      </w:r>
      <w:r w:rsidRPr="00EF190F">
        <w:rPr>
          <w:sz w:val="16"/>
          <w:szCs w:val="16"/>
          <w:lang w:val="pt-BR"/>
        </w:rPr>
        <w:t xml:space="preserve">Clemente Juárez Ixpancoc; 10. Pedro Sic Jerónimo; 11. Gregorio Valey; 12. Timoteo Sic Cujá; 13. </w:t>
      </w:r>
      <w:r w:rsidRPr="00E73A70">
        <w:rPr>
          <w:sz w:val="16"/>
          <w:szCs w:val="16"/>
          <w:lang w:val="pt-BR"/>
        </w:rPr>
        <w:t xml:space="preserve">Roberto Galiego Chén; 14. </w:t>
      </w:r>
      <w:r w:rsidRPr="00EF190F">
        <w:rPr>
          <w:sz w:val="16"/>
          <w:szCs w:val="16"/>
        </w:rPr>
        <w:t xml:space="preserve">Antonio Alvarado González; 15. Alfonso Cruz Juárez; 16. Santiago Alvarado Xitumul; 17. Teodoro González; 18. Eulogio Morales Alvarado; 19. Luciano González; 20. </w:t>
      </w:r>
      <w:r w:rsidRPr="00E73A70">
        <w:rPr>
          <w:sz w:val="16"/>
          <w:szCs w:val="16"/>
          <w:lang w:val="es-PR"/>
        </w:rPr>
        <w:t xml:space="preserve">Apolinario Juárez Pérez; 21. Alberto Juárez Pérez; 22. </w:t>
      </w:r>
      <w:r w:rsidRPr="00EF190F">
        <w:rPr>
          <w:sz w:val="16"/>
          <w:szCs w:val="16"/>
          <w:lang w:val="pt-BR"/>
        </w:rPr>
        <w:t xml:space="preserve">Evaristo Siana; 23. Pedro Tum; 24. Egmidio Siana; 25. Demetrio Chen Alvarado; 26. Pedro Galiego Mendoza; 27. Camilo Juárez Valey; 28. Julián Garniga; 29. Benito Juárez Ixpancoc; 30. Francisco Depaz; 31. Maximiliano Sis Valey; 32. Vicente Sic Osorio; 33. Félix Alvarado Xitumul, y 34. </w:t>
      </w:r>
      <w:r w:rsidRPr="00E73A70">
        <w:rPr>
          <w:sz w:val="16"/>
          <w:szCs w:val="16"/>
          <w:lang w:val="es-PR"/>
        </w:rPr>
        <w:t>José Demetrio Cahuéc Jerónimo.</w:t>
      </w:r>
    </w:p>
  </w:footnote>
  <w:footnote w:id="166">
    <w:p w:rsidR="006A0E1C" w:rsidRPr="00EF190F" w:rsidRDefault="006A0E1C" w:rsidP="006A0E1C">
      <w:pPr>
        <w:pStyle w:val="FootnoteText"/>
        <w:tabs>
          <w:tab w:val="left" w:pos="360"/>
        </w:tabs>
        <w:rPr>
          <w:spacing w:val="-4"/>
          <w:sz w:val="16"/>
          <w:szCs w:val="16"/>
          <w:lang w:val="es-PR"/>
        </w:rPr>
      </w:pPr>
      <w:r w:rsidRPr="00EF190F">
        <w:rPr>
          <w:rStyle w:val="FootnoteReference"/>
          <w:sz w:val="16"/>
          <w:szCs w:val="16"/>
        </w:rPr>
        <w:footnoteRef/>
      </w:r>
      <w:r w:rsidRPr="00EF190F">
        <w:rPr>
          <w:sz w:val="16"/>
          <w:szCs w:val="16"/>
        </w:rPr>
        <w:t xml:space="preserve"> </w:t>
      </w:r>
      <w:r w:rsidRPr="00EF190F">
        <w:rPr>
          <w:sz w:val="16"/>
          <w:szCs w:val="16"/>
        </w:rPr>
        <w:tab/>
      </w:r>
      <w:r w:rsidRPr="00EF190F">
        <w:rPr>
          <w:spacing w:val="-4"/>
          <w:sz w:val="16"/>
          <w:szCs w:val="16"/>
          <w:lang w:val="es-PR"/>
        </w:rPr>
        <w:t xml:space="preserve">No se han identificado los cuerpos de: 1. Héctor Rolando Alvarado García; 2. María Concepción Xitumul; 3. Raymunda Sical Corazón, y 4. </w:t>
      </w:r>
      <w:r w:rsidRPr="00EF190F">
        <w:rPr>
          <w:sz w:val="16"/>
          <w:szCs w:val="16"/>
        </w:rPr>
        <w:t>Amelia Milián Morales</w:t>
      </w:r>
      <w:r w:rsidRPr="00EF190F">
        <w:rPr>
          <w:spacing w:val="-4"/>
          <w:sz w:val="16"/>
          <w:szCs w:val="16"/>
          <w:lang w:val="es-PR"/>
        </w:rPr>
        <w:t xml:space="preserve">. Tampoco los cuerpos de: 5. Clemente Juárez Ixpancoc; 6. </w:t>
      </w:r>
      <w:r w:rsidRPr="00EF190F">
        <w:rPr>
          <w:spacing w:val="-4"/>
          <w:sz w:val="16"/>
          <w:szCs w:val="16"/>
          <w:lang w:val="pt-BR"/>
        </w:rPr>
        <w:t xml:space="preserve">Pedro Sic Jerónimo; 7. Gregorio Valey; 8. Timoteo Sic Cujá; 9. Roberto Galiego Chén; 10. </w:t>
      </w:r>
      <w:r w:rsidRPr="00EF190F">
        <w:rPr>
          <w:spacing w:val="-4"/>
          <w:sz w:val="16"/>
          <w:szCs w:val="16"/>
          <w:lang w:val="es-PR"/>
        </w:rPr>
        <w:t xml:space="preserve">Antonio Alvarado González; 11. Alfonso Cruz Juárez; 12. Santiago Alvarado Xitumul; 13. Teodoro González; 14. Eulogio Morales Alvarado; 15. Luciano González; 16. Apolinario Juárez Pérez; 17. Alberto Juárez Pérez; 18. </w:t>
      </w:r>
      <w:r w:rsidRPr="00EF190F">
        <w:rPr>
          <w:spacing w:val="-4"/>
          <w:sz w:val="16"/>
          <w:szCs w:val="16"/>
          <w:lang w:val="pt-BR"/>
        </w:rPr>
        <w:t xml:space="preserve">Evaristo Siana; 19. Pedro Tum; 20. Egmidio Siana; 21. Demetrio Chen Alvarado; 22. Pedro Galiego Mendoza; 23. Camilo Juárez Valey; 24. Julián Garniga; 25. Benito Juárez Ixpancoc; 26. Francisco Depaz; 27. Maximiliano Sis Valey; 28. Vicente Sic Osorio; 29. Félix Alvarado Xitumul; 30. José Demetrio Cahuec Jerónimo, y 31. </w:t>
      </w:r>
      <w:r w:rsidRPr="00EF190F">
        <w:rPr>
          <w:sz w:val="16"/>
          <w:szCs w:val="16"/>
        </w:rPr>
        <w:t>Antonio Chen Mendoza.</w:t>
      </w:r>
    </w:p>
  </w:footnote>
  <w:footnote w:id="167">
    <w:p w:rsidR="006A0E1C" w:rsidRPr="00EF190F" w:rsidRDefault="006A0E1C" w:rsidP="006A0E1C">
      <w:pPr>
        <w:pStyle w:val="Prrafodelista2"/>
        <w:tabs>
          <w:tab w:val="left" w:pos="360"/>
        </w:tabs>
        <w:ind w:left="0" w:right="-90"/>
        <w:jc w:val="both"/>
        <w:rPr>
          <w:rFonts w:cs="Calibri"/>
          <w:sz w:val="16"/>
          <w:szCs w:val="16"/>
        </w:rPr>
      </w:pPr>
      <w:r w:rsidRPr="00EF190F">
        <w:rPr>
          <w:rStyle w:val="FootnoteReference"/>
          <w:sz w:val="16"/>
          <w:szCs w:val="16"/>
        </w:rPr>
        <w:footnoteRef/>
      </w:r>
      <w:r w:rsidRPr="00EF190F">
        <w:rPr>
          <w:sz w:val="16"/>
          <w:szCs w:val="16"/>
        </w:rPr>
        <w:t xml:space="preserve"> </w:t>
      </w:r>
      <w:r w:rsidRPr="00EF190F">
        <w:rPr>
          <w:sz w:val="16"/>
          <w:szCs w:val="16"/>
        </w:rPr>
        <w:tab/>
        <w:t>Como se ha señalado, dichas personas fueron detenidas de las siguientes maneras: a) en sus viviendas o en las inmediaciones de éstas y permanecieron bajo custodia estatal mientras fueron trasladados a un lugar desconocido</w:t>
      </w:r>
      <w:r w:rsidRPr="00EF190F">
        <w:rPr>
          <w:rFonts w:cs="Calibri"/>
          <w:sz w:val="16"/>
          <w:szCs w:val="16"/>
        </w:rPr>
        <w:t xml:space="preserve">; b) </w:t>
      </w:r>
      <w:r w:rsidRPr="00EF190F">
        <w:rPr>
          <w:rFonts w:eastAsia="Calibri"/>
          <w:sz w:val="16"/>
          <w:szCs w:val="16"/>
        </w:rPr>
        <w:t xml:space="preserve">en el camino de </w:t>
      </w:r>
      <w:r w:rsidRPr="00EF190F">
        <w:rPr>
          <w:sz w:val="16"/>
          <w:szCs w:val="16"/>
        </w:rPr>
        <w:t xml:space="preserve">Rabinal y se les trasladó a la cárcel </w:t>
      </w:r>
      <w:r w:rsidRPr="00EF190F">
        <w:rPr>
          <w:rFonts w:cs="Arial"/>
          <w:sz w:val="16"/>
          <w:szCs w:val="16"/>
        </w:rPr>
        <w:t>del municipio</w:t>
      </w:r>
      <w:r w:rsidRPr="00EF190F">
        <w:rPr>
          <w:sz w:val="16"/>
          <w:szCs w:val="16"/>
        </w:rPr>
        <w:t xml:space="preserve"> </w:t>
      </w:r>
      <w:r w:rsidRPr="00EF190F">
        <w:rPr>
          <w:rFonts w:cs="Arial"/>
          <w:sz w:val="16"/>
          <w:szCs w:val="16"/>
        </w:rPr>
        <w:t>de Rabinal,</w:t>
      </w:r>
      <w:r w:rsidRPr="00EF190F">
        <w:rPr>
          <w:sz w:val="16"/>
          <w:szCs w:val="16"/>
        </w:rPr>
        <w:t xml:space="preserve"> en donde permanecieron bajo custodia estatal y en ese lugar fueron vistos por última vez con vida por sus familiares; c)</w:t>
      </w:r>
      <w:r w:rsidRPr="00EF190F">
        <w:rPr>
          <w:rFonts w:eastAsia="Calibri"/>
          <w:sz w:val="16"/>
          <w:szCs w:val="16"/>
        </w:rPr>
        <w:t xml:space="preserve"> en el camino de </w:t>
      </w:r>
      <w:r w:rsidRPr="00EF190F">
        <w:rPr>
          <w:sz w:val="16"/>
          <w:szCs w:val="16"/>
        </w:rPr>
        <w:t>Rabinal y se les trasladó a la escuela de la aldea Chirrum, en donde permanecieron bajo custodia estatal y en ese lugar fueron vistos por última vez con vida por sus familiares</w:t>
      </w:r>
      <w:r w:rsidRPr="00EF190F">
        <w:rPr>
          <w:rFonts w:cs="Calibri"/>
          <w:sz w:val="16"/>
          <w:szCs w:val="16"/>
        </w:rPr>
        <w:t>; d)</w:t>
      </w:r>
      <w:r w:rsidRPr="00EF190F">
        <w:rPr>
          <w:sz w:val="16"/>
          <w:szCs w:val="16"/>
        </w:rPr>
        <w:t xml:space="preserve"> en sus viviendas</w:t>
      </w:r>
      <w:r w:rsidRPr="00EF190F">
        <w:rPr>
          <w:sz w:val="16"/>
          <w:szCs w:val="16"/>
          <w:lang w:val="es-CR"/>
        </w:rPr>
        <w:t xml:space="preserve"> y permanecieron bajo custodia estatal mientras se les trasladó a un </w:t>
      </w:r>
      <w:r w:rsidRPr="00EF190F">
        <w:rPr>
          <w:sz w:val="16"/>
          <w:szCs w:val="16"/>
        </w:rPr>
        <w:t xml:space="preserve">cementerio, lugar en el que fueron vistas con vida </w:t>
      </w:r>
      <w:r w:rsidRPr="00EF190F">
        <w:rPr>
          <w:rFonts w:cs="Arial"/>
          <w:sz w:val="16"/>
          <w:szCs w:val="16"/>
        </w:rPr>
        <w:t>por última vez por una persona que logró escapar</w:t>
      </w:r>
      <w:r w:rsidRPr="00EF190F">
        <w:rPr>
          <w:rFonts w:eastAsia="Calibri"/>
          <w:iCs/>
          <w:sz w:val="16"/>
          <w:szCs w:val="16"/>
        </w:rPr>
        <w:t>; e)</w:t>
      </w:r>
      <w:r w:rsidRPr="00EF190F">
        <w:rPr>
          <w:rFonts w:cs="Arial"/>
          <w:sz w:val="16"/>
          <w:szCs w:val="16"/>
        </w:rPr>
        <w:t xml:space="preserve"> e</w:t>
      </w:r>
      <w:r w:rsidRPr="00EF190F">
        <w:rPr>
          <w:rFonts w:eastAsia="Calibri"/>
          <w:sz w:val="16"/>
          <w:szCs w:val="16"/>
        </w:rPr>
        <w:t xml:space="preserve">n el camino de </w:t>
      </w:r>
      <w:r w:rsidRPr="00EF190F">
        <w:rPr>
          <w:sz w:val="16"/>
          <w:szCs w:val="16"/>
        </w:rPr>
        <w:t>Rabinal, sin que se tenga conocimiento de sus paraderos, y f)</w:t>
      </w:r>
      <w:r w:rsidRPr="00EF190F">
        <w:rPr>
          <w:rFonts w:eastAsia="Calibri"/>
          <w:sz w:val="16"/>
          <w:szCs w:val="16"/>
        </w:rPr>
        <w:t xml:space="preserve"> en la </w:t>
      </w:r>
      <w:r w:rsidRPr="00EF190F">
        <w:rPr>
          <w:sz w:val="16"/>
          <w:szCs w:val="16"/>
        </w:rPr>
        <w:t xml:space="preserve">colonia Chichupac sin que se tenga noticia de su paradero. </w:t>
      </w:r>
    </w:p>
  </w:footnote>
  <w:footnote w:id="168">
    <w:p w:rsidR="006A0E1C" w:rsidRPr="00EF190F" w:rsidRDefault="006A0E1C" w:rsidP="006A0E1C">
      <w:pPr>
        <w:autoSpaceDE w:val="0"/>
        <w:autoSpaceDN w:val="0"/>
        <w:spacing w:line="240" w:lineRule="auto"/>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lang w:val="es-PR"/>
        </w:rPr>
        <w:t xml:space="preserve">Cfr. </w:t>
      </w:r>
      <w:r w:rsidRPr="00EF190F">
        <w:rPr>
          <w:rFonts w:cs="Arial"/>
          <w:bCs/>
          <w:sz w:val="16"/>
          <w:szCs w:val="16"/>
        </w:rPr>
        <w:t>Oficio del Comandante de Reservas Militares Departamental de 9 de mayo de 1993</w:t>
      </w:r>
      <w:r w:rsidRPr="00EF190F">
        <w:rPr>
          <w:sz w:val="16"/>
          <w:szCs w:val="16"/>
        </w:rPr>
        <w:t xml:space="preserve"> (expediente de prueba, folio 711)</w:t>
      </w:r>
      <w:r w:rsidRPr="00EF190F">
        <w:rPr>
          <w:rFonts w:cs="Arial"/>
          <w:bCs/>
          <w:sz w:val="16"/>
          <w:szCs w:val="16"/>
        </w:rPr>
        <w:t>.</w:t>
      </w:r>
    </w:p>
  </w:footnote>
  <w:footnote w:id="169">
    <w:p w:rsidR="006A0E1C" w:rsidRPr="00EF190F" w:rsidRDefault="006A0E1C" w:rsidP="006A0E1C">
      <w:pPr>
        <w:tabs>
          <w:tab w:val="left" w:pos="360"/>
          <w:tab w:val="left" w:pos="567"/>
        </w:tabs>
        <w:spacing w:line="240" w:lineRule="auto"/>
        <w:ind w:right="4"/>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Cfr.</w:t>
      </w:r>
      <w:r w:rsidRPr="00EF190F">
        <w:rPr>
          <w:sz w:val="16"/>
          <w:szCs w:val="16"/>
        </w:rPr>
        <w:t xml:space="preserve"> Denuncia de Máxima Emiliana García Valey y Francisco Sic Chen de 20 de junio de 1995, sobre la desaparición forzada de Marcelo Sic Chen y María Concepción Chen Sic (expediente de prueba, folios 1576 a 1577).  Asimismo, el 25 de octubre de 2000 Aurelio Juárez López denunció ante el Ministerio Público de Rabinal, Departamento de Baja Verapaz, la desaparición de Pedro Siana (expediente de prueba, folios 447 a 449). Además, m</w:t>
      </w:r>
      <w:r w:rsidRPr="00EF190F">
        <w:rPr>
          <w:rFonts w:cs="Arial"/>
          <w:sz w:val="16"/>
          <w:szCs w:val="16"/>
        </w:rPr>
        <w:t xml:space="preserve">ediante escrito de 12 de julio de 1995 el Auxiliar Departamental de la Procuraduría de Derechos Humanos de Guatemala en Salamá </w:t>
      </w:r>
      <w:r w:rsidRPr="00EF190F">
        <w:rPr>
          <w:sz w:val="16"/>
          <w:szCs w:val="16"/>
        </w:rPr>
        <w:t xml:space="preserve">puso en conocimiento de </w:t>
      </w:r>
      <w:r w:rsidRPr="00EF190F">
        <w:rPr>
          <w:rFonts w:cs="Calibri,Bold"/>
          <w:bCs/>
          <w:sz w:val="16"/>
          <w:szCs w:val="16"/>
        </w:rPr>
        <w:t>la Fiscalía Distrital del Ministerio Público de Salamá, las denuncias presentadas por la desaparición de</w:t>
      </w:r>
      <w:r w:rsidRPr="00EF190F">
        <w:rPr>
          <w:rFonts w:eastAsia="Calibri"/>
          <w:sz w:val="16"/>
          <w:szCs w:val="16"/>
        </w:rPr>
        <w:t xml:space="preserve"> </w:t>
      </w:r>
      <w:r w:rsidRPr="00EF190F">
        <w:rPr>
          <w:sz w:val="16"/>
          <w:szCs w:val="16"/>
        </w:rPr>
        <w:t>Juan Mendoza Alvarado, José Cruz Mendoza, Leonardo Cahuec Gonzales y Lorenzo Depaz Ciprián (expediente de prueba, folios 1351 a 1353). Mediante escrito de</w:t>
      </w:r>
      <w:r w:rsidRPr="00EF190F">
        <w:rPr>
          <w:rFonts w:cs="Arial"/>
          <w:sz w:val="16"/>
          <w:szCs w:val="16"/>
        </w:rPr>
        <w:t xml:space="preserve"> 6 de agosto de 1997 la Procuraduría de Derechos Humanos de Guatemala </w:t>
      </w:r>
      <w:r w:rsidRPr="00EF190F">
        <w:rPr>
          <w:sz w:val="16"/>
          <w:szCs w:val="16"/>
        </w:rPr>
        <w:t xml:space="preserve">puso en conocimiento de la </w:t>
      </w:r>
      <w:r w:rsidRPr="00EF190F">
        <w:rPr>
          <w:rFonts w:cs="Arial"/>
          <w:sz w:val="16"/>
          <w:szCs w:val="16"/>
        </w:rPr>
        <w:t>Fiscalía Distrital del Ministerio Público de Salamá, la</w:t>
      </w:r>
      <w:r w:rsidRPr="00EF190F">
        <w:rPr>
          <w:rFonts w:cs="Calibri,Bold"/>
          <w:bCs/>
          <w:sz w:val="16"/>
          <w:szCs w:val="16"/>
        </w:rPr>
        <w:t xml:space="preserve"> </w:t>
      </w:r>
      <w:r w:rsidRPr="00EF190F">
        <w:rPr>
          <w:rFonts w:cs="Arial"/>
          <w:sz w:val="16"/>
          <w:szCs w:val="16"/>
        </w:rPr>
        <w:t>denuncia presentada por Francisca González Tecú sobre la desaparición de su padre Gorgonio Gonzalez Gonzalez. El 8 de mayo de 2003, Francisca González Tecú compareció ante dicha Fiscalía y reiteró los hechos de su denuncia inicial.</w:t>
      </w:r>
      <w:r w:rsidRPr="00EF190F">
        <w:rPr>
          <w:sz w:val="16"/>
          <w:szCs w:val="16"/>
        </w:rPr>
        <w:t xml:space="preserve"> </w:t>
      </w:r>
      <w:r w:rsidRPr="00EF190F">
        <w:rPr>
          <w:i/>
          <w:sz w:val="16"/>
          <w:szCs w:val="16"/>
        </w:rPr>
        <w:t xml:space="preserve">Cfr. </w:t>
      </w:r>
      <w:r w:rsidRPr="00EF190F">
        <w:rPr>
          <w:sz w:val="16"/>
          <w:szCs w:val="16"/>
        </w:rPr>
        <w:t>Escrito de</w:t>
      </w:r>
      <w:r w:rsidRPr="00EF190F">
        <w:rPr>
          <w:rFonts w:cs="Arial"/>
          <w:sz w:val="16"/>
          <w:szCs w:val="16"/>
        </w:rPr>
        <w:t xml:space="preserve"> 6 de agosto de 1997, de la Procuraduría de Derechos Humanos de Guatemala (expediente de prueba, folio 9141), y</w:t>
      </w:r>
      <w:r w:rsidRPr="00EF190F">
        <w:rPr>
          <w:i/>
          <w:sz w:val="16"/>
          <w:szCs w:val="16"/>
        </w:rPr>
        <w:t xml:space="preserve"> </w:t>
      </w:r>
      <w:r w:rsidRPr="00EF190F">
        <w:rPr>
          <w:sz w:val="16"/>
          <w:szCs w:val="16"/>
        </w:rPr>
        <w:t xml:space="preserve">Declaración de Francisca González Tecú y Clementina Bachan Cahuec de 8 de mayo de 2003 ante el Auxiliar Fiscal de la Fiscalía Distrital del Ministerio Público de Salamá (expediente de prueba, folios 9142 y 9143). Mediante una declaración ante el Auxiliar Fiscal de la Fiscalía Especial </w:t>
      </w:r>
      <w:r w:rsidRPr="00EF190F">
        <w:rPr>
          <w:rFonts w:cs="Arial"/>
          <w:sz w:val="16"/>
          <w:szCs w:val="16"/>
        </w:rPr>
        <w:t xml:space="preserve">del Ministerio Público en Ciudad de Guatemala, </w:t>
      </w:r>
      <w:r w:rsidRPr="00EF190F">
        <w:rPr>
          <w:sz w:val="16"/>
          <w:szCs w:val="16"/>
        </w:rPr>
        <w:t>Vicenta Alvarado Mendoza</w:t>
      </w:r>
      <w:r w:rsidRPr="00EF190F">
        <w:rPr>
          <w:rFonts w:cs="Arial"/>
          <w:sz w:val="16"/>
          <w:szCs w:val="16"/>
        </w:rPr>
        <w:t xml:space="preserve"> denunció la desaparición de su padre José Cruz Mendoza Sucup y su hermano Juan Mendoza Alvarado. </w:t>
      </w:r>
      <w:r w:rsidRPr="00EF190F">
        <w:rPr>
          <w:i/>
          <w:spacing w:val="-4"/>
          <w:sz w:val="16"/>
          <w:szCs w:val="16"/>
          <w:lang w:val="es-PR"/>
        </w:rPr>
        <w:t xml:space="preserve">Cfr. </w:t>
      </w:r>
      <w:r w:rsidRPr="00EF190F">
        <w:rPr>
          <w:sz w:val="16"/>
          <w:szCs w:val="16"/>
        </w:rPr>
        <w:t>Declaración de Vicenta Mendoza Alvarado de 15 de noviembre de 2002 (expediente de prueba, folios 475 a 478).</w:t>
      </w:r>
      <w:r w:rsidRPr="00EF190F">
        <w:rPr>
          <w:rFonts w:cs="Arial"/>
          <w:sz w:val="16"/>
          <w:szCs w:val="16"/>
        </w:rPr>
        <w:t xml:space="preserve"> El 9 de mayo de 1995 Juana García Depaz denunció ante la Procuraduría de Derechos Humanos de Guatemala la detención y desaparición de Adrián García Manuel, Hugo García Depaz y Abraham Alvarado Depaz </w:t>
      </w:r>
      <w:r w:rsidRPr="00EF190F">
        <w:rPr>
          <w:sz w:val="16"/>
          <w:szCs w:val="16"/>
        </w:rPr>
        <w:t>(expediente de prueba, folios 1290 a 1291).</w:t>
      </w:r>
      <w:r w:rsidRPr="00EF190F">
        <w:rPr>
          <w:rFonts w:cs="Arial"/>
          <w:sz w:val="16"/>
          <w:szCs w:val="16"/>
        </w:rPr>
        <w:t xml:space="preserve"> </w:t>
      </w:r>
    </w:p>
  </w:footnote>
  <w:footnote w:id="170">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En dicho informe se hizo referencia a la desaparición de Lorenzo Depaz Cipriano, y la ejecución de Leonardo Cahuec González, Gorgonio Gonzalez Gonzalez y Eustaquio Ixtoc (</w:t>
      </w:r>
      <w:r w:rsidRPr="00EF190F">
        <w:rPr>
          <w:i/>
          <w:sz w:val="16"/>
          <w:szCs w:val="16"/>
        </w:rPr>
        <w:t>sic</w:t>
      </w:r>
      <w:r w:rsidRPr="00EF190F">
        <w:rPr>
          <w:sz w:val="16"/>
          <w:szCs w:val="16"/>
        </w:rPr>
        <w:t xml:space="preserve">). </w:t>
      </w:r>
      <w:r w:rsidRPr="00EF190F">
        <w:rPr>
          <w:i/>
          <w:sz w:val="16"/>
          <w:szCs w:val="16"/>
          <w:lang w:val="es-CR"/>
        </w:rPr>
        <w:t>Cfr.</w:t>
      </w:r>
      <w:r w:rsidRPr="00EF190F">
        <w:rPr>
          <w:sz w:val="16"/>
          <w:szCs w:val="16"/>
          <w:lang w:val="es-CR"/>
        </w:rPr>
        <w:t xml:space="preserve"> Informe de la CEH </w:t>
      </w:r>
      <w:r w:rsidRPr="00EF190F">
        <w:rPr>
          <w:i/>
          <w:iCs/>
          <w:sz w:val="16"/>
          <w:szCs w:val="16"/>
          <w:lang w:val="es-CR"/>
        </w:rPr>
        <w:t>“Guatemala, Memoria del Silencio”</w:t>
      </w:r>
      <w:r w:rsidRPr="00EF190F">
        <w:rPr>
          <w:sz w:val="16"/>
          <w:szCs w:val="16"/>
          <w:lang w:val="es-CR"/>
        </w:rPr>
        <w:t xml:space="preserve">, Casos Presentados, Anexo II, págs. </w:t>
      </w:r>
      <w:r w:rsidRPr="00EF190F">
        <w:rPr>
          <w:sz w:val="16"/>
          <w:szCs w:val="16"/>
        </w:rPr>
        <w:t>155, 162, 163.</w:t>
      </w:r>
    </w:p>
  </w:footnote>
  <w:footnote w:id="171">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rPr>
        <w:t xml:space="preserve"> </w:t>
      </w:r>
      <w:r w:rsidRPr="00EF190F">
        <w:rPr>
          <w:sz w:val="16"/>
          <w:szCs w:val="16"/>
          <w:lang w:val="es-CR"/>
        </w:rPr>
        <w:tab/>
      </w:r>
      <w:r w:rsidRPr="00EF190F">
        <w:rPr>
          <w:rFonts w:cs="Arial"/>
          <w:sz w:val="16"/>
          <w:szCs w:val="16"/>
        </w:rPr>
        <w:t>El 21 de octubre de 2004</w:t>
      </w:r>
      <w:r w:rsidRPr="00EF190F">
        <w:rPr>
          <w:sz w:val="16"/>
          <w:szCs w:val="16"/>
        </w:rPr>
        <w:t xml:space="preserve"> la FAFG remitió a la </w:t>
      </w:r>
      <w:r w:rsidRPr="00EF190F">
        <w:rPr>
          <w:rFonts w:cs="Calibri,Bold"/>
          <w:bCs/>
          <w:sz w:val="16"/>
          <w:szCs w:val="16"/>
        </w:rPr>
        <w:t>Fiscalía Distrital del Ministerio Público Salamá de Baja Verapaz,</w:t>
      </w:r>
      <w:r w:rsidRPr="00EF190F">
        <w:rPr>
          <w:rFonts w:eastAsia="Calibri"/>
          <w:sz w:val="16"/>
          <w:szCs w:val="16"/>
        </w:rPr>
        <w:t xml:space="preserve"> el Informe Final del peritaje antropológico</w:t>
      </w:r>
      <w:r w:rsidRPr="00EF190F">
        <w:rPr>
          <w:rFonts w:cs="Arial"/>
          <w:sz w:val="16"/>
          <w:szCs w:val="16"/>
        </w:rPr>
        <w:t xml:space="preserve"> </w:t>
      </w:r>
      <w:r w:rsidRPr="00EF190F">
        <w:rPr>
          <w:rFonts w:eastAsia="Calibri"/>
          <w:sz w:val="16"/>
          <w:szCs w:val="16"/>
        </w:rPr>
        <w:t xml:space="preserve">forense realizado en </w:t>
      </w:r>
      <w:r w:rsidRPr="00EF190F">
        <w:rPr>
          <w:rFonts w:eastAsia="Calibri"/>
          <w:iCs/>
          <w:sz w:val="16"/>
          <w:szCs w:val="16"/>
        </w:rPr>
        <w:t xml:space="preserve">Xeabaj. </w:t>
      </w:r>
      <w:r w:rsidRPr="00EF190F">
        <w:rPr>
          <w:rFonts w:cs="Calibri,Bold"/>
          <w:bCs/>
          <w:sz w:val="16"/>
          <w:szCs w:val="16"/>
        </w:rPr>
        <w:t xml:space="preserve">Asimismo, </w:t>
      </w:r>
      <w:r w:rsidRPr="00EF190F">
        <w:rPr>
          <w:sz w:val="16"/>
          <w:szCs w:val="16"/>
        </w:rPr>
        <w:t>el 22 de diciembre de 2014 la FAFG presentó ante el Ministerio Público un Dictamen Pericial de la Investigación Antropológico Forense llevada a cabo en el Cementerio San Francisco, aldea Chuateguá</w:t>
      </w:r>
      <w:r w:rsidRPr="00EF190F">
        <w:rPr>
          <w:rFonts w:cs="Arial"/>
          <w:sz w:val="16"/>
          <w:szCs w:val="16"/>
        </w:rPr>
        <w:t>.</w:t>
      </w:r>
      <w:r w:rsidRPr="00EF190F">
        <w:rPr>
          <w:rFonts w:cs="Calibri,Bold"/>
          <w:bCs/>
          <w:sz w:val="16"/>
          <w:szCs w:val="16"/>
        </w:rPr>
        <w:t xml:space="preserve"> </w:t>
      </w:r>
      <w:r w:rsidRPr="00EF190F">
        <w:rPr>
          <w:sz w:val="16"/>
          <w:szCs w:val="16"/>
        </w:rPr>
        <w:t xml:space="preserve">Entre las víctimas se </w:t>
      </w:r>
      <w:r w:rsidRPr="00EF190F">
        <w:rPr>
          <w:rFonts w:cs="Calibri,Bold"/>
          <w:bCs/>
          <w:sz w:val="16"/>
          <w:szCs w:val="16"/>
        </w:rPr>
        <w:t xml:space="preserve">incluyeron los nombres de </w:t>
      </w:r>
      <w:r w:rsidRPr="00EF190F">
        <w:rPr>
          <w:rFonts w:eastAsia="Calibri"/>
          <w:iCs/>
          <w:sz w:val="16"/>
          <w:szCs w:val="16"/>
        </w:rPr>
        <w:t>Cruz Amperez Sis (</w:t>
      </w:r>
      <w:r w:rsidRPr="00EF190F">
        <w:rPr>
          <w:rFonts w:eastAsia="Calibri"/>
          <w:i/>
          <w:iCs/>
          <w:sz w:val="16"/>
          <w:szCs w:val="16"/>
        </w:rPr>
        <w:t>sic</w:t>
      </w:r>
      <w:r w:rsidRPr="00EF190F">
        <w:rPr>
          <w:rFonts w:eastAsia="Calibri"/>
          <w:iCs/>
          <w:sz w:val="16"/>
          <w:szCs w:val="16"/>
        </w:rPr>
        <w:t>), Gorgonio Gonzalez Gonzalez (</w:t>
      </w:r>
      <w:r w:rsidRPr="00EF190F">
        <w:rPr>
          <w:rFonts w:eastAsia="Calibri"/>
          <w:i/>
          <w:iCs/>
          <w:sz w:val="16"/>
          <w:szCs w:val="16"/>
        </w:rPr>
        <w:t>sic</w:t>
      </w:r>
      <w:r w:rsidRPr="00EF190F">
        <w:rPr>
          <w:rFonts w:eastAsia="Calibri"/>
          <w:iCs/>
          <w:sz w:val="16"/>
          <w:szCs w:val="16"/>
        </w:rPr>
        <w:t xml:space="preserve">), </w:t>
      </w:r>
      <w:r w:rsidRPr="00EF190F">
        <w:rPr>
          <w:sz w:val="16"/>
          <w:szCs w:val="16"/>
        </w:rPr>
        <w:t>Gabino Román Iboy, Eustaquio Ixtecoc y Rafael Depaz.</w:t>
      </w:r>
      <w:r w:rsidRPr="00EF190F">
        <w:rPr>
          <w:rFonts w:cs="Calibri,Bold"/>
          <w:bCs/>
          <w:sz w:val="16"/>
          <w:szCs w:val="16"/>
        </w:rPr>
        <w:t xml:space="preserve"> </w:t>
      </w:r>
      <w:r w:rsidRPr="00EF190F">
        <w:rPr>
          <w:i/>
          <w:sz w:val="16"/>
          <w:szCs w:val="16"/>
        </w:rPr>
        <w:t>Cfr.</w:t>
      </w:r>
      <w:r w:rsidRPr="00EF190F">
        <w:rPr>
          <w:sz w:val="16"/>
          <w:szCs w:val="16"/>
          <w:lang w:val="es-CR"/>
        </w:rPr>
        <w:t xml:space="preserve"> Informe de Investigación Antropológico Forense de la FAFG de 6 de octubre de 2004 (expediente de prueba, folios 1601 y 1606), e</w:t>
      </w:r>
      <w:r w:rsidRPr="00EF190F">
        <w:rPr>
          <w:sz w:val="16"/>
          <w:szCs w:val="16"/>
        </w:rPr>
        <w:t xml:space="preserve"> Informe de la FAFG de 5 de junio de 2014 (expediente de prueba, folios 9247 a 9276). </w:t>
      </w:r>
    </w:p>
  </w:footnote>
  <w:footnote w:id="172">
    <w:p w:rsidR="006A0E1C" w:rsidRPr="00EF190F" w:rsidRDefault="006A0E1C" w:rsidP="006A0E1C">
      <w:pPr>
        <w:pStyle w:val="FootnoteText"/>
        <w:rPr>
          <w:sz w:val="16"/>
          <w:szCs w:val="16"/>
        </w:rPr>
      </w:pPr>
      <w:r w:rsidRPr="00EF190F">
        <w:rPr>
          <w:rStyle w:val="FootnoteReference"/>
          <w:sz w:val="16"/>
          <w:szCs w:val="16"/>
        </w:rPr>
        <w:footnoteRef/>
      </w:r>
      <w:r w:rsidRPr="00EF190F">
        <w:rPr>
          <w:sz w:val="16"/>
          <w:szCs w:val="16"/>
        </w:rPr>
        <w:t xml:space="preserve"> Entre las víctimas señaladas en el Informe de Fondo, se incluyeron los nombres de Juan Pérez Sic, Casimiro Siana, Jorge Galeano Román, Enrique Mendoza Sis, Manuel Alarcón Morente y Raymundo Alarcón Morente.</w:t>
      </w:r>
    </w:p>
  </w:footnote>
  <w:footnote w:id="173">
    <w:p w:rsidR="006A0E1C" w:rsidRPr="00EF190F" w:rsidRDefault="006A0E1C" w:rsidP="006A0E1C">
      <w:pPr>
        <w:tabs>
          <w:tab w:val="left" w:pos="360"/>
        </w:tabs>
        <w:autoSpaceDE w:val="0"/>
        <w:autoSpaceDN w:val="0"/>
        <w:spacing w:line="240" w:lineRule="auto"/>
        <w:rPr>
          <w:rFonts w:cs="Times"/>
          <w:sz w:val="16"/>
          <w:szCs w:val="16"/>
          <w:lang w:val="es-ES"/>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Cfr.</w:t>
      </w:r>
      <w:r w:rsidRPr="00EF190F">
        <w:rPr>
          <w:sz w:val="16"/>
          <w:szCs w:val="16"/>
        </w:rPr>
        <w:t xml:space="preserve"> </w:t>
      </w:r>
      <w:r w:rsidRPr="00EF190F">
        <w:rPr>
          <w:i/>
          <w:sz w:val="16"/>
          <w:szCs w:val="16"/>
        </w:rPr>
        <w:t>Caso Comunidad Campesina de Santa Bárbara Vs. Perú</w:t>
      </w:r>
      <w:r w:rsidRPr="00EF190F">
        <w:rPr>
          <w:sz w:val="16"/>
          <w:szCs w:val="16"/>
        </w:rPr>
        <w:t>, párr. 166.</w:t>
      </w:r>
    </w:p>
  </w:footnote>
  <w:footnote w:id="174">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Cfr. Caso</w:t>
      </w:r>
      <w:r w:rsidRPr="00EF190F">
        <w:rPr>
          <w:sz w:val="16"/>
          <w:szCs w:val="16"/>
        </w:rPr>
        <w:t xml:space="preserve"> </w:t>
      </w:r>
      <w:r w:rsidRPr="00EF190F">
        <w:rPr>
          <w:i/>
          <w:sz w:val="16"/>
          <w:szCs w:val="16"/>
        </w:rPr>
        <w:t>Velásquez Rodríguez Vs. Honduras</w:t>
      </w:r>
      <w:r w:rsidRPr="00EF190F">
        <w:rPr>
          <w:sz w:val="16"/>
          <w:szCs w:val="16"/>
        </w:rPr>
        <w:t xml:space="preserve">. Fondo, párr. 175; y </w:t>
      </w:r>
      <w:r w:rsidRPr="00EF190F">
        <w:rPr>
          <w:i/>
          <w:sz w:val="16"/>
          <w:szCs w:val="16"/>
        </w:rPr>
        <w:t>Caso Anzualdo Castro Vs. Perú.</w:t>
      </w:r>
      <w:r w:rsidRPr="00EF190F">
        <w:rPr>
          <w:i/>
          <w:sz w:val="16"/>
          <w:szCs w:val="16"/>
          <w:lang w:val="es-PR"/>
        </w:rPr>
        <w:t xml:space="preserve"> Excepciones Preliminares, Fondo, Reparaciones y Costas. </w:t>
      </w:r>
      <w:r w:rsidRPr="00EF190F">
        <w:rPr>
          <w:sz w:val="16"/>
          <w:szCs w:val="16"/>
          <w:lang w:val="es-PR"/>
        </w:rPr>
        <w:t>Sentencia de 22 de septiembre de 2009. Serie C No. 202</w:t>
      </w:r>
      <w:r w:rsidRPr="00EF190F">
        <w:rPr>
          <w:sz w:val="16"/>
          <w:szCs w:val="16"/>
        </w:rPr>
        <w:t>, párr. 85.</w:t>
      </w:r>
    </w:p>
  </w:footnote>
  <w:footnote w:id="175">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Caso Velásquez Rodríguez Vs. Honduras. Fondo, </w:t>
      </w:r>
      <w:r w:rsidRPr="00EF190F">
        <w:rPr>
          <w:sz w:val="16"/>
          <w:szCs w:val="16"/>
        </w:rPr>
        <w:t xml:space="preserve">párrs. 156 y 187; y </w:t>
      </w:r>
      <w:r w:rsidRPr="00EF190F">
        <w:rPr>
          <w:i/>
          <w:sz w:val="16"/>
          <w:szCs w:val="16"/>
        </w:rPr>
        <w:t>Caso Anzualdo Castro Vs. Perú</w:t>
      </w:r>
      <w:r w:rsidRPr="00EF190F">
        <w:rPr>
          <w:sz w:val="16"/>
          <w:szCs w:val="16"/>
        </w:rPr>
        <w:t>, párr. 85.</w:t>
      </w:r>
    </w:p>
  </w:footnote>
  <w:footnote w:id="176">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lang w:val="es-CR"/>
        </w:rPr>
        <w:t>Cfr.</w:t>
      </w:r>
      <w:r w:rsidRPr="00EF190F">
        <w:rPr>
          <w:sz w:val="16"/>
          <w:szCs w:val="16"/>
          <w:lang w:val="es-CR"/>
        </w:rPr>
        <w:t xml:space="preserve"> </w:t>
      </w:r>
      <w:r w:rsidRPr="00EF190F">
        <w:rPr>
          <w:i/>
          <w:sz w:val="16"/>
          <w:szCs w:val="16"/>
          <w:lang w:val="es-CR"/>
        </w:rPr>
        <w:t>Caso Velásquez Rodríguez Vs. Honduras. Fondo,</w:t>
      </w:r>
      <w:r w:rsidRPr="00EF190F">
        <w:rPr>
          <w:sz w:val="16"/>
          <w:szCs w:val="16"/>
          <w:lang w:val="es-CR"/>
        </w:rPr>
        <w:t xml:space="preserve"> párr. 188, y </w:t>
      </w:r>
      <w:r w:rsidRPr="00EF190F">
        <w:rPr>
          <w:i/>
          <w:sz w:val="16"/>
          <w:szCs w:val="16"/>
          <w:lang w:val="es-CR"/>
        </w:rPr>
        <w:t>Caso Osorio Rivera y Familiares Vs. Perú</w:t>
      </w:r>
      <w:r w:rsidRPr="00EF190F">
        <w:rPr>
          <w:sz w:val="16"/>
          <w:szCs w:val="16"/>
          <w:lang w:val="es-CR"/>
        </w:rPr>
        <w:t>, párr. 160</w:t>
      </w:r>
    </w:p>
  </w:footnote>
  <w:footnote w:id="177">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lang w:val="es-CR"/>
        </w:rPr>
        <w:t>Cfr.</w:t>
      </w:r>
      <w:r w:rsidRPr="00EF190F">
        <w:rPr>
          <w:sz w:val="16"/>
          <w:szCs w:val="16"/>
          <w:lang w:val="es-CR"/>
        </w:rPr>
        <w:t xml:space="preserve"> </w:t>
      </w:r>
      <w:r w:rsidRPr="00EF190F">
        <w:rPr>
          <w:i/>
          <w:sz w:val="16"/>
          <w:szCs w:val="16"/>
          <w:lang w:val="es-CR"/>
        </w:rPr>
        <w:t xml:space="preserve">Caso Anzualdo Castro Vs. Perú, </w:t>
      </w:r>
      <w:r w:rsidRPr="00EF190F">
        <w:rPr>
          <w:sz w:val="16"/>
          <w:szCs w:val="16"/>
          <w:lang w:val="es-CR"/>
        </w:rPr>
        <w:t>párrs. 90 y 91</w:t>
      </w:r>
      <w:r w:rsidRPr="00EF190F">
        <w:rPr>
          <w:sz w:val="16"/>
          <w:szCs w:val="16"/>
        </w:rPr>
        <w:t xml:space="preserve">. </w:t>
      </w:r>
      <w:r w:rsidRPr="00EF190F">
        <w:rPr>
          <w:rStyle w:val="Strong"/>
          <w:b w:val="0"/>
          <w:color w:val="000000"/>
          <w:sz w:val="16"/>
          <w:szCs w:val="16"/>
          <w:shd w:val="clear" w:color="auto" w:fill="FFFFFF"/>
        </w:rPr>
        <w:t>En dicho caso,</w:t>
      </w:r>
      <w:r w:rsidRPr="00EF190F">
        <w:rPr>
          <w:sz w:val="16"/>
          <w:szCs w:val="16"/>
        </w:rPr>
        <w:t xml:space="preserve"> la Corte reconoció que hasta ese momento en la mayoría de los casos de desaparición forzada de personas había estimado que no correspondía analizar la violación del artículo 3 de la Convención, por no haber hechos que así lo ameritaran, citando entre otros, el </w:t>
      </w:r>
      <w:r w:rsidRPr="00EF190F">
        <w:rPr>
          <w:i/>
          <w:sz w:val="16"/>
          <w:szCs w:val="16"/>
        </w:rPr>
        <w:t>Caso</w:t>
      </w:r>
      <w:r w:rsidRPr="00EF190F">
        <w:rPr>
          <w:sz w:val="16"/>
          <w:szCs w:val="16"/>
        </w:rPr>
        <w:t xml:space="preserve"> </w:t>
      </w:r>
      <w:r w:rsidRPr="00EF190F">
        <w:rPr>
          <w:rFonts w:eastAsia="Calibri"/>
          <w:i/>
          <w:sz w:val="16"/>
          <w:szCs w:val="16"/>
        </w:rPr>
        <w:t xml:space="preserve">Bámaca Velásquez Vs. Guatemala. </w:t>
      </w:r>
      <w:r w:rsidRPr="00EF190F">
        <w:rPr>
          <w:sz w:val="16"/>
          <w:szCs w:val="16"/>
        </w:rPr>
        <w:t>No obstante, dado el carácter múltiple y complejo de esta grave violación de derechos humanos, el Tribunal reconsideró su posición anterior y estimó posible que, en casos de esta naturaleza, la desaparición forzada pueda conllevar una violación específica del referido derecho.</w:t>
      </w:r>
    </w:p>
  </w:footnote>
  <w:footnote w:id="178">
    <w:p w:rsidR="006A0E1C" w:rsidRPr="00EF190F" w:rsidRDefault="006A0E1C" w:rsidP="006A0E1C">
      <w:pPr>
        <w:pStyle w:val="FootnoteText"/>
        <w:tabs>
          <w:tab w:val="left" w:pos="360"/>
        </w:tabs>
        <w:rPr>
          <w:bCs/>
          <w:sz w:val="16"/>
          <w:szCs w:val="16"/>
          <w:shd w:val="clear" w:color="auto" w:fill="FFFFFF"/>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w:t>
      </w:r>
      <w:r w:rsidRPr="00EF190F">
        <w:rPr>
          <w:rStyle w:val="Strong"/>
          <w:b w:val="0"/>
          <w:i/>
          <w:sz w:val="16"/>
          <w:szCs w:val="16"/>
          <w:shd w:val="clear" w:color="auto" w:fill="FFFFFF"/>
        </w:rPr>
        <w:t>Caso Radilla Pacheco Vs. México, Caso Chitay Nech y otros Vs. Guatemala, Caso Ibsen Cárdenas e Ibsen Peña Vs. Bolivia, Caso Gomes Lund y otros Vs. Brasil,</w:t>
      </w:r>
      <w:r w:rsidRPr="00EF190F">
        <w:rPr>
          <w:b/>
          <w:i/>
          <w:sz w:val="16"/>
          <w:szCs w:val="16"/>
        </w:rPr>
        <w:t xml:space="preserve"> </w:t>
      </w:r>
      <w:r w:rsidRPr="00EF190F">
        <w:rPr>
          <w:rStyle w:val="Strong"/>
          <w:b w:val="0"/>
          <w:i/>
          <w:sz w:val="16"/>
          <w:szCs w:val="16"/>
          <w:shd w:val="clear" w:color="auto" w:fill="FFFFFF"/>
        </w:rPr>
        <w:t>Caso Gelman Vs. Uruguay,</w:t>
      </w:r>
      <w:r w:rsidRPr="00EF190F">
        <w:rPr>
          <w:rStyle w:val="FootnoteReference"/>
          <w:b/>
          <w:i/>
          <w:sz w:val="16"/>
          <w:szCs w:val="16"/>
          <w:shd w:val="clear" w:color="auto" w:fill="FFFFFF"/>
        </w:rPr>
        <w:t xml:space="preserve"> </w:t>
      </w:r>
      <w:r w:rsidRPr="00EF190F">
        <w:rPr>
          <w:rStyle w:val="Strong"/>
          <w:b w:val="0"/>
          <w:i/>
          <w:sz w:val="16"/>
          <w:szCs w:val="16"/>
          <w:shd w:val="clear" w:color="auto" w:fill="FFFFFF"/>
        </w:rPr>
        <w:t>Caso Torres Millacura y otros Vs. Argentina,</w:t>
      </w:r>
      <w:r w:rsidRPr="00EF190F">
        <w:rPr>
          <w:rStyle w:val="FootnoteReference"/>
          <w:b/>
          <w:i/>
          <w:sz w:val="16"/>
          <w:szCs w:val="16"/>
          <w:shd w:val="clear" w:color="auto" w:fill="FFFFFF"/>
        </w:rPr>
        <w:t xml:space="preserve"> </w:t>
      </w:r>
      <w:r w:rsidRPr="00EF190F">
        <w:rPr>
          <w:rStyle w:val="Strong"/>
          <w:b w:val="0"/>
          <w:i/>
          <w:sz w:val="16"/>
          <w:szCs w:val="16"/>
          <w:shd w:val="clear" w:color="auto" w:fill="FFFFFF"/>
        </w:rPr>
        <w:t xml:space="preserve">Caso Contreras y otros Vs. El Salvador, Caso González Medina y familiares Vs. República Dominicana, Caso Masacres de Río Negro Vs. Guatemala, Caso Gudiel Álvarez y otros ("Diario Militar") Vs. Guatemala, Caso Osorio Rivera y Familiares Vs. Perú, Caso Comunidad Campesina de Santa Bárbara Vs. Perú, y </w:t>
      </w:r>
      <w:r w:rsidRPr="00EF190F">
        <w:rPr>
          <w:rStyle w:val="Strong"/>
          <w:b w:val="0"/>
          <w:i/>
          <w:color w:val="000000"/>
          <w:sz w:val="16"/>
          <w:szCs w:val="16"/>
          <w:shd w:val="clear" w:color="auto" w:fill="FFFFFF"/>
        </w:rPr>
        <w:t>Caso Tenorio Roca y otros Vs. Perú</w:t>
      </w:r>
      <w:r w:rsidRPr="00EF190F">
        <w:rPr>
          <w:rStyle w:val="Strong"/>
          <w:b w:val="0"/>
          <w:color w:val="000000"/>
          <w:sz w:val="16"/>
          <w:szCs w:val="16"/>
          <w:shd w:val="clear" w:color="auto" w:fill="FFFFFF"/>
        </w:rPr>
        <w:t>.</w:t>
      </w:r>
    </w:p>
  </w:footnote>
  <w:footnote w:id="179">
    <w:p w:rsidR="006A0E1C" w:rsidRPr="00EF190F" w:rsidRDefault="006A0E1C" w:rsidP="006A0E1C">
      <w:pPr>
        <w:pStyle w:val="FootnoteText"/>
        <w:tabs>
          <w:tab w:val="left" w:pos="45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spacing w:val="-4"/>
          <w:sz w:val="16"/>
          <w:szCs w:val="16"/>
          <w:lang w:val="es-PR"/>
        </w:rPr>
        <w:t>En lo pertinente</w:t>
      </w:r>
      <w:r w:rsidRPr="00EF190F">
        <w:rPr>
          <w:sz w:val="16"/>
          <w:szCs w:val="16"/>
        </w:rPr>
        <w:t>, el artículo I.a) de la CIDFP señala que: “</w:t>
      </w:r>
      <w:r w:rsidRPr="00EF190F">
        <w:rPr>
          <w:rFonts w:cs="Tahoma"/>
          <w:color w:val="000000"/>
          <w:sz w:val="16"/>
          <w:szCs w:val="16"/>
          <w:lang w:val="es-CR" w:eastAsia="en-US"/>
        </w:rPr>
        <w:t>Los Estados Partes en esta Convención se comprometen a: a) No practicar, no permitir, ni tolerar la desaparición forzada de personas, ni aun en estado de emergencia, excepción o suspensión de garantías individuales”.</w:t>
      </w:r>
    </w:p>
  </w:footnote>
  <w:footnote w:id="180">
    <w:p w:rsidR="006A0E1C" w:rsidRPr="00EF190F" w:rsidRDefault="006A0E1C" w:rsidP="006A0E1C">
      <w:pPr>
        <w:pStyle w:val="FootnoteText"/>
        <w:tabs>
          <w:tab w:val="left" w:pos="360"/>
          <w:tab w:val="left" w:pos="426"/>
          <w:tab w:val="left" w:pos="720"/>
        </w:tabs>
        <w:rPr>
          <w:spacing w:val="-4"/>
          <w:sz w:val="16"/>
          <w:szCs w:val="16"/>
          <w:lang w:val="es-PR"/>
        </w:rPr>
      </w:pPr>
      <w:r w:rsidRPr="00EF190F">
        <w:rPr>
          <w:rStyle w:val="FootnoteReference"/>
          <w:spacing w:val="-4"/>
          <w:sz w:val="16"/>
          <w:szCs w:val="16"/>
          <w:lang w:val="es-PR"/>
        </w:rPr>
        <w:footnoteRef/>
      </w:r>
      <w:r w:rsidRPr="00EF190F">
        <w:rPr>
          <w:spacing w:val="-4"/>
          <w:sz w:val="16"/>
          <w:szCs w:val="16"/>
          <w:lang w:val="es-PR"/>
        </w:rPr>
        <w:t xml:space="preserve"> </w:t>
      </w:r>
      <w:r w:rsidRPr="00EF190F">
        <w:rPr>
          <w:spacing w:val="-4"/>
          <w:sz w:val="16"/>
          <w:szCs w:val="16"/>
          <w:lang w:val="es-PR"/>
        </w:rPr>
        <w:tab/>
      </w:r>
      <w:r w:rsidRPr="00EF190F">
        <w:rPr>
          <w:spacing w:val="-4"/>
          <w:sz w:val="16"/>
          <w:szCs w:val="16"/>
          <w:lang w:val="es-PR"/>
        </w:rPr>
        <w:tab/>
      </w:r>
      <w:r w:rsidRPr="00EF190F">
        <w:rPr>
          <w:i/>
          <w:spacing w:val="-4"/>
          <w:sz w:val="16"/>
          <w:szCs w:val="16"/>
          <w:lang w:val="es-PR"/>
        </w:rPr>
        <w:t xml:space="preserve">Cfr. Caso Radilla Pacheco Vs. México, </w:t>
      </w:r>
      <w:r w:rsidRPr="00EF190F">
        <w:rPr>
          <w:spacing w:val="-4"/>
          <w:sz w:val="16"/>
          <w:szCs w:val="16"/>
          <w:lang w:val="es-PR"/>
        </w:rPr>
        <w:t>párr. 161, y</w:t>
      </w:r>
      <w:r w:rsidRPr="00EF190F">
        <w:rPr>
          <w:i/>
          <w:spacing w:val="-4"/>
          <w:sz w:val="16"/>
          <w:szCs w:val="16"/>
          <w:lang w:val="es-PR"/>
        </w:rPr>
        <w:t xml:space="preserve"> Caso Comunidad Campesina de Santa Bárbara Vs. Perú</w:t>
      </w:r>
      <w:r w:rsidRPr="00EF190F">
        <w:rPr>
          <w:rFonts w:eastAsia="Calibri"/>
          <w:iCs/>
          <w:spacing w:val="-4"/>
          <w:sz w:val="16"/>
          <w:szCs w:val="16"/>
          <w:lang w:val="es-PR"/>
        </w:rPr>
        <w:t>, párr. 274.</w:t>
      </w:r>
    </w:p>
  </w:footnote>
  <w:footnote w:id="181">
    <w:p w:rsidR="006A0E1C" w:rsidRPr="00EF190F" w:rsidRDefault="006A0E1C" w:rsidP="006A0E1C">
      <w:pPr>
        <w:pStyle w:val="FootnoteText"/>
        <w:tabs>
          <w:tab w:val="left" w:pos="360"/>
          <w:tab w:val="left" w:pos="426"/>
          <w:tab w:val="left" w:pos="720"/>
        </w:tabs>
        <w:rPr>
          <w:sz w:val="16"/>
          <w:szCs w:val="16"/>
          <w:lang w:val="es-CR"/>
        </w:rPr>
      </w:pPr>
      <w:r w:rsidRPr="00EF190F">
        <w:rPr>
          <w:rStyle w:val="FootnoteReference"/>
          <w:sz w:val="16"/>
          <w:szCs w:val="16"/>
        </w:rPr>
        <w:footnoteRef/>
      </w:r>
      <w:r w:rsidRPr="00EF190F">
        <w:rPr>
          <w:sz w:val="16"/>
          <w:szCs w:val="16"/>
        </w:rPr>
        <w:t xml:space="preserve"> </w:t>
      </w:r>
      <w:r w:rsidRPr="00EF190F">
        <w:rPr>
          <w:sz w:val="16"/>
          <w:szCs w:val="16"/>
          <w:lang w:val="es-CR"/>
        </w:rPr>
        <w:tab/>
      </w:r>
      <w:r w:rsidRPr="00EF190F">
        <w:rPr>
          <w:rFonts w:eastAsia="Calibri" w:cs="Arial"/>
          <w:spacing w:val="-2"/>
          <w:sz w:val="16"/>
          <w:szCs w:val="16"/>
        </w:rPr>
        <w:t xml:space="preserve">Este es el </w:t>
      </w:r>
      <w:r w:rsidRPr="00EF190F">
        <w:rPr>
          <w:spacing w:val="-4"/>
          <w:sz w:val="16"/>
          <w:szCs w:val="16"/>
          <w:lang w:val="es-PR"/>
        </w:rPr>
        <w:t>caso</w:t>
      </w:r>
      <w:r w:rsidRPr="00EF190F">
        <w:rPr>
          <w:rFonts w:eastAsia="Calibri" w:cs="Arial"/>
          <w:spacing w:val="-2"/>
          <w:sz w:val="16"/>
          <w:szCs w:val="16"/>
        </w:rPr>
        <w:t xml:space="preserve"> de: </w:t>
      </w:r>
      <w:r w:rsidRPr="00EF190F">
        <w:rPr>
          <w:rFonts w:eastAsia="Calibri"/>
          <w:sz w:val="16"/>
          <w:szCs w:val="16"/>
          <w:lang w:val="es-CR" w:eastAsia="en-US"/>
        </w:rPr>
        <w:t>José Cruz Mendoza Sucup</w:t>
      </w:r>
      <w:r w:rsidRPr="00EF190F">
        <w:rPr>
          <w:rFonts w:eastAsia="Calibri"/>
          <w:sz w:val="16"/>
          <w:szCs w:val="16"/>
          <w:lang w:eastAsia="en-US"/>
        </w:rPr>
        <w:t xml:space="preserve"> y su hijo</w:t>
      </w:r>
      <w:r w:rsidRPr="00EF190F">
        <w:rPr>
          <w:rFonts w:eastAsia="Calibri" w:cs="Arial"/>
          <w:spacing w:val="-2"/>
          <w:sz w:val="16"/>
          <w:szCs w:val="16"/>
        </w:rPr>
        <w:t xml:space="preserve"> </w:t>
      </w:r>
      <w:r w:rsidRPr="00EF190F">
        <w:rPr>
          <w:rFonts w:eastAsia="Calibri"/>
          <w:sz w:val="16"/>
          <w:szCs w:val="16"/>
          <w:lang w:val="es-CR" w:eastAsia="en-US"/>
        </w:rPr>
        <w:t>Juan Mendoza Alvarado</w:t>
      </w:r>
      <w:r w:rsidRPr="00EF190F">
        <w:rPr>
          <w:rFonts w:eastAsia="Calibri"/>
          <w:sz w:val="16"/>
          <w:szCs w:val="16"/>
          <w:lang w:eastAsia="en-US"/>
        </w:rPr>
        <w:t xml:space="preserve">; </w:t>
      </w:r>
      <w:r w:rsidRPr="00EF190F">
        <w:rPr>
          <w:rFonts w:eastAsia="Calibri"/>
          <w:sz w:val="16"/>
          <w:szCs w:val="16"/>
          <w:lang w:val="es-CR" w:eastAsia="en-US"/>
        </w:rPr>
        <w:t>María Concepción Chen Sic</w:t>
      </w:r>
      <w:r w:rsidRPr="00EF190F">
        <w:rPr>
          <w:rFonts w:eastAsia="Calibri"/>
          <w:sz w:val="16"/>
          <w:szCs w:val="16"/>
          <w:lang w:eastAsia="en-US"/>
        </w:rPr>
        <w:t xml:space="preserve"> y su hijo </w:t>
      </w:r>
      <w:r w:rsidRPr="00EF190F">
        <w:rPr>
          <w:rFonts w:eastAsia="Calibri"/>
          <w:sz w:val="16"/>
          <w:szCs w:val="16"/>
          <w:lang w:val="es-CR" w:eastAsia="en-US"/>
        </w:rPr>
        <w:t>Marcelo Sic Chen</w:t>
      </w:r>
      <w:r w:rsidRPr="00EF190F">
        <w:rPr>
          <w:rFonts w:eastAsia="Calibri"/>
          <w:sz w:val="16"/>
          <w:szCs w:val="16"/>
          <w:lang w:eastAsia="en-US"/>
        </w:rPr>
        <w:t>;</w:t>
      </w:r>
      <w:r w:rsidRPr="00EF190F">
        <w:rPr>
          <w:rFonts w:eastAsia="Calibri"/>
          <w:sz w:val="16"/>
          <w:szCs w:val="16"/>
          <w:lang w:val="es-CR" w:eastAsia="en-US"/>
        </w:rPr>
        <w:t xml:space="preserve"> </w:t>
      </w:r>
      <w:r w:rsidRPr="00EF190F">
        <w:rPr>
          <w:sz w:val="16"/>
          <w:szCs w:val="16"/>
          <w:lang w:val="es-CR"/>
        </w:rPr>
        <w:t>Adrián García Manuel</w:t>
      </w:r>
      <w:r w:rsidRPr="00EF190F">
        <w:rPr>
          <w:sz w:val="16"/>
          <w:szCs w:val="16"/>
        </w:rPr>
        <w:t>,</w:t>
      </w:r>
      <w:r w:rsidRPr="00EF190F">
        <w:rPr>
          <w:sz w:val="16"/>
          <w:szCs w:val="16"/>
          <w:lang w:val="es-CR"/>
        </w:rPr>
        <w:t xml:space="preserve"> su hijo Hugo García Depaz</w:t>
      </w:r>
      <w:r w:rsidRPr="00EF190F">
        <w:rPr>
          <w:sz w:val="16"/>
          <w:szCs w:val="16"/>
        </w:rPr>
        <w:t xml:space="preserve"> y</w:t>
      </w:r>
      <w:r w:rsidRPr="00EF190F">
        <w:rPr>
          <w:sz w:val="16"/>
          <w:szCs w:val="16"/>
          <w:lang w:val="es-CR"/>
        </w:rPr>
        <w:t xml:space="preserve"> su sobrino Abraham Alvarado Tecú (o </w:t>
      </w:r>
      <w:r w:rsidRPr="00EF190F">
        <w:rPr>
          <w:rFonts w:cs="Calibri"/>
          <w:sz w:val="16"/>
          <w:szCs w:val="16"/>
          <w:lang w:val="es-CR"/>
        </w:rPr>
        <w:t>Agapito Alvarado Depáz)</w:t>
      </w:r>
      <w:r w:rsidRPr="00EF190F">
        <w:rPr>
          <w:rFonts w:eastAsia="Calibri"/>
          <w:sz w:val="16"/>
          <w:szCs w:val="16"/>
          <w:lang w:eastAsia="en-US"/>
        </w:rPr>
        <w:t xml:space="preserve">; y </w:t>
      </w:r>
      <w:r w:rsidRPr="00EF190F">
        <w:rPr>
          <w:sz w:val="16"/>
          <w:szCs w:val="16"/>
          <w:lang w:val="es-CR"/>
        </w:rPr>
        <w:t>Manuel de Jesús</w:t>
      </w:r>
      <w:r w:rsidRPr="00EF190F">
        <w:rPr>
          <w:rFonts w:eastAsia="Arial" w:cs="Arial"/>
          <w:sz w:val="16"/>
          <w:szCs w:val="16"/>
          <w:lang w:val="es-CR"/>
        </w:rPr>
        <w:t xml:space="preserve"> </w:t>
      </w:r>
      <w:r w:rsidRPr="00EF190F">
        <w:rPr>
          <w:sz w:val="16"/>
          <w:szCs w:val="16"/>
          <w:lang w:val="es-CR"/>
        </w:rPr>
        <w:t xml:space="preserve">Alarcón Morente y su hermano </w:t>
      </w:r>
      <w:r w:rsidRPr="00EF190F">
        <w:rPr>
          <w:rFonts w:eastAsia="Arial" w:cs="Arial"/>
          <w:sz w:val="16"/>
          <w:szCs w:val="16"/>
          <w:lang w:val="es-CR"/>
        </w:rPr>
        <w:t xml:space="preserve">Edmundo </w:t>
      </w:r>
      <w:r w:rsidRPr="00EF190F">
        <w:rPr>
          <w:rFonts w:cs="Calibri"/>
          <w:sz w:val="16"/>
          <w:szCs w:val="16"/>
          <w:lang w:val="es-CR"/>
        </w:rPr>
        <w:t>o Raymundo</w:t>
      </w:r>
      <w:r w:rsidRPr="00EF190F">
        <w:rPr>
          <w:rFonts w:eastAsia="Arial" w:cs="Arial"/>
          <w:sz w:val="16"/>
          <w:szCs w:val="16"/>
          <w:lang w:val="es-CR"/>
        </w:rPr>
        <w:t xml:space="preserve"> </w:t>
      </w:r>
      <w:r w:rsidRPr="00EF190F">
        <w:rPr>
          <w:sz w:val="16"/>
          <w:szCs w:val="16"/>
          <w:lang w:val="es-CR"/>
        </w:rPr>
        <w:t>Alarcón Morente</w:t>
      </w:r>
    </w:p>
  </w:footnote>
  <w:footnote w:id="182">
    <w:p w:rsidR="006A0E1C" w:rsidRPr="00EF190F" w:rsidRDefault="006A0E1C" w:rsidP="006A0E1C">
      <w:pPr>
        <w:pStyle w:val="FootnoteText"/>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Este es el caso de:</w:t>
      </w:r>
      <w:r w:rsidRPr="00EF190F">
        <w:rPr>
          <w:rFonts w:eastAsia="Calibri"/>
          <w:iCs/>
          <w:sz w:val="16"/>
          <w:szCs w:val="16"/>
          <w:lang w:eastAsia="en-US"/>
        </w:rPr>
        <w:t xml:space="preserve"> </w:t>
      </w:r>
      <w:r w:rsidRPr="00EF190F">
        <w:rPr>
          <w:rFonts w:eastAsia="Calibri"/>
          <w:iCs/>
          <w:sz w:val="16"/>
          <w:szCs w:val="16"/>
          <w:lang w:val="es-CR" w:eastAsia="en-US"/>
        </w:rPr>
        <w:t>Juan Pérez Sic</w:t>
      </w:r>
      <w:r w:rsidRPr="00EF190F">
        <w:rPr>
          <w:rFonts w:eastAsia="Calibri"/>
          <w:iCs/>
          <w:sz w:val="16"/>
          <w:szCs w:val="16"/>
          <w:lang w:eastAsia="en-US"/>
        </w:rPr>
        <w:t xml:space="preserve">, </w:t>
      </w:r>
      <w:r w:rsidRPr="00EF190F">
        <w:rPr>
          <w:rFonts w:eastAsia="Calibri"/>
          <w:sz w:val="16"/>
          <w:szCs w:val="16"/>
          <w:lang w:val="es-CR" w:eastAsia="en-US"/>
        </w:rPr>
        <w:t>Lorenzo Depaz Siprian</w:t>
      </w:r>
      <w:r w:rsidRPr="00EF190F">
        <w:rPr>
          <w:rFonts w:eastAsia="Calibri"/>
          <w:sz w:val="16"/>
          <w:szCs w:val="16"/>
          <w:lang w:eastAsia="en-US"/>
        </w:rPr>
        <w:t xml:space="preserve">, </w:t>
      </w:r>
      <w:r w:rsidRPr="00EF190F">
        <w:rPr>
          <w:rFonts w:eastAsia="Calibri"/>
          <w:sz w:val="16"/>
          <w:szCs w:val="16"/>
          <w:lang w:val="es-CR" w:eastAsia="en-US"/>
        </w:rPr>
        <w:t>Leonardo Cahuec Gonzalés</w:t>
      </w:r>
      <w:r w:rsidRPr="00EF190F">
        <w:rPr>
          <w:rFonts w:eastAsia="Calibri"/>
          <w:sz w:val="16"/>
          <w:szCs w:val="16"/>
          <w:lang w:eastAsia="en-US"/>
        </w:rPr>
        <w:t xml:space="preserve">, </w:t>
      </w:r>
      <w:r w:rsidRPr="00EF190F">
        <w:rPr>
          <w:rFonts w:eastAsia="Calibri"/>
          <w:sz w:val="16"/>
          <w:szCs w:val="16"/>
          <w:lang w:val="es-CR" w:eastAsia="en-US"/>
        </w:rPr>
        <w:t>Juan Mendoza Alvarado y su padre José Cruz Mendoza Sucup</w:t>
      </w:r>
      <w:r w:rsidRPr="00EF190F">
        <w:rPr>
          <w:rFonts w:eastAsia="Calibri"/>
          <w:sz w:val="16"/>
          <w:szCs w:val="16"/>
          <w:lang w:eastAsia="en-US"/>
        </w:rPr>
        <w:t xml:space="preserve">, </w:t>
      </w:r>
      <w:r w:rsidRPr="00EF190F">
        <w:rPr>
          <w:rFonts w:eastAsia="Calibri"/>
          <w:sz w:val="16"/>
          <w:szCs w:val="16"/>
          <w:lang w:val="es-CR" w:eastAsia="en-US"/>
        </w:rPr>
        <w:t>María Concepción Chen Sic</w:t>
      </w:r>
      <w:r w:rsidRPr="00EF190F">
        <w:rPr>
          <w:rFonts w:eastAsia="Calibri"/>
          <w:sz w:val="16"/>
          <w:szCs w:val="16"/>
          <w:lang w:eastAsia="en-US"/>
        </w:rPr>
        <w:t xml:space="preserve">, </w:t>
      </w:r>
      <w:r w:rsidRPr="00EF190F">
        <w:rPr>
          <w:rFonts w:eastAsia="Calibri"/>
          <w:sz w:val="16"/>
          <w:szCs w:val="16"/>
          <w:lang w:val="es-CR" w:eastAsia="en-US"/>
        </w:rPr>
        <w:t>Casimiro Siana</w:t>
      </w:r>
      <w:r w:rsidRPr="00EF190F">
        <w:rPr>
          <w:rFonts w:eastAsia="Calibri"/>
          <w:sz w:val="16"/>
          <w:szCs w:val="16"/>
          <w:lang w:eastAsia="en-US"/>
        </w:rPr>
        <w:t xml:space="preserve">, </w:t>
      </w:r>
      <w:r w:rsidRPr="00EF190F">
        <w:rPr>
          <w:rFonts w:eastAsia="Calibri"/>
          <w:iCs/>
          <w:sz w:val="16"/>
          <w:szCs w:val="16"/>
          <w:lang w:val="es-CR" w:eastAsia="en-US"/>
        </w:rPr>
        <w:t xml:space="preserve">Cruz Pérez Ampérez, Gorgonio Gonzalez Gonzalez, Jorge Galeano Román, </w:t>
      </w:r>
      <w:r w:rsidRPr="00EF190F">
        <w:rPr>
          <w:sz w:val="16"/>
          <w:szCs w:val="16"/>
          <w:lang w:val="es-CR"/>
        </w:rPr>
        <w:t>Eustaquio lxtecoc Gonzalez</w:t>
      </w:r>
      <w:r w:rsidRPr="00EF190F">
        <w:rPr>
          <w:rFonts w:cs="Calibri"/>
          <w:sz w:val="16"/>
          <w:szCs w:val="16"/>
          <w:lang w:val="es-CR"/>
        </w:rPr>
        <w:t>,</w:t>
      </w:r>
      <w:r w:rsidRPr="00EF190F">
        <w:rPr>
          <w:rFonts w:eastAsia="Calibri"/>
          <w:iCs/>
          <w:sz w:val="16"/>
          <w:szCs w:val="16"/>
          <w:lang w:val="es-CR" w:eastAsia="en-US"/>
        </w:rPr>
        <w:t xml:space="preserve"> Rafael Depaz Tecú, Enrique Mendoza Sis, </w:t>
      </w:r>
      <w:r w:rsidRPr="00EF190F">
        <w:rPr>
          <w:sz w:val="16"/>
          <w:szCs w:val="16"/>
          <w:lang w:val="es-CR"/>
        </w:rPr>
        <w:t>Gabino Román Yvoy</w:t>
      </w:r>
      <w:r w:rsidRPr="00EF190F">
        <w:rPr>
          <w:sz w:val="16"/>
          <w:szCs w:val="16"/>
        </w:rPr>
        <w:t>,</w:t>
      </w:r>
      <w:r w:rsidRPr="00EF190F">
        <w:rPr>
          <w:sz w:val="16"/>
          <w:szCs w:val="16"/>
          <w:lang w:val="es-CR"/>
        </w:rPr>
        <w:t xml:space="preserve"> </w:t>
      </w:r>
      <w:r w:rsidRPr="00EF190F">
        <w:rPr>
          <w:rFonts w:eastAsia="Calibri"/>
          <w:iCs/>
          <w:sz w:val="16"/>
          <w:szCs w:val="16"/>
          <w:lang w:val="es-CR" w:eastAsia="en-US"/>
        </w:rPr>
        <w:t>Dionicio Vachan</w:t>
      </w:r>
      <w:r w:rsidRPr="00EF190F">
        <w:rPr>
          <w:rFonts w:eastAsia="Calibri"/>
          <w:iCs/>
          <w:sz w:val="16"/>
          <w:szCs w:val="16"/>
          <w:lang w:eastAsia="en-US"/>
        </w:rPr>
        <w:t>.</w:t>
      </w:r>
    </w:p>
  </w:footnote>
  <w:footnote w:id="183">
    <w:p w:rsidR="006A0E1C" w:rsidRPr="00EF190F" w:rsidRDefault="006A0E1C" w:rsidP="006A0E1C">
      <w:pPr>
        <w:pStyle w:val="FootnoteText"/>
        <w:tabs>
          <w:tab w:val="left" w:pos="360"/>
        </w:tabs>
        <w:rPr>
          <w:b/>
          <w:sz w:val="16"/>
          <w:szCs w:val="16"/>
          <w:u w:val="single"/>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sz w:val="16"/>
          <w:szCs w:val="16"/>
          <w:lang w:val="es-CR"/>
        </w:rPr>
        <w:tab/>
      </w:r>
      <w:r w:rsidRPr="00EF190F">
        <w:rPr>
          <w:rFonts w:cs="Arial"/>
          <w:sz w:val="16"/>
          <w:szCs w:val="16"/>
        </w:rPr>
        <w:t>Al respecto, la psicóloga Nieves Gómez Dupuis explicó que “[e</w:t>
      </w:r>
      <w:r w:rsidRPr="00EF190F">
        <w:rPr>
          <w:sz w:val="16"/>
          <w:szCs w:val="16"/>
        </w:rPr>
        <w:t xml:space="preserve">]n la cultura maya achí existe una especial relación entre vivos </w:t>
      </w:r>
      <w:r w:rsidRPr="00EF190F">
        <w:rPr>
          <w:rFonts w:cs="Arial"/>
          <w:sz w:val="16"/>
          <w:szCs w:val="16"/>
        </w:rPr>
        <w:t xml:space="preserve">y </w:t>
      </w:r>
      <w:r w:rsidRPr="00EF190F">
        <w:rPr>
          <w:sz w:val="16"/>
          <w:szCs w:val="16"/>
        </w:rPr>
        <w:t xml:space="preserve">muertos. Los vivos están encargados de velar, dar digna sepultura a los muertos y llegar a visitarlos en los días señalados para ello. Los entierros se llevan a cabo por la familia </w:t>
      </w:r>
      <w:r w:rsidRPr="00EF190F">
        <w:rPr>
          <w:rFonts w:cs="Arial"/>
          <w:sz w:val="16"/>
          <w:szCs w:val="16"/>
        </w:rPr>
        <w:t xml:space="preserve">y </w:t>
      </w:r>
      <w:r w:rsidRPr="00EF190F">
        <w:rPr>
          <w:sz w:val="16"/>
          <w:szCs w:val="16"/>
        </w:rPr>
        <w:t xml:space="preserve">la comunidad con rituales para acompañar el paso entre la vida </w:t>
      </w:r>
      <w:r w:rsidRPr="00EF190F">
        <w:rPr>
          <w:rFonts w:cs="Arial"/>
          <w:sz w:val="16"/>
          <w:szCs w:val="16"/>
        </w:rPr>
        <w:t xml:space="preserve">y </w:t>
      </w:r>
      <w:r w:rsidRPr="00EF190F">
        <w:rPr>
          <w:sz w:val="16"/>
          <w:szCs w:val="16"/>
        </w:rPr>
        <w:t>la muerte. A su vez, los difuntos y los ancestros, en una relación de reciprocidad se encargan de proteger a los vivos,</w:t>
      </w:r>
      <w:r w:rsidRPr="00EF190F">
        <w:rPr>
          <w:rFonts w:cs="Arial"/>
          <w:sz w:val="16"/>
          <w:szCs w:val="16"/>
        </w:rPr>
        <w:t xml:space="preserve"> </w:t>
      </w:r>
      <w:r w:rsidRPr="00EF190F">
        <w:rPr>
          <w:sz w:val="16"/>
          <w:szCs w:val="16"/>
        </w:rPr>
        <w:t xml:space="preserve">dándoles avisos y consejos para su vida diaria. Las relaciones de reciprocidad y armonía están también presentes entre la naturaleza, el cosmos </w:t>
      </w:r>
      <w:r w:rsidRPr="00EF190F">
        <w:rPr>
          <w:rFonts w:cs="Arial"/>
          <w:sz w:val="16"/>
          <w:szCs w:val="16"/>
        </w:rPr>
        <w:t xml:space="preserve">y </w:t>
      </w:r>
      <w:r w:rsidRPr="00EF190F">
        <w:rPr>
          <w:sz w:val="16"/>
          <w:szCs w:val="16"/>
        </w:rPr>
        <w:t>los seres</w:t>
      </w:r>
      <w:r w:rsidRPr="00EF190F">
        <w:rPr>
          <w:rFonts w:cs="Arial"/>
          <w:sz w:val="16"/>
          <w:szCs w:val="16"/>
        </w:rPr>
        <w:t xml:space="preserve"> </w:t>
      </w:r>
      <w:r w:rsidRPr="00EF190F">
        <w:rPr>
          <w:sz w:val="16"/>
          <w:szCs w:val="16"/>
        </w:rPr>
        <w:t>humanos”</w:t>
      </w:r>
      <w:r w:rsidRPr="00EF190F">
        <w:rPr>
          <w:i/>
          <w:sz w:val="16"/>
          <w:szCs w:val="16"/>
          <w:lang w:val="es-CR"/>
        </w:rPr>
        <w:t xml:space="preserve">Cfr. </w:t>
      </w:r>
      <w:r w:rsidRPr="00EF190F">
        <w:rPr>
          <w:sz w:val="16"/>
          <w:szCs w:val="16"/>
          <w:lang w:val="es-CR"/>
        </w:rPr>
        <w:t>Informe sobre el daño a la salud mental (moral) elaborado por la psicóloga Nieves Gómez Dupuis el 5 de mayo de 2010 y presentado ante la Comisión Interamericana (expediente de prueba, folios 1313 y 1321).</w:t>
      </w:r>
    </w:p>
  </w:footnote>
  <w:footnote w:id="184">
    <w:p w:rsidR="006A0E1C" w:rsidRPr="00EF190F" w:rsidRDefault="006A0E1C" w:rsidP="006A0E1C">
      <w:pPr>
        <w:pStyle w:val="FootnoteText"/>
        <w:rPr>
          <w:sz w:val="16"/>
          <w:szCs w:val="16"/>
          <w:lang w:val="es-CR"/>
        </w:rPr>
      </w:pPr>
      <w:r w:rsidRPr="00EF190F">
        <w:rPr>
          <w:rStyle w:val="FootnoteReference"/>
          <w:sz w:val="16"/>
          <w:szCs w:val="16"/>
        </w:rPr>
        <w:footnoteRef/>
      </w:r>
      <w:r w:rsidRPr="00EF190F">
        <w:rPr>
          <w:sz w:val="16"/>
          <w:szCs w:val="16"/>
        </w:rPr>
        <w:t xml:space="preserve"> </w:t>
      </w:r>
      <w:r w:rsidRPr="00EF190F">
        <w:rPr>
          <w:sz w:val="16"/>
          <w:szCs w:val="16"/>
          <w:lang w:val="es-CR"/>
        </w:rPr>
        <w:tab/>
      </w:r>
      <w:r w:rsidRPr="00EF190F">
        <w:rPr>
          <w:sz w:val="16"/>
          <w:szCs w:val="16"/>
        </w:rPr>
        <w:t>En lo pertinente, el artículo 22.1 de la Convención establece: “Toda persona que se halle legalmente en el territorio de un Estado tiene derecho a circular por el mismo y, a residir en él con sujeción a las disposiciones legales”.</w:t>
      </w:r>
    </w:p>
  </w:footnote>
  <w:footnote w:id="185">
    <w:p w:rsidR="006A0E1C" w:rsidRPr="00EF190F" w:rsidRDefault="006A0E1C" w:rsidP="006A0E1C">
      <w:pPr>
        <w:pStyle w:val="FootnoteText"/>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En lo pertinente el artículo 22.1 de la Convención establece: “Toda persona que se halle legalmente en el territorio de un Estado tiene derecho a circular por el mismo y, a residir en él con sujeción a las disposiciones legales”.</w:t>
      </w:r>
    </w:p>
  </w:footnote>
  <w:footnote w:id="186">
    <w:p w:rsidR="006A0E1C" w:rsidRPr="00EF190F" w:rsidRDefault="006A0E1C" w:rsidP="006A0E1C">
      <w:pPr>
        <w:pStyle w:val="FootnoteText"/>
        <w:rPr>
          <w:sz w:val="16"/>
          <w:szCs w:val="16"/>
          <w:lang w:val="es-GT"/>
        </w:rPr>
      </w:pPr>
      <w:r w:rsidRPr="00EF190F">
        <w:rPr>
          <w:rStyle w:val="FootnoteReference"/>
          <w:sz w:val="16"/>
          <w:szCs w:val="16"/>
        </w:rPr>
        <w:footnoteRef/>
      </w:r>
      <w:r w:rsidRPr="00EF190F">
        <w:rPr>
          <w:sz w:val="16"/>
          <w:szCs w:val="16"/>
          <w:lang w:val="es-GT"/>
        </w:rPr>
        <w:t xml:space="preserve"> </w:t>
      </w:r>
      <w:r w:rsidRPr="00EF190F">
        <w:rPr>
          <w:sz w:val="16"/>
          <w:szCs w:val="16"/>
          <w:lang w:val="es-GT"/>
        </w:rPr>
        <w:tab/>
      </w:r>
      <w:r w:rsidRPr="00EF190F">
        <w:rPr>
          <w:i/>
          <w:sz w:val="16"/>
          <w:szCs w:val="16"/>
        </w:rPr>
        <w:t>Cfr.</w:t>
      </w:r>
      <w:r w:rsidRPr="00EF190F">
        <w:rPr>
          <w:sz w:val="16"/>
          <w:szCs w:val="16"/>
          <w:lang w:val="es-PE"/>
        </w:rPr>
        <w:t xml:space="preserve"> </w:t>
      </w:r>
      <w:r w:rsidRPr="00EF190F">
        <w:rPr>
          <w:bCs/>
          <w:i/>
          <w:sz w:val="16"/>
          <w:szCs w:val="16"/>
          <w:lang w:val="es-CR"/>
        </w:rPr>
        <w:t xml:space="preserve">Caso de las Masacres de Ituango Vs. Colombia. </w:t>
      </w:r>
      <w:r w:rsidRPr="00EF190F">
        <w:rPr>
          <w:bCs/>
          <w:sz w:val="16"/>
          <w:szCs w:val="16"/>
          <w:lang w:val="es-CR"/>
        </w:rPr>
        <w:t>Sentencia de 1 de julio de 2006. Serie C No. 148</w:t>
      </w:r>
      <w:r w:rsidRPr="00EF190F">
        <w:rPr>
          <w:i/>
          <w:sz w:val="16"/>
          <w:szCs w:val="16"/>
        </w:rPr>
        <w:t xml:space="preserve">, </w:t>
      </w:r>
      <w:r w:rsidRPr="00EF190F">
        <w:rPr>
          <w:sz w:val="16"/>
          <w:szCs w:val="16"/>
          <w:lang w:val="es-GT"/>
        </w:rPr>
        <w:t>párr. 207, y</w:t>
      </w:r>
      <w:r w:rsidRPr="00EF190F">
        <w:rPr>
          <w:sz w:val="16"/>
          <w:szCs w:val="16"/>
        </w:rPr>
        <w:t xml:space="preserve"> </w:t>
      </w:r>
      <w:r w:rsidRPr="00EF190F">
        <w:rPr>
          <w:bCs/>
          <w:i/>
          <w:sz w:val="16"/>
          <w:szCs w:val="16"/>
          <w:lang w:val="es-CR"/>
        </w:rPr>
        <w:t>Caso de las comunidades afrodescendientes desplazadas de la Cuenca del Río Cacarica (Operación Génesis) Vs. Colombia</w:t>
      </w:r>
      <w:r w:rsidRPr="00EF190F">
        <w:rPr>
          <w:bCs/>
          <w:sz w:val="16"/>
          <w:szCs w:val="16"/>
          <w:lang w:val="es-CR"/>
        </w:rPr>
        <w:t xml:space="preserve">, </w:t>
      </w:r>
      <w:r w:rsidRPr="00EF190F">
        <w:rPr>
          <w:sz w:val="16"/>
          <w:szCs w:val="16"/>
          <w:lang w:val="es-GT"/>
        </w:rPr>
        <w:t>párr. 219</w:t>
      </w:r>
      <w:r w:rsidRPr="00EF190F">
        <w:rPr>
          <w:sz w:val="16"/>
          <w:szCs w:val="16"/>
          <w:lang w:val="es-PE"/>
        </w:rPr>
        <w:t>.</w:t>
      </w:r>
    </w:p>
  </w:footnote>
  <w:footnote w:id="187">
    <w:p w:rsidR="006A0E1C" w:rsidRPr="00EF190F" w:rsidRDefault="006A0E1C" w:rsidP="006A0E1C">
      <w:pPr>
        <w:autoSpaceDE w:val="0"/>
        <w:autoSpaceDN w:val="0"/>
        <w:spacing w:line="240" w:lineRule="auto"/>
        <w:rPr>
          <w:sz w:val="16"/>
          <w:szCs w:val="16"/>
          <w:lang w:val="en-US"/>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Cfr.</w:t>
      </w:r>
      <w:r w:rsidRPr="00EF190F">
        <w:rPr>
          <w:sz w:val="16"/>
          <w:szCs w:val="16"/>
          <w:lang w:val="es-PE"/>
        </w:rPr>
        <w:t xml:space="preserve"> </w:t>
      </w:r>
      <w:r w:rsidRPr="00EF190F">
        <w:rPr>
          <w:sz w:val="16"/>
          <w:szCs w:val="16"/>
        </w:rPr>
        <w:t xml:space="preserve">Comisión de Derechos Humanos, </w:t>
      </w:r>
      <w:r w:rsidRPr="00EF190F">
        <w:rPr>
          <w:sz w:val="16"/>
          <w:szCs w:val="16"/>
          <w:lang w:val="es-PE"/>
        </w:rPr>
        <w:t xml:space="preserve">Principios Rectores de los Desplazamientos Internos de las Naciones Unidas, E/CN.4/1998/53/Add.2 de 11 de febrero de 1998, p. 5. Anexo. Introducción: alcance y finalidad. Numeral 2.  </w:t>
      </w:r>
      <w:r w:rsidRPr="00EF190F">
        <w:rPr>
          <w:sz w:val="16"/>
          <w:szCs w:val="16"/>
        </w:rPr>
        <w:t xml:space="preserve">Disponible en: </w:t>
      </w:r>
      <w:hyperlink r:id="rId2" w:tooltip="http://www.hchr.org.co/documentoseinformes/documentos/html/informes/onu/resdi/E-CN-4-1998-53-ADD-2.html" w:history="1">
        <w:r w:rsidRPr="00EF190F">
          <w:rPr>
            <w:rStyle w:val="Hyperlink"/>
            <w:color w:val="auto"/>
            <w:sz w:val="16"/>
            <w:szCs w:val="16"/>
            <w:u w:val="none"/>
            <w:lang w:val="es-AR"/>
          </w:rPr>
          <w:t>http://www.hchr.org.co/documentoseinformes/documentos/html/informes/onu/resdi/E-CN-4-1998-53-ADD-2.html</w:t>
        </w:r>
      </w:hyperlink>
      <w:r w:rsidRPr="00EF190F">
        <w:rPr>
          <w:sz w:val="16"/>
          <w:szCs w:val="16"/>
          <w:lang w:val="es-AR"/>
        </w:rPr>
        <w:t xml:space="preserve">. </w:t>
      </w:r>
      <w:r w:rsidRPr="00EF190F">
        <w:rPr>
          <w:sz w:val="16"/>
          <w:szCs w:val="16"/>
        </w:rPr>
        <w:t xml:space="preserve">Dichos principios han sido reconocidos por la comunidad internacional. </w:t>
      </w:r>
      <w:r w:rsidRPr="00EF190F">
        <w:rPr>
          <w:i/>
          <w:sz w:val="16"/>
          <w:szCs w:val="16"/>
        </w:rPr>
        <w:t xml:space="preserve"> Véase también</w:t>
      </w:r>
      <w:r w:rsidRPr="00EF190F">
        <w:rPr>
          <w:sz w:val="16"/>
          <w:szCs w:val="16"/>
        </w:rPr>
        <w:t xml:space="preserve">: Naciones Unidas, Asamblea General, </w:t>
      </w:r>
      <w:r w:rsidRPr="00EF190F">
        <w:rPr>
          <w:rFonts w:cs="Arial"/>
          <w:sz w:val="16"/>
          <w:szCs w:val="16"/>
        </w:rPr>
        <w:t>Protección y asistencia para los desplazados internos</w:t>
      </w:r>
      <w:r w:rsidRPr="00EF190F">
        <w:rPr>
          <w:rFonts w:cs="TimesNewRoman,Bold"/>
          <w:bCs/>
          <w:sz w:val="16"/>
          <w:szCs w:val="16"/>
        </w:rPr>
        <w:t>,</w:t>
      </w:r>
      <w:r w:rsidRPr="00EF190F">
        <w:rPr>
          <w:sz w:val="16"/>
          <w:szCs w:val="16"/>
        </w:rPr>
        <w:t xml:space="preserve"> </w:t>
      </w:r>
      <w:r w:rsidRPr="00EF190F">
        <w:rPr>
          <w:rFonts w:cs="TimesNewRoman"/>
          <w:sz w:val="16"/>
          <w:szCs w:val="16"/>
        </w:rPr>
        <w:t>A/RES/64/162, de 17 de marzo de 2010, p.1.</w:t>
      </w:r>
      <w:r w:rsidRPr="00EF190F">
        <w:rPr>
          <w:rFonts w:cs="Arial"/>
          <w:sz w:val="16"/>
          <w:szCs w:val="16"/>
        </w:rPr>
        <w:t xml:space="preserve"> </w:t>
      </w:r>
      <w:r w:rsidRPr="00EF190F">
        <w:rPr>
          <w:rFonts w:cs="TimesNewRoman"/>
          <w:sz w:val="16"/>
          <w:szCs w:val="16"/>
          <w:lang w:val="en-US"/>
        </w:rPr>
        <w:t>Disponible en: https://search.coe.int/cm/Pages/result_details.aspx?ObjectID=09000016805d8265</w:t>
      </w:r>
      <w:r w:rsidRPr="00EF190F">
        <w:rPr>
          <w:sz w:val="16"/>
          <w:szCs w:val="16"/>
          <w:lang w:val="en-US"/>
        </w:rPr>
        <w:t xml:space="preserve">; Council of Europe, Committee of Ministers, Recommendation Rec (2006) to member states on internally displaced persons, 5 April 2006.  </w:t>
      </w:r>
    </w:p>
    <w:p w:rsidR="006A0E1C" w:rsidRPr="00EF190F" w:rsidRDefault="006A0E1C" w:rsidP="006A0E1C">
      <w:pPr>
        <w:autoSpaceDE w:val="0"/>
        <w:autoSpaceDN w:val="0"/>
        <w:spacing w:line="240" w:lineRule="auto"/>
        <w:rPr>
          <w:sz w:val="16"/>
          <w:szCs w:val="16"/>
          <w:lang w:val="en-US"/>
        </w:rPr>
      </w:pPr>
      <w:r w:rsidRPr="00EF190F">
        <w:rPr>
          <w:sz w:val="16"/>
          <w:szCs w:val="16"/>
          <w:lang w:val="en-US"/>
        </w:rPr>
        <w:t xml:space="preserve">Disponible en: </w:t>
      </w:r>
    </w:p>
    <w:p w:rsidR="006A0E1C" w:rsidRPr="00EF190F" w:rsidRDefault="006A0E1C" w:rsidP="006A0E1C">
      <w:pPr>
        <w:autoSpaceDE w:val="0"/>
        <w:autoSpaceDN w:val="0"/>
        <w:spacing w:line="240" w:lineRule="auto"/>
        <w:rPr>
          <w:sz w:val="16"/>
          <w:szCs w:val="16"/>
          <w:lang w:val="es-ES_tradnl"/>
        </w:rPr>
      </w:pPr>
      <w:r w:rsidRPr="00EF190F">
        <w:rPr>
          <w:sz w:val="16"/>
          <w:szCs w:val="16"/>
          <w:lang w:val="en-US"/>
        </w:rPr>
        <w:t xml:space="preserve">https://wcd.coe.int/ViewDoc.jsp?id=987573&amp;BackColorInternet=9999CC&amp;BackColorIntranet=FFBB55&amp;BackColorLogged=FFAC75; African Union, </w:t>
      </w:r>
      <w:r w:rsidRPr="00EF190F">
        <w:rPr>
          <w:i/>
          <w:sz w:val="16"/>
          <w:szCs w:val="16"/>
          <w:lang w:val="en-US"/>
        </w:rPr>
        <w:t>Convention for the Protection and Assistance of Internally Displaced Persons in Africa (Kampala Convention),</w:t>
      </w:r>
      <w:r w:rsidRPr="00EF190F">
        <w:rPr>
          <w:sz w:val="16"/>
          <w:szCs w:val="16"/>
          <w:lang w:val="en-US"/>
        </w:rPr>
        <w:t xml:space="preserve"> 23 October 2009, article 1, K). </w:t>
      </w:r>
      <w:r w:rsidRPr="00EF190F">
        <w:rPr>
          <w:sz w:val="16"/>
          <w:szCs w:val="16"/>
        </w:rPr>
        <w:t xml:space="preserve">Disponible en: </w:t>
      </w:r>
      <w:hyperlink r:id="rId3" w:history="1">
        <w:r w:rsidRPr="00EF190F">
          <w:rPr>
            <w:rStyle w:val="Hyperlink"/>
            <w:color w:val="auto"/>
            <w:sz w:val="16"/>
            <w:szCs w:val="16"/>
            <w:u w:val="none"/>
          </w:rPr>
          <w:t>http://www.unhcr.org/4ae9bede9.html</w:t>
        </w:r>
      </w:hyperlink>
      <w:r w:rsidRPr="00EF190F">
        <w:rPr>
          <w:sz w:val="16"/>
          <w:szCs w:val="16"/>
        </w:rPr>
        <w:t xml:space="preserve">; </w:t>
      </w:r>
      <w:r w:rsidRPr="00EF190F">
        <w:rPr>
          <w:sz w:val="16"/>
          <w:szCs w:val="16"/>
          <w:lang w:val="es-ES_tradnl"/>
        </w:rPr>
        <w:t>Consejo de Derechos Humanos, Informe presentado por el representante del Secretario General sobre los derechos humanos de los desplazados internos, Walter Kalin. A/HRC/13/21/Add.3, p. 4. II.4</w:t>
      </w:r>
      <w:r w:rsidRPr="00EF190F">
        <w:rPr>
          <w:i/>
          <w:sz w:val="16"/>
          <w:szCs w:val="16"/>
          <w:lang w:val="es-ES_tradnl"/>
        </w:rPr>
        <w:t xml:space="preserve">. </w:t>
      </w:r>
      <w:r w:rsidRPr="00EF190F">
        <w:rPr>
          <w:sz w:val="16"/>
          <w:szCs w:val="16"/>
          <w:lang w:val="es-ES_tradnl"/>
        </w:rPr>
        <w:t xml:space="preserve">Disponible en: http://www.acnur.es/PDF/8151_20120416132838.pdf.  </w:t>
      </w:r>
    </w:p>
  </w:footnote>
  <w:footnote w:id="188">
    <w:p w:rsidR="006A0E1C" w:rsidRPr="00EF190F" w:rsidRDefault="006A0E1C" w:rsidP="006A0E1C">
      <w:pPr>
        <w:spacing w:line="240" w:lineRule="auto"/>
        <w:rPr>
          <w:sz w:val="16"/>
          <w:szCs w:val="16"/>
        </w:rPr>
      </w:pPr>
      <w:r w:rsidRPr="00EF190F">
        <w:rPr>
          <w:rStyle w:val="FootnoteReference"/>
          <w:sz w:val="16"/>
          <w:szCs w:val="16"/>
        </w:rPr>
        <w:footnoteRef/>
      </w:r>
      <w:r w:rsidRPr="00EF190F">
        <w:rPr>
          <w:sz w:val="16"/>
          <w:szCs w:val="16"/>
        </w:rPr>
        <w:tab/>
      </w:r>
      <w:r w:rsidRPr="00EF190F">
        <w:rPr>
          <w:i/>
          <w:sz w:val="16"/>
          <w:szCs w:val="16"/>
        </w:rPr>
        <w:t>Cfr.</w:t>
      </w:r>
      <w:r w:rsidRPr="00EF190F">
        <w:rPr>
          <w:sz w:val="16"/>
          <w:szCs w:val="16"/>
        </w:rPr>
        <w:t xml:space="preserve"> </w:t>
      </w:r>
      <w:r w:rsidRPr="00EF190F">
        <w:rPr>
          <w:rFonts w:eastAsia="Calibri" w:cs="Verdana"/>
          <w:i/>
          <w:iCs/>
          <w:sz w:val="16"/>
          <w:szCs w:val="16"/>
        </w:rPr>
        <w:t xml:space="preserve">Caso de la Comunidad Moiwana Vs. Surinam. </w:t>
      </w:r>
      <w:r w:rsidRPr="00EF190F">
        <w:rPr>
          <w:rFonts w:eastAsia="Calibri" w:cs="Verdana"/>
          <w:i/>
          <w:sz w:val="16"/>
          <w:szCs w:val="16"/>
        </w:rPr>
        <w:t>Excepciones Preliminares, Fondo, Reparaciones y Costas</w:t>
      </w:r>
      <w:r w:rsidRPr="00EF190F">
        <w:rPr>
          <w:rFonts w:eastAsia="Calibri" w:cs="Verdana"/>
          <w:sz w:val="16"/>
          <w:szCs w:val="16"/>
        </w:rPr>
        <w:t>. Sentencia 15 de junio de 2005. Serie C No. 124, párr. 111</w:t>
      </w:r>
      <w:r w:rsidRPr="00EF190F">
        <w:rPr>
          <w:sz w:val="16"/>
          <w:szCs w:val="16"/>
          <w:lang w:val="es-PR"/>
        </w:rPr>
        <w:t xml:space="preserve">, y </w:t>
      </w:r>
      <w:r w:rsidRPr="00EF190F">
        <w:rPr>
          <w:bCs/>
          <w:i/>
          <w:sz w:val="16"/>
          <w:szCs w:val="16"/>
        </w:rPr>
        <w:t>Caso Masacres de Río Negro Vs. Guatemala</w:t>
      </w:r>
      <w:r w:rsidRPr="00EF190F">
        <w:rPr>
          <w:i/>
          <w:sz w:val="16"/>
          <w:szCs w:val="16"/>
        </w:rPr>
        <w:t xml:space="preserve">, </w:t>
      </w:r>
      <w:r w:rsidRPr="00EF190F">
        <w:rPr>
          <w:sz w:val="16"/>
          <w:szCs w:val="16"/>
        </w:rPr>
        <w:t>párr. 173.</w:t>
      </w:r>
      <w:r w:rsidRPr="00EF190F">
        <w:rPr>
          <w:i/>
          <w:sz w:val="16"/>
          <w:szCs w:val="16"/>
        </w:rPr>
        <w:t xml:space="preserve"> </w:t>
      </w:r>
    </w:p>
  </w:footnote>
  <w:footnote w:id="189">
    <w:p w:rsidR="006A0E1C" w:rsidRPr="00EF190F" w:rsidRDefault="006A0E1C" w:rsidP="006A0E1C">
      <w:pPr>
        <w:spacing w:line="240" w:lineRule="auto"/>
        <w:rPr>
          <w:b/>
          <w:sz w:val="16"/>
          <w:szCs w:val="16"/>
        </w:rPr>
      </w:pPr>
      <w:r w:rsidRPr="00EF190F">
        <w:rPr>
          <w:rStyle w:val="FootnoteReference"/>
          <w:sz w:val="16"/>
          <w:szCs w:val="16"/>
        </w:rPr>
        <w:footnoteRef/>
      </w:r>
      <w:r w:rsidRPr="00EF190F">
        <w:rPr>
          <w:sz w:val="16"/>
          <w:szCs w:val="16"/>
        </w:rPr>
        <w:tab/>
      </w:r>
      <w:r w:rsidRPr="00EF190F">
        <w:rPr>
          <w:i/>
          <w:sz w:val="16"/>
          <w:szCs w:val="16"/>
        </w:rPr>
        <w:t>Cfr.</w:t>
      </w:r>
      <w:r w:rsidRPr="00EF190F">
        <w:rPr>
          <w:sz w:val="16"/>
          <w:szCs w:val="16"/>
        </w:rPr>
        <w:t xml:space="preserve"> Comisión de Derechos Humanos, Principios Rectores de los Desplazamientos Internos de las Naciones Unidas, </w:t>
      </w:r>
      <w:r w:rsidRPr="00EF190F">
        <w:rPr>
          <w:i/>
          <w:sz w:val="16"/>
          <w:szCs w:val="16"/>
        </w:rPr>
        <w:t>supra</w:t>
      </w:r>
      <w:r w:rsidRPr="00EF190F">
        <w:rPr>
          <w:sz w:val="16"/>
          <w:szCs w:val="16"/>
        </w:rPr>
        <w:t>, párr. 2. Al respecto, la Asamblea General de la OEA ha recomendado a los Estados utilizar los Principios Rectores como base para desarrollar sus políticas e incluso integrarlos en sus legislaciones domésticas para promover su implementación.</w:t>
      </w:r>
      <w:r w:rsidRPr="00EF190F">
        <w:rPr>
          <w:i/>
          <w:sz w:val="16"/>
          <w:szCs w:val="16"/>
        </w:rPr>
        <w:t xml:space="preserve"> </w:t>
      </w:r>
      <w:r w:rsidRPr="00EF190F">
        <w:rPr>
          <w:i/>
          <w:sz w:val="16"/>
          <w:szCs w:val="16"/>
          <w:lang w:val="es-ES_tradnl"/>
        </w:rPr>
        <w:t xml:space="preserve">Cfr. </w:t>
      </w:r>
      <w:r w:rsidRPr="00EF190F">
        <w:rPr>
          <w:sz w:val="16"/>
          <w:szCs w:val="16"/>
        </w:rPr>
        <w:t xml:space="preserve">AG/RES. 2508 (XXXIX-O/09) “Desplazados Internos”, Aprobada en la cuarta sesión plenaria, celebrada el 4 de junio de 2009, punto resolutivo 2. Disponible en: </w:t>
      </w:r>
      <w:hyperlink r:id="rId4" w:history="1">
        <w:r w:rsidRPr="00EF190F">
          <w:rPr>
            <w:rStyle w:val="Hyperlink"/>
            <w:color w:val="auto"/>
            <w:sz w:val="16"/>
            <w:szCs w:val="16"/>
            <w:u w:val="none"/>
          </w:rPr>
          <w:t>www.oas.org/dil/esp/AG-RES_2508-2009.doc</w:t>
        </w:r>
      </w:hyperlink>
      <w:r w:rsidRPr="00EF190F">
        <w:rPr>
          <w:sz w:val="16"/>
          <w:szCs w:val="16"/>
        </w:rPr>
        <w:t>.</w:t>
      </w:r>
    </w:p>
  </w:footnote>
  <w:footnote w:id="190">
    <w:p w:rsidR="006A0E1C" w:rsidRPr="00EF190F" w:rsidRDefault="006A0E1C" w:rsidP="006A0E1C">
      <w:pPr>
        <w:spacing w:line="240" w:lineRule="auto"/>
        <w:rPr>
          <w:sz w:val="16"/>
          <w:szCs w:val="16"/>
        </w:rPr>
      </w:pPr>
      <w:r w:rsidRPr="00EF190F">
        <w:rPr>
          <w:rStyle w:val="FootnoteReference"/>
          <w:sz w:val="16"/>
          <w:szCs w:val="16"/>
        </w:rPr>
        <w:footnoteRef/>
      </w:r>
      <w:r w:rsidRPr="00EF190F">
        <w:rPr>
          <w:sz w:val="16"/>
          <w:szCs w:val="16"/>
          <w:lang w:val="es-PE"/>
        </w:rPr>
        <w:tab/>
      </w:r>
      <w:r w:rsidRPr="00EF190F">
        <w:rPr>
          <w:i/>
          <w:sz w:val="16"/>
          <w:szCs w:val="16"/>
        </w:rPr>
        <w:t>Cfr.</w:t>
      </w:r>
      <w:r w:rsidRPr="00EF190F">
        <w:rPr>
          <w:sz w:val="16"/>
          <w:szCs w:val="16"/>
          <w:lang w:val="es-PE"/>
        </w:rPr>
        <w:t xml:space="preserve"> </w:t>
      </w:r>
      <w:r w:rsidRPr="00EF190F">
        <w:rPr>
          <w:bCs/>
          <w:i/>
          <w:sz w:val="16"/>
          <w:szCs w:val="16"/>
        </w:rPr>
        <w:t xml:space="preserve">Caso de la "Masacre de Mapiripán" Vs. Colombia. </w:t>
      </w:r>
      <w:r w:rsidRPr="00EF190F">
        <w:rPr>
          <w:bCs/>
          <w:sz w:val="16"/>
          <w:szCs w:val="16"/>
        </w:rPr>
        <w:t>Sentencia de 15 de septiembre de 2005. Serie C No. 134</w:t>
      </w:r>
      <w:r w:rsidRPr="00EF190F">
        <w:rPr>
          <w:i/>
          <w:sz w:val="16"/>
          <w:szCs w:val="16"/>
        </w:rPr>
        <w:t xml:space="preserve">, </w:t>
      </w:r>
      <w:r w:rsidRPr="00EF190F">
        <w:rPr>
          <w:sz w:val="16"/>
          <w:szCs w:val="16"/>
          <w:lang w:val="es-GT"/>
        </w:rPr>
        <w:t xml:space="preserve">párr. 179, y </w:t>
      </w:r>
      <w:r w:rsidRPr="00EF190F">
        <w:rPr>
          <w:bCs/>
          <w:i/>
          <w:sz w:val="16"/>
          <w:szCs w:val="16"/>
        </w:rPr>
        <w:t>Caso de las comunidades afrodescendientes desplazadas de la Cuenca del Río Cacarica (Operación Génesis) Vs. Colombia</w:t>
      </w:r>
      <w:r w:rsidRPr="00EF190F">
        <w:rPr>
          <w:i/>
          <w:sz w:val="16"/>
          <w:szCs w:val="16"/>
        </w:rPr>
        <w:t xml:space="preserve">, </w:t>
      </w:r>
      <w:r w:rsidRPr="00EF190F">
        <w:rPr>
          <w:sz w:val="16"/>
          <w:szCs w:val="16"/>
        </w:rPr>
        <w:t>párr. 315.</w:t>
      </w:r>
    </w:p>
  </w:footnote>
  <w:footnote w:id="191">
    <w:p w:rsidR="006A0E1C" w:rsidRPr="00EF190F" w:rsidRDefault="006A0E1C" w:rsidP="006A0E1C">
      <w:pPr>
        <w:pStyle w:val="FootnoteText"/>
        <w:rPr>
          <w:sz w:val="16"/>
          <w:szCs w:val="16"/>
        </w:rPr>
      </w:pPr>
      <w:r w:rsidRPr="00EF190F">
        <w:rPr>
          <w:rStyle w:val="FootnoteReference"/>
          <w:rFonts w:eastAsia="Calibri"/>
          <w:sz w:val="16"/>
          <w:szCs w:val="16"/>
        </w:rPr>
        <w:footnoteRef/>
      </w:r>
      <w:r w:rsidRPr="00EF190F">
        <w:rPr>
          <w:sz w:val="16"/>
          <w:szCs w:val="16"/>
        </w:rPr>
        <w:tab/>
      </w:r>
      <w:r w:rsidRPr="00EF190F">
        <w:rPr>
          <w:i/>
          <w:sz w:val="16"/>
          <w:szCs w:val="16"/>
        </w:rPr>
        <w:t xml:space="preserve">Cfr. </w:t>
      </w:r>
      <w:r w:rsidRPr="00EF190F">
        <w:rPr>
          <w:bCs/>
          <w:i/>
          <w:sz w:val="16"/>
          <w:szCs w:val="16"/>
        </w:rPr>
        <w:t xml:space="preserve">Caso de la Comunidad Moiwana Vs. Surinam, </w:t>
      </w:r>
      <w:r w:rsidRPr="00EF190F">
        <w:rPr>
          <w:sz w:val="16"/>
          <w:szCs w:val="16"/>
        </w:rPr>
        <w:t xml:space="preserve">párrs. 119 y 120, y </w:t>
      </w:r>
      <w:r w:rsidRPr="00EF190F">
        <w:rPr>
          <w:bCs/>
          <w:i/>
          <w:sz w:val="16"/>
          <w:szCs w:val="16"/>
          <w:lang w:val="es-CR"/>
        </w:rPr>
        <w:t>Caso Defensor de Derechos Humanos y otros Vs. Guatemala. Excepciones Preliminares, Fondo, Reparaciones y Costas.</w:t>
      </w:r>
      <w:r w:rsidRPr="00EF190F">
        <w:rPr>
          <w:bCs/>
          <w:sz w:val="16"/>
          <w:szCs w:val="16"/>
          <w:lang w:val="es-CR"/>
        </w:rPr>
        <w:t xml:space="preserve"> Sentencia de 28 de agosto de 2014. Serie C No. 283</w:t>
      </w:r>
      <w:r w:rsidRPr="00EF190F">
        <w:rPr>
          <w:sz w:val="16"/>
          <w:szCs w:val="16"/>
        </w:rPr>
        <w:t>, párr. 166.</w:t>
      </w:r>
    </w:p>
  </w:footnote>
  <w:footnote w:id="192">
    <w:p w:rsidR="006A0E1C" w:rsidRPr="00EF190F" w:rsidRDefault="006A0E1C" w:rsidP="006A0E1C">
      <w:pPr>
        <w:pStyle w:val="FootnoteText"/>
        <w:rPr>
          <w:sz w:val="16"/>
          <w:szCs w:val="16"/>
          <w:lang w:val="es-PE"/>
        </w:rPr>
      </w:pPr>
      <w:r w:rsidRPr="00EF190F">
        <w:rPr>
          <w:rStyle w:val="FootnoteReference"/>
          <w:sz w:val="16"/>
          <w:szCs w:val="16"/>
        </w:rPr>
        <w:footnoteRef/>
      </w:r>
      <w:r w:rsidRPr="00EF190F">
        <w:rPr>
          <w:sz w:val="16"/>
          <w:szCs w:val="16"/>
        </w:rPr>
        <w:tab/>
      </w:r>
      <w:r w:rsidRPr="00EF190F">
        <w:rPr>
          <w:i/>
          <w:sz w:val="16"/>
          <w:szCs w:val="16"/>
        </w:rPr>
        <w:t>Cfr.</w:t>
      </w:r>
      <w:r w:rsidRPr="00EF190F">
        <w:rPr>
          <w:b/>
          <w:sz w:val="16"/>
          <w:szCs w:val="16"/>
        </w:rPr>
        <w:t xml:space="preserve"> </w:t>
      </w:r>
      <w:r w:rsidRPr="00EF190F">
        <w:rPr>
          <w:bCs/>
          <w:i/>
          <w:sz w:val="16"/>
          <w:szCs w:val="16"/>
          <w:lang w:val="es-CR"/>
        </w:rPr>
        <w:t xml:space="preserve">Caso Chitay Nech y otros Vs. Guatemala. Excepciones Preliminares, Fondo, Reparaciones y Costas. </w:t>
      </w:r>
      <w:r w:rsidRPr="00EF190F">
        <w:rPr>
          <w:bCs/>
          <w:sz w:val="16"/>
          <w:szCs w:val="16"/>
          <w:lang w:val="es-CR"/>
        </w:rPr>
        <w:t>Sentencia de 25 de mayo de 2010. Serie C No. 212</w:t>
      </w:r>
      <w:r w:rsidRPr="00EF190F">
        <w:rPr>
          <w:sz w:val="16"/>
          <w:szCs w:val="16"/>
        </w:rPr>
        <w:t xml:space="preserve">, párr. 149, y </w:t>
      </w:r>
      <w:r w:rsidRPr="00EF190F">
        <w:rPr>
          <w:bCs/>
          <w:i/>
          <w:sz w:val="16"/>
          <w:szCs w:val="16"/>
        </w:rPr>
        <w:t>Caso de las comunidades afrodescendientes desplazadas de la Cuenca del Río Cacarica (Operación Génesis) Vs. Colombia</w:t>
      </w:r>
      <w:r w:rsidRPr="00EF190F">
        <w:rPr>
          <w:sz w:val="16"/>
          <w:szCs w:val="16"/>
          <w:lang w:val="es-GT"/>
        </w:rPr>
        <w:t>, párr. 220</w:t>
      </w:r>
      <w:r w:rsidRPr="00EF190F">
        <w:rPr>
          <w:sz w:val="16"/>
          <w:szCs w:val="16"/>
          <w:lang w:val="es-PE"/>
        </w:rPr>
        <w:t>.</w:t>
      </w:r>
    </w:p>
  </w:footnote>
  <w:footnote w:id="193">
    <w:p w:rsidR="006A0E1C" w:rsidRPr="00EF190F" w:rsidRDefault="006A0E1C" w:rsidP="006A0E1C">
      <w:pPr>
        <w:pStyle w:val="FootnoteText"/>
        <w:rPr>
          <w:sz w:val="16"/>
          <w:szCs w:val="16"/>
        </w:rPr>
      </w:pPr>
      <w:r w:rsidRPr="00EF190F">
        <w:rPr>
          <w:rStyle w:val="FootnoteReference"/>
          <w:sz w:val="16"/>
          <w:szCs w:val="16"/>
        </w:rPr>
        <w:footnoteRef/>
      </w:r>
      <w:r w:rsidRPr="00EF190F">
        <w:rPr>
          <w:sz w:val="16"/>
          <w:szCs w:val="16"/>
        </w:rPr>
        <w:tab/>
        <w:t xml:space="preserve">La Corte ha determinado que la cultura de los miembros de las comunidades indígenas corresponde a una forma de vida particular de ser, ver y actuar en el mundo, constituido a partir de su estrecha relación con sus tierras tradicionales y recursos naturales, no sólo por ser estos su principal medio de subsistencia, sino además porque constituyen un elemento integrante de su cosmovisión, religiosidad y, por ende, de su identidad cultural. </w:t>
      </w:r>
      <w:r w:rsidRPr="00EF190F">
        <w:rPr>
          <w:i/>
          <w:sz w:val="16"/>
          <w:szCs w:val="16"/>
        </w:rPr>
        <w:t>Cfr.</w:t>
      </w:r>
      <w:r w:rsidRPr="00EF190F">
        <w:rPr>
          <w:sz w:val="16"/>
          <w:szCs w:val="16"/>
        </w:rPr>
        <w:t xml:space="preserve"> </w:t>
      </w:r>
      <w:r w:rsidRPr="00EF190F">
        <w:rPr>
          <w:i/>
          <w:sz w:val="16"/>
          <w:szCs w:val="16"/>
        </w:rPr>
        <w:t xml:space="preserve">Caso Chitay Nech y otros Vs. Guatemala, </w:t>
      </w:r>
      <w:r w:rsidRPr="00EF190F">
        <w:rPr>
          <w:sz w:val="16"/>
          <w:szCs w:val="16"/>
        </w:rPr>
        <w:t xml:space="preserve">párr. 147, y </w:t>
      </w:r>
      <w:r w:rsidRPr="00EF190F">
        <w:rPr>
          <w:bCs/>
          <w:i/>
          <w:sz w:val="16"/>
          <w:szCs w:val="16"/>
          <w:lang w:val="es-CR"/>
        </w:rPr>
        <w:t>Caso Pueblos Kaliña y Lokono Vs. Surinam. Fondo, Reparaciones y Costas.</w:t>
      </w:r>
      <w:r w:rsidRPr="00EF190F">
        <w:rPr>
          <w:bCs/>
          <w:sz w:val="16"/>
          <w:szCs w:val="16"/>
          <w:lang w:val="es-CR"/>
        </w:rPr>
        <w:t xml:space="preserve"> Sentencia de 25 de noviembre de 2015. Serie C No. 309</w:t>
      </w:r>
      <w:r w:rsidRPr="00EF190F">
        <w:rPr>
          <w:sz w:val="16"/>
          <w:szCs w:val="16"/>
        </w:rPr>
        <w:t>, párr. 130.</w:t>
      </w:r>
    </w:p>
  </w:footnote>
  <w:footnote w:id="194">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rFonts w:eastAsia="Batang" w:cs="Times"/>
          <w:sz w:val="16"/>
          <w:szCs w:val="16"/>
        </w:rPr>
        <w:t xml:space="preserve">En este sentido, la comunidad de Chijom, que contaba con 50 casas de habitación, quedó vacía durante mucho tiempo y hoy está poblada por siete familias aproximadamente. </w:t>
      </w:r>
      <w:r w:rsidRPr="00EF190F">
        <w:rPr>
          <w:rFonts w:eastAsia="Times" w:cs="Arial"/>
          <w:sz w:val="16"/>
          <w:szCs w:val="16"/>
        </w:rPr>
        <w:t xml:space="preserve">La </w:t>
      </w:r>
      <w:r w:rsidRPr="00EF190F">
        <w:rPr>
          <w:rFonts w:eastAsia="Calibri" w:cs="Arial"/>
          <w:sz w:val="16"/>
          <w:szCs w:val="16"/>
        </w:rPr>
        <w:t>comunidad Xeabaj, que en el momento previo al impacto del conflicto armado interno contaba con una población distribuida en 80 o 90 casas de habitación en las que vivían familias extensas, hoy</w:t>
      </w:r>
      <w:r w:rsidRPr="00EF190F">
        <w:rPr>
          <w:rFonts w:eastAsia="Calibri"/>
          <w:sz w:val="16"/>
          <w:szCs w:val="16"/>
        </w:rPr>
        <w:t xml:space="preserve"> </w:t>
      </w:r>
      <w:r w:rsidRPr="00EF190F">
        <w:rPr>
          <w:rFonts w:eastAsia="Calibri" w:cs="Arial"/>
          <w:sz w:val="16"/>
          <w:szCs w:val="16"/>
        </w:rPr>
        <w:t xml:space="preserve">tiene únicamente cinco o seis casas habitadas. </w:t>
      </w:r>
      <w:r w:rsidRPr="00EF190F">
        <w:rPr>
          <w:i/>
          <w:sz w:val="16"/>
          <w:szCs w:val="16"/>
        </w:rPr>
        <w:t xml:space="preserve">Cfr. </w:t>
      </w:r>
      <w:r w:rsidRPr="00EF190F">
        <w:rPr>
          <w:sz w:val="16"/>
          <w:szCs w:val="16"/>
        </w:rPr>
        <w:t>Peritaje de Luis Raúl Francisco Salvadó Cardoza presentada ante la Corte Interamericana durante la audiencia pública el 28 de abril de 2016</w:t>
      </w:r>
      <w:r w:rsidRPr="00EF190F">
        <w:rPr>
          <w:rFonts w:cs="Arial"/>
          <w:sz w:val="16"/>
          <w:szCs w:val="16"/>
        </w:rPr>
        <w:t xml:space="preserve">. </w:t>
      </w:r>
      <w:r w:rsidRPr="00EF190F">
        <w:rPr>
          <w:rFonts w:eastAsia="Calibri" w:cs="Arial"/>
          <w:sz w:val="16"/>
          <w:szCs w:val="16"/>
        </w:rPr>
        <w:t xml:space="preserve">Asimismo, </w:t>
      </w:r>
      <w:r w:rsidRPr="00EF190F">
        <w:rPr>
          <w:rFonts w:eastAsia="Calibri"/>
          <w:sz w:val="16"/>
          <w:szCs w:val="16"/>
        </w:rPr>
        <w:t xml:space="preserve">las personas de las comunidades de Xeabaj, Toloxcoc </w:t>
      </w:r>
      <w:r w:rsidRPr="00EF190F">
        <w:rPr>
          <w:rFonts w:eastAsia="Calibri" w:cs="Arial"/>
          <w:sz w:val="16"/>
          <w:szCs w:val="16"/>
        </w:rPr>
        <w:t xml:space="preserve">y </w:t>
      </w:r>
      <w:r w:rsidRPr="00EF190F">
        <w:rPr>
          <w:rFonts w:eastAsia="Calibri"/>
          <w:sz w:val="16"/>
          <w:szCs w:val="16"/>
        </w:rPr>
        <w:t xml:space="preserve">Chirrum “ya no lograron recuperar sus líderes </w:t>
      </w:r>
      <w:r w:rsidRPr="00EF190F">
        <w:rPr>
          <w:rFonts w:eastAsia="Calibri" w:cs="Arial"/>
          <w:sz w:val="16"/>
          <w:szCs w:val="16"/>
        </w:rPr>
        <w:t xml:space="preserve">y </w:t>
      </w:r>
      <w:r w:rsidRPr="00EF190F">
        <w:rPr>
          <w:rFonts w:eastAsia="Calibri"/>
          <w:sz w:val="16"/>
          <w:szCs w:val="16"/>
        </w:rPr>
        <w:t>proyectos productivos”.</w:t>
      </w:r>
      <w:r w:rsidRPr="00EF190F">
        <w:rPr>
          <w:i/>
          <w:sz w:val="16"/>
          <w:szCs w:val="16"/>
        </w:rPr>
        <w:t xml:space="preserve"> Cfr. </w:t>
      </w:r>
      <w:r w:rsidRPr="00EF190F">
        <w:rPr>
          <w:sz w:val="16"/>
          <w:szCs w:val="16"/>
        </w:rPr>
        <w:t>Informe sobre el daño a la salud mental (moral) elaborado por la psicóloga Nieves Gómez Dupuis el 5 de mayo de 2010 (expediente de prueba, folios 1323 y 1324).</w:t>
      </w:r>
    </w:p>
  </w:footnote>
  <w:footnote w:id="195">
    <w:p w:rsidR="006A0E1C" w:rsidRPr="00EF190F" w:rsidRDefault="006A0E1C" w:rsidP="006A0E1C">
      <w:pPr>
        <w:pStyle w:val="FootnoteText"/>
        <w:rPr>
          <w:b/>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w:t>
      </w:r>
      <w:r w:rsidRPr="00EF190F">
        <w:rPr>
          <w:rFonts w:eastAsia="Calibri" w:cs="Verdana"/>
          <w:i/>
          <w:iCs/>
          <w:sz w:val="16"/>
          <w:szCs w:val="16"/>
        </w:rPr>
        <w:t xml:space="preserve">Caso de la Comunidad Moiwana Vs. Surinam, </w:t>
      </w:r>
      <w:r w:rsidRPr="00EF190F">
        <w:rPr>
          <w:sz w:val="16"/>
          <w:szCs w:val="16"/>
        </w:rPr>
        <w:t xml:space="preserve">párr. 108, y </w:t>
      </w:r>
      <w:r w:rsidRPr="00EF190F">
        <w:rPr>
          <w:i/>
          <w:sz w:val="16"/>
          <w:szCs w:val="16"/>
        </w:rPr>
        <w:t>Caso Masacres de Río Negro Vs. Guatemala,</w:t>
      </w:r>
      <w:r w:rsidRPr="00EF190F">
        <w:rPr>
          <w:sz w:val="16"/>
          <w:szCs w:val="16"/>
        </w:rPr>
        <w:t xml:space="preserve"> párr. 180.</w:t>
      </w:r>
    </w:p>
  </w:footnote>
  <w:footnote w:id="196">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w:t>
      </w:r>
      <w:r w:rsidRPr="00EF190F">
        <w:rPr>
          <w:sz w:val="16"/>
          <w:szCs w:val="16"/>
        </w:rPr>
        <w:t>Informe escrito del perito Luis Raúl Francisco Salvadó Cardoza presentado durante la audiencia pública celebrada el 28 de abril de 2016 (expediente de prueba, folios 11674 a 11676), y Peritaje de Luis Raúl Francisco Salvadó Cardoza presentada ante la Corte Interamericana durante la audiencia pública el 28 de abril de 2016.</w:t>
      </w:r>
    </w:p>
  </w:footnote>
  <w:footnote w:id="197">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w:t>
      </w:r>
      <w:r w:rsidRPr="00EF190F">
        <w:rPr>
          <w:sz w:val="16"/>
          <w:szCs w:val="16"/>
        </w:rPr>
        <w:t>Informe sobre el daño a la salud mental (moral) elaborado por la psicóloga Nieves Gómez Dupuis el 5 de mayo de 2010 y presentado ante la Comisión Interamericana (expediente de prueba, folios 1319 y 1322).</w:t>
      </w:r>
    </w:p>
  </w:footnote>
  <w:footnote w:id="198">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Cs/>
          <w:sz w:val="16"/>
          <w:szCs w:val="16"/>
        </w:rPr>
        <w:t xml:space="preserve">Al respecto, el perito Salvadó </w:t>
      </w:r>
      <w:r w:rsidRPr="00EF190F">
        <w:rPr>
          <w:sz w:val="16"/>
          <w:szCs w:val="16"/>
        </w:rPr>
        <w:t xml:space="preserve">Cardoza </w:t>
      </w:r>
      <w:r w:rsidRPr="00EF190F">
        <w:rPr>
          <w:iCs/>
          <w:sz w:val="16"/>
          <w:szCs w:val="16"/>
        </w:rPr>
        <w:t>señaló que,</w:t>
      </w:r>
      <w:r w:rsidRPr="00EF190F">
        <w:rPr>
          <w:rFonts w:eastAsia="Calibri" w:cs="Arial"/>
          <w:sz w:val="16"/>
          <w:szCs w:val="16"/>
        </w:rPr>
        <w:t xml:space="preserve"> </w:t>
      </w:r>
      <w:r w:rsidRPr="00EF190F">
        <w:rPr>
          <w:rFonts w:eastAsia="Batang" w:cs="Times"/>
          <w:sz w:val="16"/>
          <w:szCs w:val="16"/>
        </w:rPr>
        <w:t xml:space="preserve">“su anterior parcela ha sido ocupada por otras personas de la misma comunidad”, incluso por </w:t>
      </w:r>
      <w:r w:rsidRPr="00EF190F">
        <w:rPr>
          <w:rFonts w:eastAsia="Times"/>
          <w:sz w:val="16"/>
          <w:szCs w:val="16"/>
        </w:rPr>
        <w:t>“gente que se aprovechó de mala fe y está ocupando las tierras”</w:t>
      </w:r>
      <w:r w:rsidRPr="00EF190F">
        <w:rPr>
          <w:rFonts w:eastAsia="Batang" w:cs="Times"/>
          <w:sz w:val="16"/>
          <w:szCs w:val="16"/>
        </w:rPr>
        <w:t>, o “sus tierras de cultivo las están utilizando […] parientes cercanos”. Así pues “</w:t>
      </w:r>
      <w:r w:rsidRPr="00EF190F">
        <w:rPr>
          <w:rFonts w:eastAsia="Calibri" w:cs="Arial"/>
          <w:sz w:val="16"/>
          <w:szCs w:val="16"/>
        </w:rPr>
        <w:t>muchos de ellos visitan o han visitado la aldea o caserío del que fueron obligados a partir, pero ya no ocupan su antigua parcela porque lugareños</w:t>
      </w:r>
      <w:r w:rsidRPr="00EF190F">
        <w:rPr>
          <w:rFonts w:eastAsia="Batang" w:cs="Times"/>
          <w:sz w:val="16"/>
          <w:szCs w:val="16"/>
        </w:rPr>
        <w:t xml:space="preserve"> </w:t>
      </w:r>
      <w:r w:rsidRPr="00EF190F">
        <w:rPr>
          <w:rFonts w:eastAsia="Calibri" w:cs="Arial"/>
          <w:sz w:val="16"/>
          <w:szCs w:val="16"/>
        </w:rPr>
        <w:t>se han apoderado de la misma o porque un pariente cercano está utilizándola y están de acuerdo con ello”. Asimismo</w:t>
      </w:r>
      <w:r w:rsidRPr="00EF190F">
        <w:rPr>
          <w:rFonts w:eastAsia="Times" w:cs="Arial"/>
          <w:sz w:val="16"/>
          <w:szCs w:val="16"/>
        </w:rPr>
        <w:t xml:space="preserve">, algunos </w:t>
      </w:r>
      <w:r w:rsidRPr="00EF190F">
        <w:rPr>
          <w:rFonts w:eastAsia="Times"/>
          <w:sz w:val="16"/>
          <w:szCs w:val="16"/>
        </w:rPr>
        <w:t xml:space="preserve">“por necesidades de dinero [han] vendido la tierra […] en lo que le[s] ofrecieron”. </w:t>
      </w:r>
      <w:r w:rsidRPr="00EF190F">
        <w:rPr>
          <w:i/>
          <w:sz w:val="16"/>
          <w:szCs w:val="16"/>
        </w:rPr>
        <w:t xml:space="preserve">Cfr. </w:t>
      </w:r>
      <w:r w:rsidRPr="00EF190F">
        <w:rPr>
          <w:sz w:val="16"/>
          <w:szCs w:val="16"/>
        </w:rPr>
        <w:t xml:space="preserve">Informe escrito del perito Luis Raúl Francisco Salvadó Cardoza presentado durante la audiencia pública celebrada el 28 de abril de 2016 (expediente de prueba, folios 11674 a 11676), y Peritaje de Luis Raúl Francisco Salvadó Cardoza presentada ante la Corte Interamericana durante la audiencia pública el 28 de abril de 2016. </w:t>
      </w:r>
      <w:r w:rsidRPr="00EF190F">
        <w:rPr>
          <w:rFonts w:eastAsia="Calibri" w:cs="Arial"/>
          <w:sz w:val="16"/>
          <w:szCs w:val="16"/>
        </w:rPr>
        <w:t xml:space="preserve">Además, la perita Dupuis señaló que “[l]as mujeres se vieron en la obligación de abandonar sus tierras o bien venderlas a precios muy bajos con el fin de obtener algún recurso económico con el que sacar adelante a su familia. </w:t>
      </w:r>
      <w:r w:rsidRPr="00EF190F">
        <w:rPr>
          <w:i/>
          <w:sz w:val="16"/>
          <w:szCs w:val="16"/>
        </w:rPr>
        <w:t xml:space="preserve">Cfr. </w:t>
      </w:r>
      <w:r w:rsidRPr="00EF190F">
        <w:rPr>
          <w:sz w:val="16"/>
          <w:szCs w:val="16"/>
        </w:rPr>
        <w:t>Informe sobre el daño a la salud mental (moral) elaborado por la psicóloga Nieves Gómez Dupuis el 5 de mayo de 2010 y presentado ante la Comisión Interamericana (expediente de prueba, folios 1319 y 1322).</w:t>
      </w:r>
    </w:p>
  </w:footnote>
  <w:footnote w:id="199">
    <w:p w:rsidR="006A0E1C" w:rsidRPr="00EF190F" w:rsidRDefault="006A0E1C" w:rsidP="006A0E1C">
      <w:pPr>
        <w:pStyle w:val="FootnoteText"/>
        <w:tabs>
          <w:tab w:val="left" w:pos="360"/>
        </w:tabs>
        <w:rPr>
          <w:sz w:val="16"/>
          <w:szCs w:val="16"/>
          <w:lang w:val="es-MX"/>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Cfr</w:t>
      </w:r>
      <w:r w:rsidRPr="00EF190F">
        <w:rPr>
          <w:sz w:val="16"/>
          <w:szCs w:val="16"/>
        </w:rPr>
        <w:t xml:space="preserve">. </w:t>
      </w:r>
      <w:r w:rsidRPr="00EF190F">
        <w:rPr>
          <w:sz w:val="16"/>
          <w:szCs w:val="16"/>
          <w:lang w:val="es-MX"/>
        </w:rPr>
        <w:t>Denuncia de 6 de junio de 2006, presentada por Miguel Chen Tahuico ante la Fiscalía Municipal de Rabinal, Baja Verapaz. (expediente de prueba, folios 1564 y 1565)</w:t>
      </w:r>
    </w:p>
  </w:footnote>
  <w:footnote w:id="200">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w:t>
      </w:r>
      <w:r w:rsidRPr="00EF190F">
        <w:rPr>
          <w:sz w:val="16"/>
          <w:szCs w:val="16"/>
        </w:rPr>
        <w:t>Informe sobre el daño a la salud mental (moral) elaborado por la psicóloga Nieves Gómez Dupuis el 5 de mayo de 2010 y presentado ante la Comisión Interamericana (expediente de prueba, folios 1307 y 1321 a 1323).</w:t>
      </w:r>
    </w:p>
  </w:footnote>
  <w:footnote w:id="201">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w:t>
      </w:r>
      <w:r w:rsidRPr="00EF190F">
        <w:rPr>
          <w:sz w:val="16"/>
          <w:szCs w:val="16"/>
        </w:rPr>
        <w:t>Informe escrito del perito Luis Raúl Francisco Salvadó Cardoza presentado durante la audiencia pública celebrada el 28 de abril de 2016 (expediente de prueba, folios 11673 y 11676). En el mismo sentido, Informe sobre el daño a la salud mental (moral) elaborado por la psicóloga Nieves Gómez Dupuis el 5 de mayo de 2010 y presentado ante la Comisión Interamericana (expediente de prueba, folios 1316 y 1325).</w:t>
      </w:r>
    </w:p>
  </w:footnote>
  <w:footnote w:id="202">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w:t>
      </w:r>
      <w:r w:rsidRPr="00EF190F">
        <w:rPr>
          <w:sz w:val="16"/>
          <w:szCs w:val="16"/>
        </w:rPr>
        <w:t xml:space="preserve">Informe escrito del perito Luis Raúl Francisco Salvadó Cardoza presentado durante la audiencia pública celebrada el 28 de abril de 2016 (expediente de prueba, folios 11676 a 11678), y Peritaje de Luis Raúl Francisco Salvadó Cardoza presentada ante la Corte Interamericana durante la audiencia pública el 28 de abril de 2016. </w:t>
      </w:r>
    </w:p>
  </w:footnote>
  <w:footnote w:id="203">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w:t>
      </w:r>
      <w:r w:rsidRPr="00EF190F">
        <w:rPr>
          <w:sz w:val="16"/>
          <w:szCs w:val="16"/>
        </w:rPr>
        <w:t>Informe sobre el daño a la salud mental (moral) elaborado por la psicóloga Nieves Gómez Dupuis el 5 de mayo de 2010 y presentado ante la Comisión Interamericana (expediente de prueba, folios 1313 a 1315, 1319 y 1324).</w:t>
      </w:r>
    </w:p>
  </w:footnote>
  <w:footnote w:id="204">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w:t>
      </w:r>
      <w:r w:rsidRPr="00EF190F">
        <w:rPr>
          <w:sz w:val="16"/>
          <w:szCs w:val="16"/>
        </w:rPr>
        <w:t xml:space="preserve">Informe escrito del perito Luis Raúl Francisco Salvadó Cardoza presentado durante la audiencia pública celebrada el 28 de abril de 2016 (expediente de prueba, folios 11676 a 11677), y Peritaje de Luis Raúl Francisco Salvadó Cardoza presentada ante la Corte Interamericana durante la audiencia pública el 28 de abril de 2016. </w:t>
      </w:r>
    </w:p>
  </w:footnote>
  <w:footnote w:id="205">
    <w:p w:rsidR="006A0E1C" w:rsidRPr="00EF190F" w:rsidRDefault="006A0E1C" w:rsidP="006A0E1C">
      <w:pPr>
        <w:tabs>
          <w:tab w:val="left" w:pos="360"/>
        </w:tabs>
        <w:spacing w:line="240" w:lineRule="auto"/>
        <w:contextualSpacing/>
        <w:rPr>
          <w:sz w:val="16"/>
          <w:szCs w:val="16"/>
        </w:rPr>
      </w:pPr>
      <w:r w:rsidRPr="00EF190F">
        <w:rPr>
          <w:sz w:val="16"/>
          <w:szCs w:val="16"/>
          <w:vertAlign w:val="superscript"/>
        </w:rPr>
        <w:footnoteRef/>
      </w:r>
      <w:r w:rsidRPr="00EF190F">
        <w:rPr>
          <w:sz w:val="16"/>
          <w:szCs w:val="16"/>
        </w:rPr>
        <w:t xml:space="preserve"> </w:t>
      </w:r>
      <w:r w:rsidRPr="00EF190F">
        <w:rPr>
          <w:sz w:val="16"/>
          <w:szCs w:val="16"/>
        </w:rPr>
        <w:tab/>
      </w:r>
      <w:r w:rsidRPr="00EF190F">
        <w:rPr>
          <w:i/>
          <w:iCs/>
          <w:sz w:val="16"/>
          <w:szCs w:val="16"/>
        </w:rPr>
        <w:t xml:space="preserve">Cfr. </w:t>
      </w:r>
      <w:r w:rsidRPr="00EF190F">
        <w:rPr>
          <w:i/>
          <w:sz w:val="16"/>
          <w:szCs w:val="16"/>
        </w:rPr>
        <w:t xml:space="preserve">Caso </w:t>
      </w:r>
      <w:r w:rsidRPr="00EF190F">
        <w:rPr>
          <w:i/>
          <w:iCs/>
          <w:sz w:val="16"/>
          <w:szCs w:val="16"/>
        </w:rPr>
        <w:t>Masacres de Río Negro Vs. Guatemala</w:t>
      </w:r>
      <w:r w:rsidRPr="00EF190F">
        <w:rPr>
          <w:i/>
          <w:sz w:val="16"/>
          <w:szCs w:val="16"/>
        </w:rPr>
        <w:t xml:space="preserve">, </w:t>
      </w:r>
      <w:r w:rsidRPr="00EF190F">
        <w:rPr>
          <w:sz w:val="16"/>
          <w:szCs w:val="16"/>
        </w:rPr>
        <w:t>párr.58</w:t>
      </w:r>
      <w:r w:rsidRPr="00EF190F">
        <w:rPr>
          <w:i/>
          <w:sz w:val="16"/>
          <w:szCs w:val="16"/>
        </w:rPr>
        <w:t xml:space="preserve">, </w:t>
      </w:r>
      <w:r w:rsidRPr="00EF190F">
        <w:rPr>
          <w:sz w:val="16"/>
          <w:szCs w:val="16"/>
        </w:rPr>
        <w:t>nota al pie 44</w:t>
      </w:r>
      <w:r w:rsidRPr="00EF190F">
        <w:rPr>
          <w:i/>
          <w:sz w:val="16"/>
          <w:szCs w:val="16"/>
        </w:rPr>
        <w:t>,</w:t>
      </w:r>
      <w:r w:rsidRPr="00EF190F">
        <w:rPr>
          <w:sz w:val="16"/>
          <w:szCs w:val="16"/>
        </w:rPr>
        <w:t xml:space="preserve"> y</w:t>
      </w:r>
      <w:r w:rsidRPr="00EF190F">
        <w:rPr>
          <w:i/>
          <w:iCs/>
          <w:sz w:val="16"/>
          <w:szCs w:val="16"/>
        </w:rPr>
        <w:t xml:space="preserve"> </w:t>
      </w:r>
      <w:r w:rsidRPr="00EF190F">
        <w:rPr>
          <w:bCs/>
          <w:i/>
          <w:iCs/>
          <w:sz w:val="16"/>
          <w:szCs w:val="16"/>
        </w:rPr>
        <w:t>Caso Masacre Plan de Sánchez Vs. Guatemala. Fondo.</w:t>
      </w:r>
      <w:r w:rsidRPr="00EF190F">
        <w:rPr>
          <w:bCs/>
          <w:iCs/>
          <w:sz w:val="16"/>
          <w:szCs w:val="16"/>
        </w:rPr>
        <w:t xml:space="preserve"> Sentencia de 29 de abril de 2004. Serie C No. 105</w:t>
      </w:r>
      <w:r w:rsidRPr="00EF190F">
        <w:rPr>
          <w:iCs/>
          <w:sz w:val="16"/>
          <w:szCs w:val="16"/>
        </w:rPr>
        <w:t>,</w:t>
      </w:r>
      <w:r w:rsidRPr="00EF190F">
        <w:rPr>
          <w:sz w:val="16"/>
          <w:szCs w:val="16"/>
        </w:rPr>
        <w:t xml:space="preserve"> párr. 42.5.</w:t>
      </w:r>
    </w:p>
  </w:footnote>
  <w:footnote w:id="206">
    <w:p w:rsidR="006A0E1C" w:rsidRPr="00EF190F" w:rsidRDefault="006A0E1C" w:rsidP="006A0E1C">
      <w:pPr>
        <w:pStyle w:val="FootnoteText"/>
        <w:tabs>
          <w:tab w:val="left" w:pos="360"/>
        </w:tabs>
        <w:rPr>
          <w:b/>
          <w:sz w:val="16"/>
          <w:szCs w:val="16"/>
          <w:lang w:val="es-CR"/>
        </w:rPr>
      </w:pPr>
      <w:r w:rsidRPr="00EF190F">
        <w:rPr>
          <w:rStyle w:val="FootnoteReference"/>
          <w:sz w:val="16"/>
          <w:szCs w:val="16"/>
        </w:rPr>
        <w:footnoteRef/>
      </w:r>
      <w:r w:rsidRPr="00EF190F">
        <w:rPr>
          <w:sz w:val="16"/>
          <w:szCs w:val="16"/>
        </w:rPr>
        <w:t xml:space="preserve"> </w:t>
      </w:r>
      <w:r w:rsidRPr="00EF190F">
        <w:rPr>
          <w:sz w:val="16"/>
          <w:szCs w:val="16"/>
          <w:lang w:val="es-CR"/>
        </w:rPr>
        <w:tab/>
      </w:r>
      <w:r w:rsidRPr="00EF190F">
        <w:rPr>
          <w:i/>
          <w:sz w:val="16"/>
          <w:szCs w:val="16"/>
        </w:rPr>
        <w:t xml:space="preserve">Cfr. </w:t>
      </w:r>
      <w:r w:rsidRPr="00EF190F">
        <w:rPr>
          <w:rFonts w:eastAsia="Times"/>
          <w:sz w:val="16"/>
          <w:szCs w:val="16"/>
        </w:rPr>
        <w:t xml:space="preserve">Perito Alejandro Rodríguez Barilla (expediente de prueba, folios 11568 y 11569). </w:t>
      </w:r>
    </w:p>
  </w:footnote>
  <w:footnote w:id="207">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iCs/>
          <w:sz w:val="16"/>
          <w:szCs w:val="16"/>
          <w:lang w:val="es-CR"/>
        </w:rPr>
        <w:t xml:space="preserve">Cfr. </w:t>
      </w:r>
      <w:r w:rsidRPr="00EF190F">
        <w:rPr>
          <w:sz w:val="16"/>
          <w:szCs w:val="16"/>
          <w:lang w:val="es-CR"/>
        </w:rPr>
        <w:t xml:space="preserve">Informe de la CEH </w:t>
      </w:r>
      <w:r w:rsidRPr="00EF190F">
        <w:rPr>
          <w:i/>
          <w:iCs/>
          <w:sz w:val="16"/>
          <w:szCs w:val="16"/>
          <w:lang w:val="es-CR"/>
        </w:rPr>
        <w:t>“Guatemala, Memoria del Silencio”</w:t>
      </w:r>
      <w:r w:rsidRPr="00EF190F">
        <w:rPr>
          <w:sz w:val="16"/>
          <w:szCs w:val="16"/>
          <w:lang w:val="es-CR"/>
        </w:rPr>
        <w:t xml:space="preserve">, </w:t>
      </w:r>
      <w:r w:rsidRPr="00EF190F">
        <w:rPr>
          <w:iCs/>
          <w:sz w:val="16"/>
          <w:szCs w:val="16"/>
          <w:lang w:val="es-CR"/>
        </w:rPr>
        <w:t>Capítulo Segundo</w:t>
      </w:r>
      <w:r w:rsidRPr="00EF190F">
        <w:rPr>
          <w:sz w:val="16"/>
          <w:szCs w:val="16"/>
          <w:lang w:val="es-CR"/>
        </w:rPr>
        <w:t xml:space="preserve">, párrs. 2353 y 2384. </w:t>
      </w:r>
    </w:p>
  </w:footnote>
  <w:footnote w:id="208">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Los nombres de los mencionados familiares de Juana García Depaz son: Mateo Grave, Adrián García Manuel, Hugo García de Paz, </w:t>
      </w:r>
      <w:r w:rsidRPr="00EF190F">
        <w:rPr>
          <w:rFonts w:cs="Calibri"/>
          <w:sz w:val="16"/>
          <w:szCs w:val="16"/>
        </w:rPr>
        <w:t>Agapito Alvarado Depáz</w:t>
      </w:r>
      <w:r w:rsidRPr="00EF190F">
        <w:rPr>
          <w:sz w:val="16"/>
          <w:szCs w:val="16"/>
        </w:rPr>
        <w:t>, Eusebia Grave García, José León Grave García y Efraín García de Paz (</w:t>
      </w:r>
      <w:r w:rsidRPr="00EF190F">
        <w:rPr>
          <w:i/>
          <w:sz w:val="16"/>
          <w:szCs w:val="16"/>
        </w:rPr>
        <w:t>supra</w:t>
      </w:r>
      <w:r w:rsidRPr="00EF190F">
        <w:rPr>
          <w:sz w:val="16"/>
          <w:szCs w:val="16"/>
        </w:rPr>
        <w:t xml:space="preserve"> párrs. 86, 99, 115 y 148)</w:t>
      </w:r>
    </w:p>
  </w:footnote>
  <w:footnote w:id="209">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w:t>
      </w:r>
      <w:r w:rsidRPr="00EF190F">
        <w:rPr>
          <w:sz w:val="16"/>
          <w:szCs w:val="16"/>
        </w:rPr>
        <w:t>Declaración de Juana García Depaz en la audiencia pública celebrada el 28 de abril de 2016</w:t>
      </w:r>
      <w:r w:rsidRPr="00EF190F">
        <w:rPr>
          <w:bCs/>
          <w:sz w:val="16"/>
          <w:szCs w:val="16"/>
        </w:rPr>
        <w:t>.</w:t>
      </w:r>
    </w:p>
  </w:footnote>
  <w:footnote w:id="210">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pt-BR"/>
        </w:rPr>
        <w:t xml:space="preserve"> </w:t>
      </w:r>
      <w:r w:rsidRPr="00EF190F">
        <w:rPr>
          <w:sz w:val="16"/>
          <w:szCs w:val="16"/>
          <w:lang w:val="pt-BR"/>
        </w:rPr>
        <w:tab/>
      </w:r>
      <w:r w:rsidRPr="00EF190F">
        <w:rPr>
          <w:i/>
          <w:sz w:val="16"/>
          <w:szCs w:val="16"/>
          <w:lang w:val="pt-BR"/>
        </w:rPr>
        <w:t xml:space="preserve">Cfr. </w:t>
      </w:r>
      <w:r w:rsidRPr="00EF190F">
        <w:rPr>
          <w:sz w:val="16"/>
          <w:szCs w:val="16"/>
          <w:lang w:val="pt-BR"/>
        </w:rPr>
        <w:t>Informe REMHI “</w:t>
      </w:r>
      <w:r w:rsidRPr="00EF190F">
        <w:rPr>
          <w:i/>
          <w:iCs/>
          <w:sz w:val="16"/>
          <w:szCs w:val="16"/>
          <w:lang w:val="pt-BR"/>
        </w:rPr>
        <w:t>Guatemala: Nunca Más”</w:t>
      </w:r>
      <w:r w:rsidRPr="00EF190F">
        <w:rPr>
          <w:sz w:val="16"/>
          <w:szCs w:val="16"/>
          <w:lang w:val="pt-BR"/>
        </w:rPr>
        <w:t xml:space="preserve">, Tomo I, Capítulo Quinto, Título </w:t>
      </w:r>
      <w:r w:rsidRPr="00EF190F">
        <w:rPr>
          <w:bCs/>
          <w:sz w:val="16"/>
          <w:szCs w:val="16"/>
          <w:lang w:val="pt-BR"/>
        </w:rPr>
        <w:t>5</w:t>
      </w:r>
      <w:hyperlink r:id="rId5" w:anchor="t1c5e5" w:history="1">
        <w:r w:rsidRPr="00EF190F">
          <w:rPr>
            <w:rStyle w:val="Hyperlink"/>
            <w:bCs/>
            <w:color w:val="auto"/>
            <w:sz w:val="16"/>
            <w:szCs w:val="16"/>
            <w:u w:val="none"/>
            <w:lang w:val="pt-BR"/>
          </w:rPr>
          <w:t xml:space="preserve">. </w:t>
        </w:r>
        <w:r w:rsidRPr="00EF190F">
          <w:rPr>
            <w:rStyle w:val="Hyperlink"/>
            <w:bCs/>
            <w:color w:val="auto"/>
            <w:sz w:val="16"/>
            <w:szCs w:val="16"/>
            <w:u w:val="none"/>
          </w:rPr>
          <w:t>La resistencia de las mujeres</w:t>
        </w:r>
      </w:hyperlink>
      <w:r w:rsidRPr="00EF190F">
        <w:rPr>
          <w:sz w:val="16"/>
          <w:szCs w:val="16"/>
        </w:rPr>
        <w:t xml:space="preserve">. </w:t>
      </w:r>
    </w:p>
  </w:footnote>
  <w:footnote w:id="211">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bCs/>
          <w:sz w:val="16"/>
          <w:szCs w:val="16"/>
          <w:lang w:val="es-ES"/>
        </w:rPr>
        <w:t xml:space="preserve">Respecto a la violencia sexual en conflictos armados, el Comité Internacional de la Cruz Roja ha señalado que </w:t>
      </w:r>
      <w:r w:rsidRPr="00EF190F">
        <w:rPr>
          <w:sz w:val="16"/>
          <w:szCs w:val="16"/>
          <w:shd w:val="clear" w:color="auto" w:fill="FBFAF6"/>
        </w:rPr>
        <w:t>“[t]anto los niños nacidos como consecuencia de violaciones como sus madres también son extremadamente vulnerables y pueden enfrentar un mayor riesgo de exclusión de la comunidad. Estos niños pueden incluso ser víctimas de infanticidio u otras formas de violencia”. Disponible en:</w:t>
      </w:r>
      <w:r w:rsidRPr="00EF190F">
        <w:rPr>
          <w:bCs/>
          <w:sz w:val="16"/>
          <w:szCs w:val="16"/>
          <w:lang w:val="es-ES"/>
        </w:rPr>
        <w:t xml:space="preserve"> </w:t>
      </w:r>
      <w:hyperlink r:id="rId6" w:history="1">
        <w:r w:rsidRPr="00EF190F">
          <w:rPr>
            <w:rStyle w:val="Hyperlink"/>
            <w:color w:val="auto"/>
            <w:sz w:val="16"/>
            <w:szCs w:val="16"/>
            <w:u w:val="none"/>
          </w:rPr>
          <w:t>https://www.icrc.org/spa/resources/documents/faq/sexual-violence-questions-and-answers.htm</w:t>
        </w:r>
      </w:hyperlink>
      <w:r w:rsidRPr="00EF190F">
        <w:rPr>
          <w:sz w:val="16"/>
          <w:szCs w:val="16"/>
        </w:rPr>
        <w:t xml:space="preserve">. </w:t>
      </w:r>
      <w:r w:rsidRPr="00EF190F">
        <w:rPr>
          <w:i/>
          <w:iCs/>
          <w:sz w:val="16"/>
          <w:szCs w:val="16"/>
        </w:rPr>
        <w:t>Véase, además</w:t>
      </w:r>
      <w:r w:rsidRPr="00EF190F">
        <w:rPr>
          <w:iCs/>
          <w:sz w:val="16"/>
          <w:szCs w:val="16"/>
        </w:rPr>
        <w:t xml:space="preserve">: </w:t>
      </w:r>
      <w:r w:rsidRPr="00EF190F">
        <w:rPr>
          <w:sz w:val="16"/>
          <w:szCs w:val="16"/>
        </w:rPr>
        <w:t>Informe REMHI “</w:t>
      </w:r>
      <w:r w:rsidRPr="00EF190F">
        <w:rPr>
          <w:i/>
          <w:iCs/>
          <w:sz w:val="16"/>
          <w:szCs w:val="16"/>
        </w:rPr>
        <w:t>Guatemala: Nunca Más”</w:t>
      </w:r>
      <w:r w:rsidRPr="00EF190F">
        <w:rPr>
          <w:sz w:val="16"/>
          <w:szCs w:val="16"/>
        </w:rPr>
        <w:t xml:space="preserve">, Tomo I, Capítulo Segundo, Títulos: </w:t>
      </w:r>
      <w:hyperlink r:id="rId7" w:anchor="t1c2e1" w:history="1">
        <w:r w:rsidRPr="00EF190F">
          <w:rPr>
            <w:rStyle w:val="Hyperlink"/>
            <w:bCs/>
            <w:color w:val="auto"/>
            <w:sz w:val="16"/>
            <w:szCs w:val="16"/>
            <w:u w:val="none"/>
          </w:rPr>
          <w:t>1. La violencia contra la infancia</w:t>
        </w:r>
      </w:hyperlink>
      <w:r w:rsidRPr="00EF190F">
        <w:rPr>
          <w:sz w:val="16"/>
          <w:szCs w:val="16"/>
          <w:lang w:val="es-CR"/>
        </w:rPr>
        <w:t xml:space="preserve"> y </w:t>
      </w:r>
      <w:hyperlink r:id="rId8" w:anchor="t1c2e4" w:history="1">
        <w:r w:rsidRPr="00EF190F">
          <w:rPr>
            <w:rStyle w:val="Hyperlink"/>
            <w:bCs/>
            <w:color w:val="auto"/>
            <w:sz w:val="16"/>
            <w:szCs w:val="16"/>
            <w:u w:val="none"/>
          </w:rPr>
          <w:t>4. Los hijos de la violencia</w:t>
        </w:r>
      </w:hyperlink>
      <w:r w:rsidRPr="00EF190F">
        <w:rPr>
          <w:sz w:val="16"/>
          <w:szCs w:val="16"/>
        </w:rPr>
        <w:t>.</w:t>
      </w:r>
    </w:p>
  </w:footnote>
  <w:footnote w:id="212">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ab/>
      </w:r>
      <w:r w:rsidRPr="00EF190F">
        <w:rPr>
          <w:i/>
          <w:sz w:val="16"/>
          <w:szCs w:val="16"/>
        </w:rPr>
        <w:t xml:space="preserve">Cfr. </w:t>
      </w:r>
      <w:r w:rsidRPr="00EF190F">
        <w:rPr>
          <w:bCs/>
          <w:i/>
          <w:sz w:val="16"/>
          <w:szCs w:val="16"/>
          <w:lang w:val="es-CR"/>
        </w:rPr>
        <w:t xml:space="preserve">Caso Baena Ricardo y otros Vs. Panamá. Excepciones Preliminares. </w:t>
      </w:r>
      <w:r w:rsidRPr="00EF190F">
        <w:rPr>
          <w:bCs/>
          <w:sz w:val="16"/>
          <w:szCs w:val="16"/>
          <w:lang w:val="es-CR"/>
        </w:rPr>
        <w:t>Sentencia de 18 de noviembre de 1999. Serie C No. 61</w:t>
      </w:r>
      <w:r w:rsidRPr="00EF190F">
        <w:rPr>
          <w:sz w:val="16"/>
          <w:szCs w:val="16"/>
        </w:rPr>
        <w:t>, párr. 156, y</w:t>
      </w:r>
      <w:r w:rsidRPr="00EF190F">
        <w:rPr>
          <w:b/>
          <w:bCs/>
          <w:sz w:val="16"/>
          <w:szCs w:val="16"/>
        </w:rPr>
        <w:t xml:space="preserve"> </w:t>
      </w:r>
      <w:r w:rsidRPr="00EF190F">
        <w:rPr>
          <w:bCs/>
          <w:i/>
          <w:sz w:val="16"/>
          <w:szCs w:val="16"/>
          <w:lang w:val="es-CR"/>
        </w:rPr>
        <w:t xml:space="preserve">Caso García y familiares Vs. Guatemala, </w:t>
      </w:r>
      <w:r w:rsidRPr="00EF190F">
        <w:rPr>
          <w:sz w:val="16"/>
          <w:szCs w:val="16"/>
        </w:rPr>
        <w:t>párr. 116.</w:t>
      </w:r>
    </w:p>
  </w:footnote>
  <w:footnote w:id="213">
    <w:p w:rsidR="006A0E1C" w:rsidRPr="00EF190F" w:rsidRDefault="006A0E1C" w:rsidP="006A0E1C">
      <w:pPr>
        <w:pStyle w:val="FootnoteText"/>
        <w:tabs>
          <w:tab w:val="left" w:pos="360"/>
        </w:tabs>
        <w:rPr>
          <w:b/>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Mutatis mutandi</w:t>
      </w:r>
      <w:r w:rsidRPr="00EF190F">
        <w:rPr>
          <w:sz w:val="16"/>
          <w:szCs w:val="16"/>
        </w:rPr>
        <w:t xml:space="preserve">, </w:t>
      </w:r>
      <w:r w:rsidRPr="00EF190F">
        <w:rPr>
          <w:rStyle w:val="Strong"/>
          <w:b w:val="0"/>
          <w:i/>
          <w:sz w:val="16"/>
          <w:szCs w:val="16"/>
          <w:shd w:val="clear" w:color="auto" w:fill="FFFFFF"/>
        </w:rPr>
        <w:t>Caso Masacres de Río Negro Vs. Guatemala. Excepción Preliminar, Fondo, Reparaciones y Costas.</w:t>
      </w:r>
      <w:r w:rsidRPr="00EF190F">
        <w:rPr>
          <w:rStyle w:val="Strong"/>
          <w:b w:val="0"/>
          <w:sz w:val="16"/>
          <w:szCs w:val="16"/>
          <w:shd w:val="clear" w:color="auto" w:fill="FFFFFF"/>
        </w:rPr>
        <w:t xml:space="preserve"> Sentencia de 4 de septiembre de 2012. Serie C No. 250, párrs. 167 a 168.</w:t>
      </w:r>
    </w:p>
  </w:footnote>
  <w:footnote w:id="214">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El artículo 8.1 de la Convención señala: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r w:rsidRPr="00EF190F">
        <w:rPr>
          <w:sz w:val="16"/>
          <w:szCs w:val="16"/>
          <w:lang w:val="es-CR"/>
        </w:rPr>
        <w:t>El artículo 25</w:t>
      </w:r>
      <w:r w:rsidRPr="00EF190F">
        <w:rPr>
          <w:sz w:val="16"/>
          <w:szCs w:val="16"/>
        </w:rPr>
        <w:t>.1</w:t>
      </w:r>
      <w:r w:rsidRPr="00EF190F">
        <w:rPr>
          <w:sz w:val="16"/>
          <w:szCs w:val="16"/>
          <w:lang w:val="es-CR"/>
        </w:rPr>
        <w:t xml:space="preserve"> de la Convención expresa: “</w:t>
      </w:r>
      <w:r w:rsidRPr="00EF190F">
        <w:rPr>
          <w:rFonts w:cs="Tahoma"/>
          <w:sz w:val="16"/>
          <w:szCs w:val="16"/>
          <w:lang w:val="es-CR"/>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w:t>
      </w:r>
      <w:r w:rsidRPr="00EF190F">
        <w:rPr>
          <w:rFonts w:cs="Tahoma"/>
          <w:sz w:val="16"/>
          <w:szCs w:val="16"/>
        </w:rPr>
        <w:t>ficiales</w:t>
      </w:r>
      <w:r w:rsidRPr="00EF190F">
        <w:rPr>
          <w:rFonts w:cs="Tahoma"/>
          <w:sz w:val="16"/>
          <w:szCs w:val="16"/>
          <w:lang w:val="es-CR"/>
        </w:rPr>
        <w:t>”.</w:t>
      </w:r>
    </w:p>
  </w:footnote>
  <w:footnote w:id="215">
    <w:p w:rsidR="006A0E1C" w:rsidRPr="00EF190F" w:rsidRDefault="006A0E1C" w:rsidP="006A0E1C">
      <w:pPr>
        <w:tabs>
          <w:tab w:val="left" w:pos="360"/>
        </w:tabs>
        <w:spacing w:line="240" w:lineRule="auto"/>
        <w:rPr>
          <w:rFonts w:cs="Tahoma"/>
          <w:color w:val="000000"/>
          <w:sz w:val="16"/>
          <w:szCs w:val="16"/>
          <w:shd w:val="clear" w:color="auto" w:fill="FFFFFF"/>
        </w:rPr>
      </w:pPr>
      <w:r w:rsidRPr="00EF190F">
        <w:rPr>
          <w:rStyle w:val="FootnoteReference"/>
          <w:sz w:val="16"/>
          <w:szCs w:val="16"/>
        </w:rPr>
        <w:footnoteRef/>
      </w:r>
      <w:r w:rsidRPr="00EF190F">
        <w:rPr>
          <w:sz w:val="16"/>
          <w:szCs w:val="16"/>
        </w:rPr>
        <w:t xml:space="preserve"> </w:t>
      </w:r>
      <w:r w:rsidRPr="00EF190F">
        <w:rPr>
          <w:sz w:val="16"/>
          <w:szCs w:val="16"/>
        </w:rPr>
        <w:tab/>
      </w:r>
      <w:r w:rsidRPr="00EF190F">
        <w:rPr>
          <w:rFonts w:cs="Tahoma"/>
          <w:sz w:val="16"/>
          <w:szCs w:val="16"/>
        </w:rPr>
        <w:t>El artículo I.b de la CIDFP establece: “Los Estados Partes en esta Convención se comprometen a: […] b) Sancionar en el ámbito de su jurisdicción a los autores, cómplices y encubridores del delito de desaparición forzada de personas, así como la tentativa de comisión del mismo”.</w:t>
      </w:r>
    </w:p>
  </w:footnote>
  <w:footnote w:id="216">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El artículo 1 de la CIPST establece: “Los Estados partes se obligan a prevenir y a sancionar la tortura en los términos de la presente Convención”. El artículo 6 de la CIPST establece: “De conformidad con lo dispuesto en el artículo 1, los Estados partes tomarán medidas efectivas para prevenir y sancionar la tortura en el ámbito de su jurisdicción. Los Estados partes se asegurarán de que todos los actos de tortura y los intentos de cometer tales actos constituyan delitos conforme a su derecho penal, estableciendo para castigarlos sanciones severas que tengan en cuenta su gravedad. Igualmente, los Estados partes tomarán medidas efectivas para prevenir y sancionar, además, otros tratos o penas crueles, inhumanos o degradantes en el ámbito de su jurisdicción”. El artículo 8 de la CIPST establece: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 Una vez agotado el ordenamiento jurídico interno del respectivo Estado y los recursos que éste prevé, el caso podrá ser sometido a instancias internacionales cuya competencia haya sido aceptada por ese Estado”.</w:t>
      </w:r>
    </w:p>
  </w:footnote>
  <w:footnote w:id="217">
    <w:p w:rsidR="006A0E1C" w:rsidRPr="00EF190F" w:rsidRDefault="006A0E1C" w:rsidP="006A0E1C">
      <w:pPr>
        <w:tabs>
          <w:tab w:val="left" w:pos="360"/>
        </w:tabs>
        <w:spacing w:line="240" w:lineRule="auto"/>
        <w:rPr>
          <w:b/>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sz w:val="16"/>
          <w:szCs w:val="16"/>
          <w:lang w:val="es-PR"/>
        </w:rPr>
        <w:t>El artículo 7.b de la Convención de Belém do Pará establece: “</w:t>
      </w:r>
      <w:r w:rsidRPr="00EF190F">
        <w:rPr>
          <w:rFonts w:cs="Tahoma"/>
          <w:color w:val="000000"/>
          <w:sz w:val="16"/>
          <w:szCs w:val="16"/>
          <w:shd w:val="clear" w:color="auto" w:fill="FFFFFF"/>
        </w:rPr>
        <w:t>Los Estados Partes condenan todas las formas de violencia contra la mujer y convienen en adoptar, por todos los medios apropiados y sin dilaciones, políticas orientadas a prevenir, sancionar y erradicar dicha violencia y en llevar a cabo lo siguiente: […] b) actuar con la debida diligencia para prevenir, investigar y sancionar la violencia contra la mujer”.</w:t>
      </w:r>
    </w:p>
  </w:footnote>
  <w:footnote w:id="218">
    <w:p w:rsidR="006A0E1C" w:rsidRPr="00EF190F" w:rsidRDefault="006A0E1C" w:rsidP="006A0E1C">
      <w:pPr>
        <w:pStyle w:val="FootnoteText"/>
        <w:tabs>
          <w:tab w:val="left" w:pos="360"/>
        </w:tabs>
        <w:rPr>
          <w:b/>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t xml:space="preserve">En particular, sostuvo que a partir del año 2011 se investigan “diversos hechos ocurridos en esa región” dentro del expediente MP001-2012-364, presuntamente tramitado por la Unidad de Casos Especiales del Enfrentamiento Armado Interno de la Fiscalía de Sección de Derechos Humanos. </w:t>
      </w:r>
    </w:p>
  </w:footnote>
  <w:footnote w:id="219">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i/>
          <w:sz w:val="16"/>
          <w:szCs w:val="16"/>
          <w:lang w:val="es-PR"/>
        </w:rPr>
        <w:t xml:space="preserve">Cfr. </w:t>
      </w:r>
      <w:r w:rsidRPr="00EF190F">
        <w:rPr>
          <w:rFonts w:eastAsia="Calibri" w:cs="Verdana"/>
          <w:i/>
          <w:iCs/>
          <w:sz w:val="16"/>
          <w:szCs w:val="16"/>
          <w:lang w:val="es-MX"/>
        </w:rPr>
        <w:t>Caso Velásquez Rodríguez Vs. Honduras. Excepciones Preliminares</w:t>
      </w:r>
      <w:r w:rsidRPr="00EF190F">
        <w:rPr>
          <w:i/>
          <w:sz w:val="16"/>
          <w:szCs w:val="16"/>
          <w:lang w:val="es-PR"/>
        </w:rPr>
        <w:t xml:space="preserve">. </w:t>
      </w:r>
      <w:r w:rsidRPr="00EF190F">
        <w:rPr>
          <w:sz w:val="16"/>
          <w:szCs w:val="16"/>
          <w:lang w:val="es-PR"/>
        </w:rPr>
        <w:t>Sentencia de 26 de junio de 1987. Serie C No. 1,</w:t>
      </w:r>
      <w:r w:rsidRPr="00EF190F">
        <w:rPr>
          <w:i/>
          <w:sz w:val="16"/>
          <w:szCs w:val="16"/>
          <w:lang w:val="es-PR"/>
        </w:rPr>
        <w:t xml:space="preserve"> </w:t>
      </w:r>
      <w:r w:rsidRPr="00EF190F">
        <w:rPr>
          <w:sz w:val="16"/>
          <w:szCs w:val="16"/>
          <w:lang w:val="es-PR"/>
        </w:rPr>
        <w:t xml:space="preserve">párr. 91, y </w:t>
      </w:r>
      <w:r w:rsidRPr="00EF190F">
        <w:rPr>
          <w:bCs/>
          <w:i/>
          <w:sz w:val="16"/>
          <w:szCs w:val="16"/>
          <w:lang w:val="es-CR"/>
        </w:rPr>
        <w:t xml:space="preserve">Caso Maldonado Ordoñez Vs. Guatemala. Excepción Preliminar, Fondo, Reparaciones y Costas. </w:t>
      </w:r>
      <w:r w:rsidRPr="00EF190F">
        <w:rPr>
          <w:bCs/>
          <w:sz w:val="16"/>
          <w:szCs w:val="16"/>
          <w:lang w:val="es-CR"/>
        </w:rPr>
        <w:t>Sentencia de 3 de mayo de 2016. Serie C No. 311.</w:t>
      </w:r>
      <w:r w:rsidRPr="00EF190F">
        <w:rPr>
          <w:sz w:val="16"/>
          <w:szCs w:val="16"/>
          <w:lang w:val="es-PR"/>
        </w:rPr>
        <w:t xml:space="preserve"> párr. 71.</w:t>
      </w:r>
    </w:p>
  </w:footnote>
  <w:footnote w:id="220">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rFonts w:cs="Tahoma"/>
          <w:i/>
          <w:sz w:val="16"/>
          <w:szCs w:val="16"/>
          <w:lang w:val="es-PR"/>
        </w:rPr>
        <w:t xml:space="preserve">Cfr. </w:t>
      </w:r>
      <w:r w:rsidRPr="00EF190F">
        <w:rPr>
          <w:rFonts w:eastAsia="Calibri" w:cs="Verdana-Italic"/>
          <w:i/>
          <w:iCs/>
          <w:sz w:val="16"/>
          <w:szCs w:val="16"/>
          <w:lang w:val="es-MX"/>
        </w:rPr>
        <w:t>Caso Velásquez Rodríguez Vs. Honduras. Fondo</w:t>
      </w:r>
      <w:r w:rsidRPr="00EF190F">
        <w:rPr>
          <w:rFonts w:eastAsia="Calibri" w:cs="Verdana-Italic"/>
          <w:iCs/>
          <w:sz w:val="16"/>
          <w:szCs w:val="16"/>
          <w:lang w:val="es-MX"/>
        </w:rPr>
        <w:t xml:space="preserve">, párr. 181, y </w:t>
      </w:r>
      <w:r w:rsidRPr="00EF190F">
        <w:rPr>
          <w:bCs/>
          <w:i/>
          <w:sz w:val="16"/>
          <w:szCs w:val="16"/>
          <w:lang w:val="es-CR"/>
        </w:rPr>
        <w:t>Caso Masacres de Río Negro Vs. Guatemala</w:t>
      </w:r>
      <w:r w:rsidRPr="00EF190F">
        <w:rPr>
          <w:bCs/>
          <w:sz w:val="16"/>
          <w:szCs w:val="16"/>
          <w:lang w:val="es-CR"/>
        </w:rPr>
        <w:t>,</w:t>
      </w:r>
      <w:r w:rsidRPr="00EF190F">
        <w:rPr>
          <w:sz w:val="16"/>
          <w:szCs w:val="16"/>
          <w:lang w:val="es-PR"/>
        </w:rPr>
        <w:t xml:space="preserve"> párr. 194.</w:t>
      </w:r>
    </w:p>
  </w:footnote>
  <w:footnote w:id="221">
    <w:p w:rsidR="006A0E1C" w:rsidRPr="00EF190F" w:rsidRDefault="006A0E1C" w:rsidP="006A0E1C">
      <w:pPr>
        <w:tabs>
          <w:tab w:val="left" w:pos="360"/>
        </w:tabs>
        <w:autoSpaceDE w:val="0"/>
        <w:autoSpaceDN w:val="0"/>
        <w:spacing w:line="240" w:lineRule="auto"/>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rFonts w:eastAsia="Calibri" w:cs="Verdana-Italic"/>
          <w:i/>
          <w:iCs/>
          <w:sz w:val="16"/>
          <w:szCs w:val="16"/>
          <w:lang w:val="es-PR"/>
        </w:rPr>
        <w:t>Cfr. C</w:t>
      </w:r>
      <w:r w:rsidRPr="00EF190F">
        <w:rPr>
          <w:rFonts w:eastAsia="Calibri" w:cs="Verdana-Italic"/>
          <w:bCs/>
          <w:i/>
          <w:iCs/>
          <w:sz w:val="16"/>
          <w:szCs w:val="16"/>
        </w:rPr>
        <w:t>aso Anzualdo Castro Vs. Perú</w:t>
      </w:r>
      <w:r w:rsidRPr="00EF190F">
        <w:rPr>
          <w:rFonts w:eastAsia="Calibri" w:cs="Verdana-Italic"/>
          <w:bCs/>
          <w:iCs/>
          <w:sz w:val="16"/>
          <w:szCs w:val="16"/>
        </w:rPr>
        <w:t>,</w:t>
      </w:r>
      <w:r w:rsidRPr="00EF190F">
        <w:rPr>
          <w:rFonts w:eastAsia="Calibri" w:cs="Verdana"/>
          <w:sz w:val="16"/>
          <w:szCs w:val="16"/>
          <w:lang w:val="es-PR"/>
        </w:rPr>
        <w:t xml:space="preserve"> párr. 119, y </w:t>
      </w:r>
      <w:r w:rsidRPr="00EF190F">
        <w:rPr>
          <w:i/>
          <w:sz w:val="16"/>
          <w:szCs w:val="16"/>
          <w:lang w:val="es-PR"/>
        </w:rPr>
        <w:t>Caso Masacres de Río Negro Vs. Guatemala</w:t>
      </w:r>
      <w:r w:rsidRPr="00EF190F">
        <w:rPr>
          <w:sz w:val="16"/>
          <w:szCs w:val="16"/>
          <w:lang w:val="es-PR"/>
        </w:rPr>
        <w:t>, párr. 194.</w:t>
      </w:r>
    </w:p>
  </w:footnote>
  <w:footnote w:id="222">
    <w:p w:rsidR="006A0E1C" w:rsidRPr="00EF190F" w:rsidRDefault="006A0E1C" w:rsidP="006A0E1C">
      <w:pPr>
        <w:tabs>
          <w:tab w:val="left" w:pos="360"/>
        </w:tabs>
        <w:autoSpaceDE w:val="0"/>
        <w:autoSpaceDN w:val="0"/>
        <w:spacing w:line="240" w:lineRule="auto"/>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rFonts w:eastAsia="Calibri" w:cs="Verdana"/>
          <w:i/>
          <w:iCs/>
          <w:sz w:val="16"/>
          <w:szCs w:val="16"/>
          <w:lang w:val="es-PR"/>
        </w:rPr>
        <w:t>Cfr. Caso de la Masacre de la Rochela Vs. Colombia. Fondo, Reparaciones y Costas</w:t>
      </w:r>
      <w:r w:rsidRPr="00EF190F">
        <w:rPr>
          <w:rFonts w:eastAsia="Calibri" w:cs="Verdana"/>
          <w:sz w:val="16"/>
          <w:szCs w:val="16"/>
          <w:lang w:val="es-PR"/>
        </w:rPr>
        <w:t>. Sentencia de 11 de</w:t>
      </w:r>
      <w:r w:rsidRPr="00EF190F">
        <w:rPr>
          <w:rFonts w:eastAsia="Calibri" w:cs="Verdana"/>
          <w:sz w:val="16"/>
          <w:szCs w:val="16"/>
          <w:lang w:val="es-MX"/>
        </w:rPr>
        <w:t xml:space="preserve"> mayo de 2007. Serie C No. 163, párr. 19</w:t>
      </w:r>
      <w:r w:rsidRPr="00EF190F">
        <w:rPr>
          <w:sz w:val="16"/>
          <w:szCs w:val="16"/>
          <w:lang w:val="es-PR"/>
        </w:rPr>
        <w:t xml:space="preserve">5, y </w:t>
      </w:r>
      <w:r w:rsidRPr="00EF190F">
        <w:rPr>
          <w:i/>
          <w:sz w:val="16"/>
          <w:szCs w:val="16"/>
          <w:lang w:val="es-PR"/>
        </w:rPr>
        <w:t>Caso Masacres de Río Negro Vs. Guatemala</w:t>
      </w:r>
      <w:r w:rsidRPr="00EF190F">
        <w:rPr>
          <w:sz w:val="16"/>
          <w:szCs w:val="16"/>
          <w:lang w:val="es-PR"/>
        </w:rPr>
        <w:t>, párr. 194.</w:t>
      </w:r>
    </w:p>
  </w:footnote>
  <w:footnote w:id="223">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i/>
          <w:sz w:val="16"/>
          <w:szCs w:val="16"/>
          <w:lang w:val="es-PR"/>
        </w:rPr>
        <w:t xml:space="preserve">Cfr. </w:t>
      </w:r>
      <w:r w:rsidRPr="00EF190F">
        <w:rPr>
          <w:rFonts w:eastAsia="Calibri" w:cs="Verdana"/>
          <w:i/>
          <w:iCs/>
          <w:sz w:val="16"/>
          <w:szCs w:val="16"/>
          <w:lang w:val="es-MX"/>
        </w:rPr>
        <w:t>Caso de la Masacre de la Rochela Vs. Colombia</w:t>
      </w:r>
      <w:r w:rsidRPr="00EF190F">
        <w:rPr>
          <w:i/>
          <w:sz w:val="16"/>
          <w:szCs w:val="16"/>
          <w:lang w:val="es-PR"/>
        </w:rPr>
        <w:t xml:space="preserve">, </w:t>
      </w:r>
      <w:r w:rsidRPr="00EF190F">
        <w:rPr>
          <w:sz w:val="16"/>
          <w:szCs w:val="16"/>
          <w:lang w:val="es-PR"/>
        </w:rPr>
        <w:t xml:space="preserve">párr. 156, y </w:t>
      </w:r>
      <w:r w:rsidRPr="00EF190F">
        <w:rPr>
          <w:i/>
          <w:sz w:val="16"/>
          <w:szCs w:val="16"/>
          <w:lang w:val="es-PR"/>
        </w:rPr>
        <w:t>Caso Masacres de Río Negro Vs. Guatemala</w:t>
      </w:r>
      <w:r w:rsidRPr="00EF190F">
        <w:rPr>
          <w:sz w:val="16"/>
          <w:szCs w:val="16"/>
          <w:lang w:val="es-PR"/>
        </w:rPr>
        <w:t>, párr. 194.</w:t>
      </w:r>
    </w:p>
  </w:footnote>
  <w:footnote w:id="224">
    <w:p w:rsidR="006A0E1C" w:rsidRPr="00EF190F" w:rsidRDefault="006A0E1C" w:rsidP="006A0E1C">
      <w:pPr>
        <w:pStyle w:val="FootnoteText"/>
        <w:tabs>
          <w:tab w:val="left" w:pos="360"/>
        </w:tabs>
        <w:rPr>
          <w:b/>
          <w:sz w:val="16"/>
          <w:szCs w:val="16"/>
          <w:lang w:val="es-ES"/>
        </w:rPr>
      </w:pPr>
      <w:r w:rsidRPr="00EF190F">
        <w:rPr>
          <w:rStyle w:val="FootnoteReference"/>
          <w:sz w:val="16"/>
          <w:szCs w:val="16"/>
        </w:rPr>
        <w:footnoteRef/>
      </w:r>
      <w:r w:rsidRPr="00EF190F">
        <w:rPr>
          <w:sz w:val="16"/>
          <w:szCs w:val="16"/>
          <w:lang w:val="es-ES"/>
        </w:rPr>
        <w:t xml:space="preserve"> </w:t>
      </w:r>
      <w:r w:rsidRPr="00EF190F">
        <w:rPr>
          <w:sz w:val="16"/>
          <w:szCs w:val="16"/>
          <w:lang w:val="es-ES"/>
        </w:rPr>
        <w:tab/>
      </w:r>
      <w:r w:rsidRPr="00EF190F">
        <w:rPr>
          <w:i/>
          <w:sz w:val="16"/>
          <w:szCs w:val="16"/>
          <w:lang w:val="es-PR"/>
        </w:rPr>
        <w:t>Cfr.</w:t>
      </w:r>
      <w:r w:rsidRPr="00EF190F">
        <w:rPr>
          <w:b/>
          <w:i/>
          <w:sz w:val="16"/>
          <w:szCs w:val="16"/>
          <w:lang w:val="es-PR"/>
        </w:rPr>
        <w:t xml:space="preserve"> </w:t>
      </w:r>
      <w:r w:rsidRPr="00EF190F">
        <w:rPr>
          <w:bCs/>
          <w:i/>
          <w:sz w:val="16"/>
          <w:szCs w:val="16"/>
          <w:lang w:val="es-ES"/>
        </w:rPr>
        <w:t xml:space="preserve">Caso Almonacid Arellano y otros Vs. Chile. Excepciones Preliminares, Fondo, Reparaciones y Costas. </w:t>
      </w:r>
      <w:r w:rsidRPr="00EF190F">
        <w:rPr>
          <w:bCs/>
          <w:sz w:val="16"/>
          <w:szCs w:val="16"/>
          <w:lang w:val="es-ES"/>
        </w:rPr>
        <w:t>Sentencia de 26 de septiembre de 2006. Serie C No. 154</w:t>
      </w:r>
      <w:r w:rsidRPr="00EF190F">
        <w:rPr>
          <w:sz w:val="16"/>
          <w:szCs w:val="16"/>
          <w:lang w:val="es-ES"/>
        </w:rPr>
        <w:t xml:space="preserve">, párrs. 94 a 96 y 98 a 99, y </w:t>
      </w:r>
      <w:r w:rsidRPr="00EF190F">
        <w:rPr>
          <w:bCs/>
          <w:i/>
          <w:sz w:val="16"/>
          <w:szCs w:val="16"/>
          <w:lang w:val="es-ES"/>
        </w:rPr>
        <w:t xml:space="preserve">Caso Manuel Cepeda Vargas Vs. Colombia. Excepciones Preliminares, Fondo, Reparaciones y Costas. </w:t>
      </w:r>
      <w:r w:rsidRPr="00EF190F">
        <w:rPr>
          <w:bCs/>
          <w:sz w:val="16"/>
          <w:szCs w:val="16"/>
          <w:lang w:val="es-ES"/>
        </w:rPr>
        <w:t>Sentencia de 26 de mayo de 2010. Serie C No. 213,</w:t>
      </w:r>
      <w:r w:rsidRPr="00EF190F">
        <w:rPr>
          <w:sz w:val="16"/>
          <w:szCs w:val="16"/>
          <w:lang w:val="es-ES"/>
        </w:rPr>
        <w:t xml:space="preserve"> párr. 42.</w:t>
      </w:r>
    </w:p>
  </w:footnote>
  <w:footnote w:id="225">
    <w:p w:rsidR="006A0E1C" w:rsidRPr="00EF190F" w:rsidRDefault="006A0E1C" w:rsidP="006A0E1C">
      <w:pPr>
        <w:tabs>
          <w:tab w:val="left" w:pos="360"/>
        </w:tabs>
        <w:autoSpaceDE w:val="0"/>
        <w:autoSpaceDN w:val="0"/>
        <w:spacing w:line="240" w:lineRule="auto"/>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rFonts w:eastAsia="Calibri" w:cs="Verdana-Italic"/>
          <w:i/>
          <w:iCs/>
          <w:sz w:val="16"/>
          <w:szCs w:val="16"/>
          <w:lang w:val="es-PR"/>
        </w:rPr>
        <w:t xml:space="preserve">Cfr. Caso de las Hermanas Serrano Cruz Vs. El Salvador. Fondo, Reparaciones y Costas. </w:t>
      </w:r>
      <w:r w:rsidRPr="00EF190F">
        <w:rPr>
          <w:rFonts w:eastAsia="Calibri" w:cs="Verdana"/>
          <w:sz w:val="16"/>
          <w:szCs w:val="16"/>
          <w:lang w:val="es-PR"/>
        </w:rPr>
        <w:t xml:space="preserve">Sentencia de 1 de marzo de 2005. Serie C No. 120, </w:t>
      </w:r>
      <w:r w:rsidRPr="00EF190F">
        <w:rPr>
          <w:color w:val="000000"/>
          <w:sz w:val="16"/>
          <w:szCs w:val="16"/>
          <w:lang w:val="es-ES"/>
        </w:rPr>
        <w:t>párrs. 88 y 105</w:t>
      </w:r>
      <w:r w:rsidRPr="00EF190F">
        <w:rPr>
          <w:sz w:val="16"/>
          <w:szCs w:val="16"/>
          <w:lang w:val="es-PR"/>
        </w:rPr>
        <w:t xml:space="preserve">, y </w:t>
      </w:r>
      <w:r w:rsidRPr="00EF190F">
        <w:rPr>
          <w:i/>
          <w:sz w:val="16"/>
          <w:szCs w:val="16"/>
          <w:lang w:val="es-PR"/>
        </w:rPr>
        <w:t>Caso Tenorio Roca y otros Vs. Perú. Excepciones Preliminares, Fondo, Reparaciones y Costas.</w:t>
      </w:r>
      <w:r w:rsidRPr="00EF190F">
        <w:rPr>
          <w:sz w:val="16"/>
          <w:szCs w:val="16"/>
          <w:lang w:val="es-PR"/>
        </w:rPr>
        <w:t xml:space="preserve"> Sentencia de 22 de junio de 2016. Serie C No. 314, párr. 177.</w:t>
      </w:r>
    </w:p>
  </w:footnote>
  <w:footnote w:id="226">
    <w:p w:rsidR="006A0E1C" w:rsidRPr="00EF190F" w:rsidRDefault="006A0E1C" w:rsidP="006A0E1C">
      <w:pPr>
        <w:tabs>
          <w:tab w:val="left" w:pos="360"/>
        </w:tabs>
        <w:autoSpaceDE w:val="0"/>
        <w:autoSpaceDN w:val="0"/>
        <w:spacing w:line="240" w:lineRule="auto"/>
        <w:rPr>
          <w:sz w:val="16"/>
          <w:szCs w:val="16"/>
          <w:lang w:val="es-PR"/>
        </w:rPr>
      </w:pPr>
      <w:r w:rsidRPr="00EF190F">
        <w:rPr>
          <w:rStyle w:val="FootnoteReference"/>
          <w:rFonts w:cs="Tahoma"/>
          <w:sz w:val="16"/>
          <w:szCs w:val="16"/>
        </w:rPr>
        <w:footnoteRef/>
      </w:r>
      <w:r w:rsidRPr="00EF190F">
        <w:rPr>
          <w:sz w:val="16"/>
          <w:szCs w:val="16"/>
          <w:lang w:val="es-PR"/>
        </w:rPr>
        <w:t xml:space="preserve"> </w:t>
      </w:r>
      <w:r w:rsidRPr="00EF190F">
        <w:rPr>
          <w:sz w:val="16"/>
          <w:szCs w:val="16"/>
          <w:lang w:val="es-PR"/>
        </w:rPr>
        <w:tab/>
      </w:r>
      <w:r w:rsidRPr="00EF190F">
        <w:rPr>
          <w:rFonts w:eastAsia="Calibri" w:cs="Verdana-Italic"/>
          <w:i/>
          <w:iCs/>
          <w:sz w:val="16"/>
          <w:szCs w:val="16"/>
          <w:lang w:val="es-PR"/>
        </w:rPr>
        <w:t>Cfr. Caso García Prieto y otros Vs. El Salvador. Excepciones Preliminares, Fondo, Reparaciones y Costas</w:t>
      </w:r>
      <w:r w:rsidRPr="00EF190F">
        <w:rPr>
          <w:rFonts w:eastAsia="Calibri" w:cs="Verdana"/>
          <w:sz w:val="16"/>
          <w:szCs w:val="16"/>
          <w:lang w:val="es-PR"/>
        </w:rPr>
        <w:t xml:space="preserve">. </w:t>
      </w:r>
      <w:r w:rsidRPr="00EF190F">
        <w:rPr>
          <w:sz w:val="16"/>
          <w:szCs w:val="16"/>
          <w:lang w:val="es-PR"/>
        </w:rPr>
        <w:t xml:space="preserve">Sentencia de 20 de noviembre de 2007. Serie C No. 168, párr. 112, y </w:t>
      </w:r>
      <w:r w:rsidRPr="00EF190F">
        <w:rPr>
          <w:bCs/>
          <w:i/>
          <w:sz w:val="16"/>
          <w:szCs w:val="16"/>
        </w:rPr>
        <w:t>Caso Comunidad Campesina de Santa Bárbara Vs. Perú</w:t>
      </w:r>
      <w:r w:rsidRPr="00EF190F">
        <w:rPr>
          <w:bCs/>
          <w:sz w:val="16"/>
          <w:szCs w:val="16"/>
        </w:rPr>
        <w:t>, párr. 237.</w:t>
      </w:r>
    </w:p>
  </w:footnote>
  <w:footnote w:id="227">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ab/>
      </w:r>
      <w:r w:rsidRPr="00EF190F">
        <w:rPr>
          <w:i/>
          <w:sz w:val="16"/>
          <w:szCs w:val="16"/>
          <w:lang w:val="es-CR"/>
        </w:rPr>
        <w:t xml:space="preserve">Cfr. </w:t>
      </w:r>
      <w:r w:rsidRPr="00EF190F">
        <w:rPr>
          <w:bCs/>
          <w:i/>
          <w:sz w:val="16"/>
          <w:szCs w:val="16"/>
          <w:lang w:val="es-CR"/>
        </w:rPr>
        <w:t>Caso Anzualdo Castro Vs. Perú</w:t>
      </w:r>
      <w:r w:rsidRPr="00EF190F">
        <w:rPr>
          <w:sz w:val="16"/>
          <w:szCs w:val="16"/>
          <w:lang w:val="es-PR"/>
        </w:rPr>
        <w:t>,</w:t>
      </w:r>
      <w:r w:rsidRPr="00EF190F">
        <w:rPr>
          <w:sz w:val="16"/>
          <w:szCs w:val="16"/>
          <w:lang w:val="es-ES"/>
        </w:rPr>
        <w:t xml:space="preserve"> párr. 65, </w:t>
      </w:r>
      <w:r w:rsidRPr="00EF190F">
        <w:rPr>
          <w:sz w:val="16"/>
          <w:szCs w:val="16"/>
          <w:lang w:val="es-CR"/>
        </w:rPr>
        <w:t xml:space="preserve">y </w:t>
      </w:r>
      <w:r w:rsidRPr="00EF190F">
        <w:rPr>
          <w:i/>
          <w:sz w:val="16"/>
          <w:szCs w:val="16"/>
          <w:lang w:val="es-ES"/>
        </w:rPr>
        <w:t xml:space="preserve">Caso Masacres de El Mozote y lugares aledaños Vs. El Salvador, </w:t>
      </w:r>
      <w:r w:rsidRPr="00EF190F">
        <w:rPr>
          <w:sz w:val="16"/>
          <w:szCs w:val="16"/>
          <w:lang w:val="es-ES"/>
        </w:rPr>
        <w:t>párr. 247.</w:t>
      </w:r>
    </w:p>
  </w:footnote>
  <w:footnote w:id="228">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i/>
          <w:sz w:val="16"/>
          <w:szCs w:val="16"/>
          <w:lang w:val="es-PR"/>
        </w:rPr>
        <w:t xml:space="preserve">Cfr. Caso Contreras y otros Vs. El Salvador. Fondo, Reparaciones y Costas. </w:t>
      </w:r>
      <w:r w:rsidRPr="00EF190F">
        <w:rPr>
          <w:sz w:val="16"/>
          <w:szCs w:val="16"/>
          <w:lang w:val="es-PR"/>
        </w:rPr>
        <w:t xml:space="preserve">Sentencia de 31 de agosto de 2011. Serie C No. 232, párr. 127, y </w:t>
      </w:r>
      <w:r w:rsidRPr="00EF190F">
        <w:rPr>
          <w:bCs/>
          <w:i/>
          <w:sz w:val="16"/>
          <w:szCs w:val="16"/>
          <w:lang w:val="es-CR"/>
        </w:rPr>
        <w:t xml:space="preserve">Caso García Lucero y otras Vs. Chile. Excepción Preliminar, Fondo y Reparaciones. </w:t>
      </w:r>
      <w:r w:rsidRPr="00EF190F">
        <w:rPr>
          <w:bCs/>
          <w:sz w:val="16"/>
          <w:szCs w:val="16"/>
          <w:lang w:val="es-CR"/>
        </w:rPr>
        <w:t>Sentencia de 28 de agosto de 2013. Serie C No. 267</w:t>
      </w:r>
      <w:r w:rsidRPr="00EF190F">
        <w:rPr>
          <w:sz w:val="16"/>
          <w:szCs w:val="16"/>
          <w:lang w:val="es-PR"/>
        </w:rPr>
        <w:t>, párr. 149.</w:t>
      </w:r>
    </w:p>
  </w:footnote>
  <w:footnote w:id="229">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i/>
          <w:sz w:val="16"/>
          <w:szCs w:val="16"/>
          <w:lang w:val="es-PR"/>
        </w:rPr>
        <w:t>Cfr</w:t>
      </w:r>
      <w:r w:rsidRPr="00EF190F">
        <w:rPr>
          <w:sz w:val="16"/>
          <w:szCs w:val="16"/>
          <w:lang w:val="es-PR"/>
        </w:rPr>
        <w:t xml:space="preserve">. </w:t>
      </w:r>
      <w:r w:rsidRPr="00EF190F">
        <w:rPr>
          <w:i/>
          <w:sz w:val="16"/>
          <w:szCs w:val="16"/>
          <w:lang w:val="es-PR"/>
        </w:rPr>
        <w:t>Caso Masacres de Rio Negro Vs. Guatemala</w:t>
      </w:r>
      <w:r w:rsidRPr="00EF190F">
        <w:rPr>
          <w:sz w:val="16"/>
          <w:szCs w:val="16"/>
          <w:lang w:val="es-PR"/>
        </w:rPr>
        <w:t>, párr. 222.</w:t>
      </w:r>
    </w:p>
  </w:footnote>
  <w:footnote w:id="230">
    <w:p w:rsidR="006A0E1C" w:rsidRPr="00EF190F" w:rsidRDefault="006A0E1C" w:rsidP="006A0E1C">
      <w:pPr>
        <w:pStyle w:val="FootnoteText"/>
        <w:tabs>
          <w:tab w:val="left" w:pos="360"/>
        </w:tabs>
        <w:rPr>
          <w:sz w:val="16"/>
          <w:szCs w:val="16"/>
          <w:lang w:val="es-ES"/>
        </w:rPr>
      </w:pPr>
      <w:r w:rsidRPr="00EF190F">
        <w:rPr>
          <w:rStyle w:val="FootnoteReference"/>
          <w:sz w:val="16"/>
          <w:szCs w:val="16"/>
        </w:rPr>
        <w:footnoteRef/>
      </w:r>
      <w:r w:rsidRPr="00EF190F">
        <w:rPr>
          <w:sz w:val="16"/>
          <w:szCs w:val="16"/>
          <w:lang w:val="es-PR"/>
        </w:rPr>
        <w:t xml:space="preserve"> </w:t>
      </w:r>
      <w:r w:rsidRPr="00EF190F">
        <w:rPr>
          <w:sz w:val="16"/>
          <w:szCs w:val="16"/>
          <w:lang w:val="es-ES"/>
        </w:rPr>
        <w:tab/>
      </w:r>
      <w:r w:rsidRPr="00EF190F">
        <w:rPr>
          <w:i/>
          <w:sz w:val="16"/>
          <w:szCs w:val="16"/>
          <w:lang w:val="es-ES"/>
        </w:rPr>
        <w:t xml:space="preserve">Cfr. </w:t>
      </w:r>
      <w:r w:rsidRPr="00EF190F">
        <w:rPr>
          <w:bCs/>
          <w:i/>
          <w:color w:val="000000"/>
          <w:sz w:val="16"/>
          <w:szCs w:val="16"/>
          <w:lang w:val="es-PR"/>
        </w:rPr>
        <w:t>Caso del Penal Miguel Castro Castro Vs. Perú</w:t>
      </w:r>
      <w:r w:rsidRPr="00EF190F">
        <w:rPr>
          <w:bCs/>
          <w:color w:val="000000"/>
          <w:sz w:val="16"/>
          <w:szCs w:val="16"/>
          <w:lang w:val="es-PR"/>
        </w:rPr>
        <w:t xml:space="preserve">. </w:t>
      </w:r>
      <w:r w:rsidRPr="00EF190F">
        <w:rPr>
          <w:bCs/>
          <w:i/>
          <w:color w:val="000000"/>
          <w:sz w:val="16"/>
          <w:szCs w:val="16"/>
          <w:lang w:val="es-PR"/>
        </w:rPr>
        <w:t>Fondo, Reparaciones y Costas.</w:t>
      </w:r>
      <w:r w:rsidRPr="00EF190F">
        <w:rPr>
          <w:bCs/>
          <w:color w:val="000000"/>
          <w:sz w:val="16"/>
          <w:szCs w:val="16"/>
          <w:lang w:val="es-PR"/>
        </w:rPr>
        <w:t xml:space="preserve"> Sentencia de 25 de noviembre de 2006. Serie C No. 160,</w:t>
      </w:r>
      <w:r w:rsidRPr="00EF190F">
        <w:rPr>
          <w:color w:val="000000"/>
          <w:sz w:val="16"/>
          <w:szCs w:val="16"/>
          <w:lang w:val="es-PR"/>
        </w:rPr>
        <w:t xml:space="preserve"> párr. 377</w:t>
      </w:r>
      <w:r w:rsidRPr="00EF190F">
        <w:rPr>
          <w:sz w:val="16"/>
          <w:szCs w:val="16"/>
          <w:lang w:val="es-ES"/>
        </w:rPr>
        <w:t xml:space="preserve">, y </w:t>
      </w:r>
      <w:r w:rsidRPr="00EF190F">
        <w:rPr>
          <w:i/>
          <w:sz w:val="16"/>
          <w:szCs w:val="16"/>
          <w:lang w:val="es-ES"/>
        </w:rPr>
        <w:t>Caso Masacres de El Mozote y lugares aledaños Vs. El Salvador</w:t>
      </w:r>
      <w:r w:rsidRPr="00EF190F">
        <w:rPr>
          <w:sz w:val="16"/>
          <w:szCs w:val="16"/>
          <w:lang w:val="es-ES"/>
        </w:rPr>
        <w:t>, párr. 246.</w:t>
      </w:r>
    </w:p>
  </w:footnote>
  <w:footnote w:id="231">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Caso Trabajadores de la Hacienda Brasil Verde Vs. Brasil. Excepciones preliminares, fondo, reparaciones y costas. </w:t>
      </w:r>
      <w:r w:rsidRPr="00EF190F">
        <w:rPr>
          <w:sz w:val="16"/>
          <w:szCs w:val="16"/>
        </w:rPr>
        <w:t xml:space="preserve">Sentencia de 20 de octubre de 2016. Serie C No. 318, párr. 454. </w:t>
      </w:r>
    </w:p>
  </w:footnote>
  <w:footnote w:id="232">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B07943">
        <w:rPr>
          <w:sz w:val="16"/>
          <w:szCs w:val="16"/>
          <w:lang w:val="pt-BR"/>
        </w:rPr>
        <w:t xml:space="preserve"> </w:t>
      </w:r>
      <w:r w:rsidRPr="00B07943">
        <w:rPr>
          <w:sz w:val="16"/>
          <w:szCs w:val="16"/>
          <w:lang w:val="pt-BR"/>
        </w:rPr>
        <w:tab/>
      </w:r>
      <w:r w:rsidRPr="00B07943">
        <w:rPr>
          <w:i/>
          <w:sz w:val="16"/>
          <w:szCs w:val="16"/>
          <w:lang w:val="pt-BR"/>
        </w:rPr>
        <w:t>Cfr</w:t>
      </w:r>
      <w:r w:rsidRPr="00B07943">
        <w:rPr>
          <w:sz w:val="16"/>
          <w:szCs w:val="16"/>
          <w:lang w:val="pt-BR"/>
        </w:rPr>
        <w:t xml:space="preserve">. </w:t>
      </w:r>
      <w:r w:rsidRPr="00B07943">
        <w:rPr>
          <w:i/>
          <w:sz w:val="16"/>
          <w:szCs w:val="16"/>
          <w:lang w:val="pt-BR"/>
        </w:rPr>
        <w:t xml:space="preserve">Caso Masacres de Rio Negro Vs. </w:t>
      </w:r>
      <w:r w:rsidRPr="00EF190F">
        <w:rPr>
          <w:i/>
          <w:sz w:val="16"/>
          <w:szCs w:val="16"/>
          <w:lang w:val="es-PR"/>
        </w:rPr>
        <w:t>Guatemala</w:t>
      </w:r>
      <w:r w:rsidRPr="00EF190F">
        <w:rPr>
          <w:sz w:val="16"/>
          <w:szCs w:val="16"/>
          <w:lang w:val="es-PR"/>
        </w:rPr>
        <w:t>, párr. 225.</w:t>
      </w:r>
    </w:p>
  </w:footnote>
  <w:footnote w:id="233">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lang w:val="es-CR"/>
        </w:rPr>
        <w:t xml:space="preserve">Cfr. </w:t>
      </w:r>
      <w:r w:rsidRPr="00EF190F">
        <w:rPr>
          <w:sz w:val="16"/>
          <w:szCs w:val="16"/>
          <w:lang w:val="es-CR"/>
        </w:rPr>
        <w:t xml:space="preserve">Denuncia de Ana Calate Sic presentada el 29 de marzo de 1993 (expediente de prueba, folios 729 y 730) y Ratificación de la denuncia de Ana Calate Sic presentada el 19 de abril de 1993 </w:t>
      </w:r>
      <w:r w:rsidRPr="00EF190F">
        <w:rPr>
          <w:rFonts w:cs="Arial"/>
          <w:sz w:val="16"/>
          <w:szCs w:val="16"/>
          <w:lang w:val="es-CR"/>
        </w:rPr>
        <w:t>(expediente de prueba,</w:t>
      </w:r>
      <w:r w:rsidRPr="00EF190F">
        <w:rPr>
          <w:sz w:val="16"/>
          <w:szCs w:val="16"/>
          <w:lang w:val="es-CR"/>
        </w:rPr>
        <w:t xml:space="preserve"> folios 718 a 721).</w:t>
      </w:r>
    </w:p>
  </w:footnote>
  <w:footnote w:id="234">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t>Entre</w:t>
      </w:r>
      <w:r w:rsidRPr="00EF190F">
        <w:rPr>
          <w:rFonts w:cs="Arial"/>
          <w:sz w:val="16"/>
          <w:szCs w:val="16"/>
        </w:rPr>
        <w:t xml:space="preserve"> ellos, tres documentos de “inscripción militar”, una “credencial de reservistas militares” y varios casquillos “oxidados posiblemente de calibre 22 de pistola”. </w:t>
      </w:r>
      <w:r w:rsidRPr="00EF190F">
        <w:rPr>
          <w:rFonts w:cs="Arial"/>
          <w:i/>
          <w:sz w:val="16"/>
          <w:szCs w:val="16"/>
        </w:rPr>
        <w:t xml:space="preserve">Cfr. </w:t>
      </w:r>
      <w:r w:rsidRPr="00EF190F">
        <w:rPr>
          <w:sz w:val="16"/>
          <w:szCs w:val="16"/>
          <w:lang w:val="es-CR"/>
        </w:rPr>
        <w:t>Informe del Médico Forense Departamental de 10 de agosto de 1993 (expediente de prueba, folios 655 a 658).</w:t>
      </w:r>
    </w:p>
  </w:footnote>
  <w:footnote w:id="235">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rFonts w:cs="Arial"/>
          <w:i/>
          <w:sz w:val="16"/>
          <w:szCs w:val="16"/>
        </w:rPr>
        <w:t xml:space="preserve">Cfr. </w:t>
      </w:r>
      <w:r w:rsidRPr="00EF190F">
        <w:rPr>
          <w:sz w:val="16"/>
          <w:szCs w:val="16"/>
          <w:lang w:val="es-CR"/>
        </w:rPr>
        <w:t>Oficio del Juez de Primera Instancia al Juez de Paz de Rabinal (expediente de prueba, folio 628).</w:t>
      </w:r>
    </w:p>
  </w:footnote>
  <w:footnote w:id="236">
    <w:p w:rsidR="006A0E1C" w:rsidRPr="00EF190F" w:rsidRDefault="006A0E1C" w:rsidP="006A0E1C">
      <w:pPr>
        <w:tabs>
          <w:tab w:val="left" w:pos="360"/>
        </w:tabs>
        <w:autoSpaceDE w:val="0"/>
        <w:autoSpaceDN w:val="0"/>
        <w:spacing w:line="240" w:lineRule="auto"/>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rFonts w:cs="Arial"/>
          <w:i/>
          <w:sz w:val="16"/>
          <w:szCs w:val="16"/>
        </w:rPr>
        <w:t xml:space="preserve">Cfr. </w:t>
      </w:r>
      <w:r w:rsidRPr="00EF190F">
        <w:rPr>
          <w:sz w:val="16"/>
          <w:szCs w:val="16"/>
        </w:rPr>
        <w:t xml:space="preserve">Escrito presentado por </w:t>
      </w:r>
      <w:r w:rsidRPr="00EF190F">
        <w:rPr>
          <w:rFonts w:cs="Arial"/>
          <w:bCs/>
          <w:sz w:val="16"/>
          <w:szCs w:val="16"/>
        </w:rPr>
        <w:t xml:space="preserve">Miguel Sic, Fabiana Chen </w:t>
      </w:r>
      <w:r w:rsidRPr="00EF190F">
        <w:rPr>
          <w:bCs/>
          <w:sz w:val="16"/>
          <w:szCs w:val="16"/>
        </w:rPr>
        <w:t xml:space="preserve">y </w:t>
      </w:r>
      <w:r w:rsidRPr="00EF190F">
        <w:rPr>
          <w:rFonts w:cs="Arial"/>
          <w:bCs/>
          <w:sz w:val="16"/>
          <w:szCs w:val="16"/>
        </w:rPr>
        <w:t xml:space="preserve">Teresa Cacaj el 5 de diciembre de 1997 para constituirse como querellantes adhesivos </w:t>
      </w:r>
      <w:r w:rsidRPr="00EF190F">
        <w:rPr>
          <w:rFonts w:cs="Arial"/>
          <w:sz w:val="16"/>
          <w:szCs w:val="16"/>
        </w:rPr>
        <w:t>(expediente de prueba,</w:t>
      </w:r>
      <w:r w:rsidRPr="00EF190F">
        <w:rPr>
          <w:rFonts w:cs="Arial"/>
          <w:bCs/>
          <w:sz w:val="16"/>
          <w:szCs w:val="16"/>
        </w:rPr>
        <w:t xml:space="preserve"> folios 636 a 645).</w:t>
      </w:r>
    </w:p>
  </w:footnote>
  <w:footnote w:id="237">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rFonts w:cs="Arial"/>
          <w:i/>
          <w:sz w:val="16"/>
          <w:szCs w:val="16"/>
        </w:rPr>
        <w:t xml:space="preserve">Cfr. </w:t>
      </w:r>
      <w:r w:rsidRPr="00EF190F">
        <w:rPr>
          <w:sz w:val="16"/>
          <w:szCs w:val="16"/>
          <w:lang w:val="es-CR"/>
        </w:rPr>
        <w:t xml:space="preserve">Escrito de </w:t>
      </w:r>
      <w:r w:rsidRPr="00EF190F">
        <w:rPr>
          <w:rFonts w:cs="Arial"/>
          <w:bCs/>
          <w:sz w:val="16"/>
          <w:szCs w:val="16"/>
          <w:lang w:val="es-CR"/>
        </w:rPr>
        <w:t xml:space="preserve">Miguel Sic, Fabiana Chen </w:t>
      </w:r>
      <w:r w:rsidRPr="00EF190F">
        <w:rPr>
          <w:bCs/>
          <w:sz w:val="16"/>
          <w:szCs w:val="16"/>
          <w:lang w:val="es-CR"/>
        </w:rPr>
        <w:t xml:space="preserve">y </w:t>
      </w:r>
      <w:r w:rsidRPr="00EF190F">
        <w:rPr>
          <w:rFonts w:cs="Arial"/>
          <w:bCs/>
          <w:sz w:val="16"/>
          <w:szCs w:val="16"/>
          <w:lang w:val="es-CR"/>
        </w:rPr>
        <w:t xml:space="preserve">Teresa Cacaj presentado el 29 de enero de 1998 </w:t>
      </w:r>
      <w:r w:rsidRPr="00EF190F">
        <w:rPr>
          <w:rFonts w:cs="Arial"/>
          <w:sz w:val="16"/>
          <w:szCs w:val="16"/>
          <w:lang w:val="es-CR"/>
        </w:rPr>
        <w:t>(expediente de prueba,</w:t>
      </w:r>
      <w:r w:rsidRPr="00EF190F">
        <w:rPr>
          <w:rFonts w:cs="Arial"/>
          <w:bCs/>
          <w:sz w:val="16"/>
          <w:szCs w:val="16"/>
          <w:lang w:val="es-CR"/>
        </w:rPr>
        <w:t xml:space="preserve"> folios 632 y 633).</w:t>
      </w:r>
    </w:p>
  </w:footnote>
  <w:footnote w:id="238">
    <w:p w:rsidR="006A0E1C" w:rsidRPr="00EF190F" w:rsidRDefault="006A0E1C" w:rsidP="006A0E1C">
      <w:pPr>
        <w:tabs>
          <w:tab w:val="left" w:pos="360"/>
        </w:tabs>
        <w:autoSpaceDE w:val="0"/>
        <w:autoSpaceDN w:val="0"/>
        <w:spacing w:line="240" w:lineRule="auto"/>
        <w:rPr>
          <w:rFonts w:cs="Arial"/>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rFonts w:cs="Arial"/>
          <w:i/>
          <w:sz w:val="16"/>
          <w:szCs w:val="16"/>
        </w:rPr>
        <w:t xml:space="preserve">Cfr. </w:t>
      </w:r>
      <w:r w:rsidRPr="00EF190F">
        <w:rPr>
          <w:sz w:val="16"/>
          <w:szCs w:val="16"/>
        </w:rPr>
        <w:t>I</w:t>
      </w:r>
      <w:r w:rsidRPr="00EF190F">
        <w:rPr>
          <w:rFonts w:cs="Arial"/>
          <w:sz w:val="16"/>
          <w:szCs w:val="16"/>
        </w:rPr>
        <w:t xml:space="preserve">nforme de Investigaciones Antropológico Forenses, aldea Chichupac, presentado por el EAFG en julio de </w:t>
      </w:r>
      <w:r w:rsidRPr="00EF190F">
        <w:rPr>
          <w:sz w:val="16"/>
          <w:szCs w:val="16"/>
        </w:rPr>
        <w:t xml:space="preserve">1993 </w:t>
      </w:r>
      <w:r w:rsidRPr="00EF190F">
        <w:rPr>
          <w:rFonts w:cs="Arial"/>
          <w:sz w:val="16"/>
          <w:szCs w:val="16"/>
        </w:rPr>
        <w:t>(expediente de prueba,</w:t>
      </w:r>
      <w:r w:rsidRPr="00EF190F">
        <w:rPr>
          <w:sz w:val="16"/>
          <w:szCs w:val="16"/>
        </w:rPr>
        <w:t xml:space="preserve"> folios 511, 540 y 541); </w:t>
      </w:r>
      <w:r w:rsidRPr="00EF190F">
        <w:rPr>
          <w:rFonts w:cs="Arial"/>
          <w:sz w:val="16"/>
          <w:szCs w:val="16"/>
        </w:rPr>
        <w:t>Actas de exhumación de cadáveres del Juez de Paz de Rabinal durante el período del 6 al 19 de mayo de 1993</w:t>
      </w:r>
      <w:r w:rsidRPr="00EF190F">
        <w:rPr>
          <w:sz w:val="16"/>
          <w:szCs w:val="16"/>
        </w:rPr>
        <w:t xml:space="preserve"> (expediente de prueba, folios 665 a 688); Oficio Número 830/jixt remitido por el Comisario de Policía de Salamá de 17 de mayo de 1993 (expediente de prueba, folios 689 a 692), y Oficio Número 856/jgc remitido por el Comisario de Policía de Salamá el 20 de mayo de 1993 (expediente de prueba, folios 663 a 664)</w:t>
      </w:r>
      <w:r w:rsidRPr="00EF190F">
        <w:rPr>
          <w:rFonts w:cs="Arial"/>
          <w:sz w:val="16"/>
          <w:szCs w:val="16"/>
        </w:rPr>
        <w:t>.</w:t>
      </w:r>
    </w:p>
  </w:footnote>
  <w:footnote w:id="239">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rFonts w:cs="Arial"/>
          <w:i/>
          <w:sz w:val="16"/>
          <w:szCs w:val="16"/>
        </w:rPr>
        <w:t xml:space="preserve">Cfr. </w:t>
      </w:r>
      <w:r w:rsidRPr="00EF190F">
        <w:rPr>
          <w:i/>
          <w:sz w:val="16"/>
          <w:szCs w:val="16"/>
          <w:lang w:val="es-PR"/>
        </w:rPr>
        <w:t xml:space="preserve">Caso Velásquez Rodríguez Vs. Honduras. Fondo, </w:t>
      </w:r>
      <w:r w:rsidRPr="00EF190F">
        <w:rPr>
          <w:sz w:val="16"/>
          <w:szCs w:val="16"/>
          <w:lang w:val="es-PR"/>
        </w:rPr>
        <w:t xml:space="preserve">párr. 181, y </w:t>
      </w:r>
      <w:r w:rsidRPr="00EF190F">
        <w:rPr>
          <w:i/>
          <w:sz w:val="16"/>
          <w:szCs w:val="16"/>
          <w:lang w:val="es-PR"/>
        </w:rPr>
        <w:t xml:space="preserve">Caso Masacres de Rio Negro Vs. Guatemala, </w:t>
      </w:r>
      <w:r w:rsidRPr="00EF190F">
        <w:rPr>
          <w:sz w:val="16"/>
          <w:szCs w:val="16"/>
          <w:lang w:val="es-PR"/>
        </w:rPr>
        <w:t xml:space="preserve">párr. 217. </w:t>
      </w:r>
    </w:p>
  </w:footnote>
  <w:footnote w:id="240">
    <w:p w:rsidR="006A0E1C" w:rsidRPr="00EF190F" w:rsidRDefault="006A0E1C" w:rsidP="006A0E1C">
      <w:pPr>
        <w:pStyle w:val="FootnoteText"/>
        <w:tabs>
          <w:tab w:val="left" w:pos="360"/>
        </w:tabs>
        <w:rPr>
          <w:sz w:val="16"/>
          <w:szCs w:val="16"/>
          <w:lang w:val="es-GT"/>
        </w:rPr>
      </w:pPr>
      <w:r w:rsidRPr="00EF190F">
        <w:rPr>
          <w:rStyle w:val="FootnoteReference"/>
          <w:sz w:val="16"/>
          <w:szCs w:val="16"/>
        </w:rPr>
        <w:footnoteRef/>
      </w:r>
      <w:r w:rsidRPr="00EF190F">
        <w:rPr>
          <w:sz w:val="16"/>
          <w:szCs w:val="16"/>
        </w:rPr>
        <w:t xml:space="preserve"> </w:t>
      </w:r>
      <w:r w:rsidRPr="00EF190F">
        <w:rPr>
          <w:sz w:val="16"/>
          <w:szCs w:val="16"/>
          <w:lang w:val="es-GT"/>
        </w:rPr>
        <w:tab/>
      </w:r>
      <w:r w:rsidRPr="00EF190F">
        <w:rPr>
          <w:rFonts w:cs="Arial"/>
          <w:sz w:val="16"/>
          <w:szCs w:val="16"/>
        </w:rPr>
        <w:t xml:space="preserve">Solicitaron, entre otros, que se ordenara la aprehensión de los sindicados, decretándose prisión preventiva. </w:t>
      </w:r>
      <w:r w:rsidRPr="00EF190F">
        <w:rPr>
          <w:rFonts w:cs="Arial"/>
          <w:i/>
          <w:sz w:val="16"/>
          <w:szCs w:val="16"/>
        </w:rPr>
        <w:t xml:space="preserve">Cfr. </w:t>
      </w:r>
      <w:r w:rsidRPr="00EF190F">
        <w:rPr>
          <w:sz w:val="16"/>
          <w:szCs w:val="16"/>
        </w:rPr>
        <w:t xml:space="preserve">Escrito presentado por </w:t>
      </w:r>
      <w:r w:rsidRPr="00EF190F">
        <w:rPr>
          <w:rFonts w:cs="Arial"/>
          <w:bCs/>
          <w:sz w:val="16"/>
          <w:szCs w:val="16"/>
        </w:rPr>
        <w:t xml:space="preserve">Miguel Sic, Fabiana Chen </w:t>
      </w:r>
      <w:r w:rsidRPr="00EF190F">
        <w:rPr>
          <w:bCs/>
          <w:sz w:val="16"/>
          <w:szCs w:val="16"/>
        </w:rPr>
        <w:t xml:space="preserve">y </w:t>
      </w:r>
      <w:r w:rsidRPr="00EF190F">
        <w:rPr>
          <w:rFonts w:cs="Arial"/>
          <w:bCs/>
          <w:sz w:val="16"/>
          <w:szCs w:val="16"/>
        </w:rPr>
        <w:t xml:space="preserve">Teresa Cacaj el 5 de diciembre de 1997 para constituirse como querellantes adhesivos </w:t>
      </w:r>
      <w:r w:rsidRPr="00EF190F">
        <w:rPr>
          <w:rFonts w:cs="Arial"/>
          <w:sz w:val="16"/>
          <w:szCs w:val="16"/>
          <w:lang w:val="es-CR"/>
        </w:rPr>
        <w:t>(expediente de prueba,</w:t>
      </w:r>
      <w:r w:rsidRPr="00EF190F">
        <w:rPr>
          <w:rFonts w:cs="Arial"/>
          <w:bCs/>
          <w:sz w:val="16"/>
          <w:szCs w:val="16"/>
        </w:rPr>
        <w:t xml:space="preserve"> folios 636 a 645).</w:t>
      </w:r>
    </w:p>
  </w:footnote>
  <w:footnote w:id="241">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rFonts w:cs="Arial"/>
          <w:i/>
          <w:sz w:val="16"/>
          <w:szCs w:val="16"/>
          <w:lang w:val="es-PR"/>
        </w:rPr>
        <w:t>Cfr.</w:t>
      </w:r>
      <w:r w:rsidRPr="00EF190F">
        <w:rPr>
          <w:rFonts w:cs="Arial"/>
          <w:sz w:val="16"/>
          <w:szCs w:val="16"/>
          <w:lang w:val="es-PR"/>
        </w:rPr>
        <w:t xml:space="preserve"> </w:t>
      </w:r>
      <w:r w:rsidRPr="00EF190F">
        <w:rPr>
          <w:sz w:val="16"/>
          <w:szCs w:val="16"/>
          <w:lang w:val="es-CR"/>
        </w:rPr>
        <w:t xml:space="preserve">Declaración de </w:t>
      </w:r>
      <w:r w:rsidRPr="00EF190F">
        <w:rPr>
          <w:rFonts w:cs="Arial"/>
          <w:sz w:val="16"/>
          <w:szCs w:val="16"/>
          <w:lang w:val="es-CR"/>
        </w:rPr>
        <w:t xml:space="preserve">Miguel Sic Osorio de 27 de abril de 1999 (expediente de prueba, folios 610 a 612); </w:t>
      </w:r>
      <w:r w:rsidRPr="00EF190F">
        <w:rPr>
          <w:sz w:val="16"/>
          <w:szCs w:val="16"/>
          <w:lang w:val="es-CR"/>
        </w:rPr>
        <w:t>Declaración</w:t>
      </w:r>
      <w:r w:rsidRPr="00EF190F">
        <w:rPr>
          <w:rFonts w:cs="Arial"/>
          <w:sz w:val="16"/>
          <w:szCs w:val="16"/>
          <w:lang w:val="es-CR"/>
        </w:rPr>
        <w:t xml:space="preserve"> de Fabiana Chen Galiego de 27 de abril de 1999 (expediente de prueba, folios 613 a 615), y </w:t>
      </w:r>
      <w:r w:rsidRPr="00EF190F">
        <w:rPr>
          <w:sz w:val="16"/>
          <w:szCs w:val="16"/>
          <w:lang w:val="es-CR"/>
        </w:rPr>
        <w:t xml:space="preserve">Declaración de </w:t>
      </w:r>
      <w:r w:rsidRPr="00EF190F">
        <w:rPr>
          <w:rFonts w:cs="Arial"/>
          <w:sz w:val="16"/>
          <w:szCs w:val="16"/>
          <w:lang w:val="es-CR"/>
        </w:rPr>
        <w:t>Teresa Cacaj Cahuec de 27 de abril de 1999</w:t>
      </w:r>
      <w:r w:rsidRPr="00EF190F">
        <w:rPr>
          <w:rFonts w:cs="Arial"/>
          <w:bCs/>
          <w:sz w:val="16"/>
          <w:szCs w:val="16"/>
          <w:lang w:val="es-CR"/>
        </w:rPr>
        <w:t xml:space="preserve"> (expediente de prueba, folios 606 a 609).</w:t>
      </w:r>
    </w:p>
  </w:footnote>
  <w:footnote w:id="242">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rFonts w:cs="Arial"/>
          <w:i/>
          <w:sz w:val="16"/>
          <w:szCs w:val="16"/>
          <w:lang w:val="es-PR"/>
        </w:rPr>
        <w:t>Cfr.</w:t>
      </w:r>
      <w:r w:rsidRPr="00EF190F">
        <w:rPr>
          <w:rFonts w:cs="Arial"/>
          <w:sz w:val="16"/>
          <w:szCs w:val="16"/>
          <w:lang w:val="es-PR"/>
        </w:rPr>
        <w:t xml:space="preserve"> </w:t>
      </w:r>
      <w:r w:rsidRPr="00EF190F">
        <w:rPr>
          <w:sz w:val="16"/>
          <w:szCs w:val="16"/>
          <w:lang w:val="es-CR"/>
        </w:rPr>
        <w:t xml:space="preserve">Declaración de </w:t>
      </w:r>
      <w:r w:rsidRPr="00EF190F">
        <w:rPr>
          <w:rFonts w:cs="Arial"/>
          <w:sz w:val="16"/>
          <w:szCs w:val="16"/>
          <w:lang w:val="es-CR"/>
        </w:rPr>
        <w:t xml:space="preserve">Miguel Sic Osorio y Teresa Cacaj Cahuec de 28 de junio de 1999 (expediente de prueba, folios 1013 a 1015); </w:t>
      </w:r>
      <w:r w:rsidRPr="00EF190F">
        <w:rPr>
          <w:sz w:val="16"/>
          <w:szCs w:val="16"/>
          <w:lang w:val="es-CR"/>
        </w:rPr>
        <w:t>Declaración de</w:t>
      </w:r>
      <w:r w:rsidRPr="00EF190F">
        <w:rPr>
          <w:rFonts w:cs="Arial"/>
          <w:sz w:val="16"/>
          <w:szCs w:val="16"/>
          <w:lang w:val="es-CR"/>
        </w:rPr>
        <w:t xml:space="preserve"> Susana Pancan de 28 de junio de 1999 (expediente de prueba, folios 1016 a 1017), y </w:t>
      </w:r>
      <w:r w:rsidRPr="00EF190F">
        <w:rPr>
          <w:sz w:val="16"/>
          <w:szCs w:val="16"/>
          <w:lang w:val="es-CR"/>
        </w:rPr>
        <w:t>Declaración de Pedro Chen Sic</w:t>
      </w:r>
      <w:r w:rsidRPr="00EF190F">
        <w:rPr>
          <w:rFonts w:cs="Arial"/>
          <w:sz w:val="16"/>
          <w:szCs w:val="16"/>
          <w:lang w:val="es-CR"/>
        </w:rPr>
        <w:t xml:space="preserve"> de 28 de junio de 1999 (expediente de prueba, folios 1022 y 1023)</w:t>
      </w:r>
      <w:r w:rsidRPr="00EF190F">
        <w:rPr>
          <w:sz w:val="16"/>
          <w:szCs w:val="16"/>
          <w:lang w:val="es-CR"/>
        </w:rPr>
        <w:t>.</w:t>
      </w:r>
    </w:p>
  </w:footnote>
  <w:footnote w:id="243">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lang w:val="es-GT"/>
        </w:rPr>
        <w:t xml:space="preserve"> </w:t>
      </w:r>
      <w:r w:rsidRPr="00EF190F">
        <w:rPr>
          <w:sz w:val="16"/>
          <w:szCs w:val="16"/>
          <w:lang w:val="es-GT"/>
        </w:rPr>
        <w:tab/>
      </w:r>
      <w:r w:rsidRPr="00EF190F">
        <w:rPr>
          <w:rFonts w:cs="Arial"/>
          <w:i/>
          <w:sz w:val="16"/>
          <w:szCs w:val="16"/>
          <w:lang w:val="es-PR"/>
        </w:rPr>
        <w:t>Cfr.</w:t>
      </w:r>
      <w:r w:rsidRPr="00EF190F">
        <w:rPr>
          <w:rFonts w:cs="Arial"/>
          <w:sz w:val="16"/>
          <w:szCs w:val="16"/>
          <w:lang w:val="es-PR"/>
        </w:rPr>
        <w:t xml:space="preserve"> </w:t>
      </w:r>
      <w:r w:rsidRPr="00EF190F">
        <w:rPr>
          <w:sz w:val="16"/>
          <w:szCs w:val="16"/>
        </w:rPr>
        <w:t xml:space="preserve">Oficio del </w:t>
      </w:r>
      <w:r w:rsidRPr="00EF190F">
        <w:rPr>
          <w:rFonts w:cs="Arial"/>
          <w:sz w:val="16"/>
          <w:szCs w:val="16"/>
        </w:rPr>
        <w:t>Auxiliar Fiscal de la Fiscalía Distrital del Ministerio Público de Salamá de 21 de junio de 2000 (expediente de prueba, folios 1099 y 8633)</w:t>
      </w:r>
      <w:r w:rsidRPr="00EF190F">
        <w:rPr>
          <w:sz w:val="16"/>
          <w:szCs w:val="16"/>
          <w:lang w:val="es-CR"/>
        </w:rPr>
        <w:t>.</w:t>
      </w:r>
    </w:p>
  </w:footnote>
  <w:footnote w:id="244">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lang w:val="es-GT"/>
        </w:rPr>
        <w:t xml:space="preserve"> </w:t>
      </w:r>
      <w:r w:rsidRPr="00EF190F">
        <w:rPr>
          <w:sz w:val="16"/>
          <w:szCs w:val="16"/>
          <w:lang w:val="es-GT"/>
        </w:rPr>
        <w:tab/>
      </w:r>
      <w:r w:rsidRPr="00EF190F">
        <w:rPr>
          <w:rFonts w:cs="Arial"/>
          <w:i/>
          <w:sz w:val="16"/>
          <w:szCs w:val="16"/>
          <w:lang w:val="es-PR"/>
        </w:rPr>
        <w:t>Cfr.</w:t>
      </w:r>
      <w:r w:rsidRPr="00EF190F">
        <w:rPr>
          <w:rFonts w:cs="Arial"/>
          <w:sz w:val="16"/>
          <w:szCs w:val="16"/>
          <w:lang w:val="es-PR"/>
        </w:rPr>
        <w:t xml:space="preserve"> </w:t>
      </w:r>
      <w:r w:rsidRPr="00EF190F">
        <w:rPr>
          <w:sz w:val="16"/>
          <w:szCs w:val="16"/>
        </w:rPr>
        <w:t xml:space="preserve">Oficio del </w:t>
      </w:r>
      <w:r w:rsidRPr="00EF190F">
        <w:rPr>
          <w:rFonts w:cs="Arial"/>
          <w:sz w:val="16"/>
          <w:szCs w:val="16"/>
        </w:rPr>
        <w:t xml:space="preserve">Encargado del Registro de Vecindad de Rabinal de 3 de julio de 2000 </w:t>
      </w:r>
      <w:r w:rsidRPr="00EF190F">
        <w:rPr>
          <w:rFonts w:cs="Arial"/>
          <w:sz w:val="16"/>
          <w:szCs w:val="16"/>
          <w:lang w:val="es-CR"/>
        </w:rPr>
        <w:t xml:space="preserve">(expediente de prueba, </w:t>
      </w:r>
      <w:r w:rsidRPr="00EF190F">
        <w:rPr>
          <w:rFonts w:cs="Arial"/>
          <w:sz w:val="16"/>
          <w:szCs w:val="16"/>
        </w:rPr>
        <w:t>folio 8628).</w:t>
      </w:r>
    </w:p>
  </w:footnote>
  <w:footnote w:id="245">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rFonts w:cs="Arial"/>
          <w:i/>
          <w:sz w:val="16"/>
          <w:szCs w:val="16"/>
          <w:lang w:val="es-PR"/>
        </w:rPr>
        <w:t>Cfr.</w:t>
      </w:r>
      <w:r w:rsidRPr="00EF190F">
        <w:rPr>
          <w:rFonts w:cs="Arial"/>
          <w:sz w:val="16"/>
          <w:szCs w:val="16"/>
          <w:lang w:val="es-PR"/>
        </w:rPr>
        <w:t xml:space="preserve"> </w:t>
      </w:r>
      <w:r w:rsidRPr="00EF190F">
        <w:rPr>
          <w:sz w:val="16"/>
          <w:szCs w:val="16"/>
          <w:lang w:val="es-CR"/>
        </w:rPr>
        <w:t xml:space="preserve">Declaración de Pedro Chen Sic de 12 de julio de 2005 (expediente de prueba, folios 733 a 740); Declaración de Máxima Emiliana García Valey de 12 de julio de 2005 (expediente de prueba, folios 748 a 754); </w:t>
      </w:r>
      <w:r w:rsidRPr="00EF190F">
        <w:rPr>
          <w:sz w:val="16"/>
          <w:szCs w:val="16"/>
        </w:rPr>
        <w:t xml:space="preserve">Declaración de Miguel Chen Tahuico de 27 de julio de 2005 (expediente de prueba, folios 8727 a 8731); </w:t>
      </w:r>
      <w:r w:rsidRPr="00EF190F">
        <w:rPr>
          <w:sz w:val="16"/>
          <w:szCs w:val="16"/>
          <w:lang w:val="es-CR"/>
        </w:rPr>
        <w:t xml:space="preserve">Declaración de Ana Calate Sic de 27 de julio de 2005 </w:t>
      </w:r>
      <w:r w:rsidRPr="00EF190F">
        <w:rPr>
          <w:sz w:val="16"/>
          <w:szCs w:val="16"/>
        </w:rPr>
        <w:t xml:space="preserve">(expediente de prueba, </w:t>
      </w:r>
      <w:r w:rsidRPr="00EF190F">
        <w:rPr>
          <w:sz w:val="16"/>
          <w:szCs w:val="16"/>
          <w:lang w:val="es-CR"/>
        </w:rPr>
        <w:t>folios 8737 a 8740)</w:t>
      </w:r>
      <w:r w:rsidRPr="00EF190F">
        <w:rPr>
          <w:rFonts w:cs="Arial"/>
          <w:sz w:val="16"/>
          <w:szCs w:val="16"/>
        </w:rPr>
        <w:t xml:space="preserve">; </w:t>
      </w:r>
      <w:r w:rsidRPr="00EF190F">
        <w:rPr>
          <w:sz w:val="16"/>
          <w:szCs w:val="16"/>
          <w:lang w:val="es-CR"/>
        </w:rPr>
        <w:t xml:space="preserve">Declaración de Domingo Chen Tahuico de 27 de julio de 2005 </w:t>
      </w:r>
      <w:r w:rsidRPr="00EF190F">
        <w:rPr>
          <w:sz w:val="16"/>
          <w:szCs w:val="16"/>
        </w:rPr>
        <w:t xml:space="preserve">(expediente de prueba, </w:t>
      </w:r>
      <w:r w:rsidRPr="00EF190F">
        <w:rPr>
          <w:sz w:val="16"/>
          <w:szCs w:val="16"/>
          <w:lang w:val="es-CR"/>
        </w:rPr>
        <w:t>folios 8741 a 8743)</w:t>
      </w:r>
      <w:r w:rsidRPr="00EF190F">
        <w:rPr>
          <w:rFonts w:cs="Arial"/>
          <w:sz w:val="16"/>
          <w:szCs w:val="16"/>
        </w:rPr>
        <w:t xml:space="preserve">; </w:t>
      </w:r>
      <w:r w:rsidRPr="00EF190F">
        <w:rPr>
          <w:sz w:val="16"/>
          <w:szCs w:val="16"/>
          <w:lang w:val="es-CR"/>
        </w:rPr>
        <w:t xml:space="preserve">Declaración de Francisca Calate Sic de 27 de julio de 2005 </w:t>
      </w:r>
      <w:r w:rsidRPr="00EF190F">
        <w:rPr>
          <w:sz w:val="16"/>
          <w:szCs w:val="16"/>
        </w:rPr>
        <w:t xml:space="preserve">(expediente de prueba, </w:t>
      </w:r>
      <w:r w:rsidRPr="00EF190F">
        <w:rPr>
          <w:sz w:val="16"/>
          <w:szCs w:val="16"/>
          <w:lang w:val="es-CR"/>
        </w:rPr>
        <w:t>folios 8743 a 8744); Declaración de F</w:t>
      </w:r>
      <w:r>
        <w:rPr>
          <w:sz w:val="16"/>
          <w:szCs w:val="16"/>
          <w:lang w:val="es-CR"/>
        </w:rPr>
        <w:t>é</w:t>
      </w:r>
      <w:r w:rsidRPr="00EF190F">
        <w:rPr>
          <w:sz w:val="16"/>
          <w:szCs w:val="16"/>
          <w:lang w:val="es-CR"/>
        </w:rPr>
        <w:t xml:space="preserve">lix Valey Galiego de 27 de julio de 2005 </w:t>
      </w:r>
      <w:r w:rsidRPr="00EF190F">
        <w:rPr>
          <w:sz w:val="16"/>
          <w:szCs w:val="16"/>
        </w:rPr>
        <w:t xml:space="preserve">(expediente de prueba, </w:t>
      </w:r>
      <w:r w:rsidRPr="00EF190F">
        <w:rPr>
          <w:sz w:val="16"/>
          <w:szCs w:val="16"/>
          <w:lang w:val="es-CR"/>
        </w:rPr>
        <w:t xml:space="preserve">folios 8745 a 8747), y Declaración de Pedro Sic Gonzalez de 27 de julio de 2005 </w:t>
      </w:r>
      <w:r w:rsidRPr="00EF190F">
        <w:rPr>
          <w:sz w:val="16"/>
          <w:szCs w:val="16"/>
        </w:rPr>
        <w:t xml:space="preserve">(expediente de prueba, </w:t>
      </w:r>
      <w:r w:rsidRPr="00EF190F">
        <w:rPr>
          <w:sz w:val="16"/>
          <w:szCs w:val="16"/>
          <w:lang w:val="es-CR"/>
        </w:rPr>
        <w:t>folios 8748 a 8749).</w:t>
      </w:r>
    </w:p>
  </w:footnote>
  <w:footnote w:id="246">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GT"/>
        </w:rPr>
        <w:t xml:space="preserve"> </w:t>
      </w:r>
      <w:r w:rsidRPr="00EF190F">
        <w:rPr>
          <w:sz w:val="16"/>
          <w:szCs w:val="16"/>
        </w:rPr>
        <w:tab/>
      </w:r>
      <w:r w:rsidRPr="00EF190F">
        <w:rPr>
          <w:rFonts w:cs="Arial"/>
          <w:i/>
          <w:sz w:val="16"/>
          <w:szCs w:val="16"/>
          <w:lang w:val="es-PR"/>
        </w:rPr>
        <w:t>Cfr.</w:t>
      </w:r>
      <w:r w:rsidRPr="00EF190F">
        <w:rPr>
          <w:rFonts w:cs="Arial"/>
          <w:sz w:val="16"/>
          <w:szCs w:val="16"/>
          <w:lang w:val="es-PR"/>
        </w:rPr>
        <w:t xml:space="preserve"> </w:t>
      </w:r>
      <w:r w:rsidRPr="00EF190F">
        <w:rPr>
          <w:sz w:val="16"/>
          <w:szCs w:val="16"/>
        </w:rPr>
        <w:t xml:space="preserve">Declaración de Miguel Sic Osorio de 16 de agosto de 2005 (expediente de prueba, folios 8750 y 8751); </w:t>
      </w:r>
      <w:r w:rsidRPr="00EF190F">
        <w:rPr>
          <w:sz w:val="16"/>
          <w:szCs w:val="16"/>
          <w:lang w:val="es-CR"/>
        </w:rPr>
        <w:t xml:space="preserve">Declaración de Pedro Chen Sic de 16 de agosto de 2005 </w:t>
      </w:r>
      <w:r w:rsidRPr="00EF190F">
        <w:rPr>
          <w:sz w:val="16"/>
          <w:szCs w:val="16"/>
        </w:rPr>
        <w:t xml:space="preserve">(expediente de prueba, </w:t>
      </w:r>
      <w:r w:rsidRPr="00EF190F">
        <w:rPr>
          <w:sz w:val="16"/>
          <w:szCs w:val="16"/>
          <w:lang w:val="es-CR"/>
        </w:rPr>
        <w:t xml:space="preserve">folios 8754 y 8755); Declaración de Sebastián Chen Tahuico de 16 de agosto de 2005 </w:t>
      </w:r>
      <w:r w:rsidRPr="00EF190F">
        <w:rPr>
          <w:sz w:val="16"/>
          <w:szCs w:val="16"/>
        </w:rPr>
        <w:t xml:space="preserve">(expediente de prueba, </w:t>
      </w:r>
      <w:r w:rsidRPr="00EF190F">
        <w:rPr>
          <w:sz w:val="16"/>
          <w:szCs w:val="16"/>
          <w:lang w:val="es-CR"/>
        </w:rPr>
        <w:t xml:space="preserve">folios 8760 a 8762); Declaración de Teresa Cacaj Cahuec de 16 de agosto de 2005 </w:t>
      </w:r>
      <w:r w:rsidRPr="00EF190F">
        <w:rPr>
          <w:sz w:val="16"/>
          <w:szCs w:val="16"/>
        </w:rPr>
        <w:t xml:space="preserve">(expediente de prueba, </w:t>
      </w:r>
      <w:r w:rsidRPr="00EF190F">
        <w:rPr>
          <w:sz w:val="16"/>
          <w:szCs w:val="16"/>
          <w:lang w:val="es-CR"/>
        </w:rPr>
        <w:t xml:space="preserve">folios 8752 y 8753); Declaración de Susana Pancan de 16 de agosto de 2005 </w:t>
      </w:r>
      <w:r w:rsidRPr="00EF190F">
        <w:rPr>
          <w:sz w:val="16"/>
          <w:szCs w:val="16"/>
        </w:rPr>
        <w:t xml:space="preserve">(expediente de prueba, </w:t>
      </w:r>
      <w:r w:rsidRPr="00EF190F">
        <w:rPr>
          <w:sz w:val="16"/>
          <w:szCs w:val="16"/>
          <w:lang w:val="es-CR"/>
        </w:rPr>
        <w:t xml:space="preserve">folios 8756 y 8757); Declaración de Fabiana Chen Galiego de 16 de agosto de 2005 </w:t>
      </w:r>
      <w:r w:rsidRPr="00EF190F">
        <w:rPr>
          <w:sz w:val="16"/>
          <w:szCs w:val="16"/>
        </w:rPr>
        <w:t xml:space="preserve">(expediente de prueba, </w:t>
      </w:r>
      <w:r w:rsidRPr="00EF190F">
        <w:rPr>
          <w:sz w:val="16"/>
          <w:szCs w:val="16"/>
          <w:lang w:val="es-CR"/>
        </w:rPr>
        <w:t xml:space="preserve">folios 8758 y 8759), y Declaración de María Teresa Sic Osorio de 16 de agosto de 2005 </w:t>
      </w:r>
      <w:r w:rsidRPr="00EF190F">
        <w:rPr>
          <w:sz w:val="16"/>
          <w:szCs w:val="16"/>
        </w:rPr>
        <w:t xml:space="preserve">(expediente de prueba, </w:t>
      </w:r>
      <w:r w:rsidRPr="00EF190F">
        <w:rPr>
          <w:sz w:val="16"/>
          <w:szCs w:val="16"/>
          <w:lang w:val="es-CR"/>
        </w:rPr>
        <w:t>folios 8763 y 8766).</w:t>
      </w:r>
    </w:p>
  </w:footnote>
  <w:footnote w:id="247">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rFonts w:eastAsia="Calibri"/>
          <w:color w:val="000000"/>
          <w:sz w:val="16"/>
          <w:szCs w:val="16"/>
          <w:lang w:eastAsia="en-US" w:bidi="en-US"/>
        </w:rPr>
        <w:t>Dos de estas personas</w:t>
      </w:r>
      <w:r w:rsidRPr="00EF190F">
        <w:rPr>
          <w:sz w:val="16"/>
          <w:szCs w:val="16"/>
          <w:lang w:val="es-CR"/>
        </w:rPr>
        <w:t xml:space="preserve"> </w:t>
      </w:r>
      <w:r w:rsidRPr="00EF190F">
        <w:rPr>
          <w:rFonts w:eastAsia="Calibri"/>
          <w:color w:val="000000"/>
          <w:sz w:val="16"/>
          <w:szCs w:val="16"/>
          <w:lang w:eastAsia="en-US" w:bidi="en-US"/>
        </w:rPr>
        <w:t>también declararon el 12 de julio de 2005 ante la Unidad de Asuntos Internos adscrita a la Fiscalía de Delitos Administrativos</w:t>
      </w:r>
      <w:r w:rsidRPr="00EF190F">
        <w:rPr>
          <w:sz w:val="16"/>
          <w:szCs w:val="16"/>
          <w:lang w:val="es-CR"/>
        </w:rPr>
        <w:t xml:space="preserve">. </w:t>
      </w:r>
      <w:r w:rsidRPr="00EF190F">
        <w:rPr>
          <w:i/>
          <w:sz w:val="16"/>
          <w:szCs w:val="16"/>
          <w:lang w:val="es-CR"/>
        </w:rPr>
        <w:t>Cfr.</w:t>
      </w:r>
      <w:r w:rsidRPr="00EF190F">
        <w:rPr>
          <w:sz w:val="16"/>
          <w:szCs w:val="16"/>
          <w:lang w:val="es-CR"/>
        </w:rPr>
        <w:t xml:space="preserve"> Declaración de Miguel Sic Osorio de 12 de julio de 2005 (expediente de prueba </w:t>
      </w:r>
      <w:r w:rsidRPr="00EF190F">
        <w:rPr>
          <w:sz w:val="16"/>
          <w:szCs w:val="16"/>
        </w:rPr>
        <w:t xml:space="preserve">prueba, </w:t>
      </w:r>
      <w:r w:rsidRPr="00EF190F">
        <w:rPr>
          <w:sz w:val="16"/>
          <w:szCs w:val="16"/>
          <w:lang w:val="es-CR"/>
        </w:rPr>
        <w:t>folios 757 a 761), y Declaración de Domingo Chen Tahuico de 12 de julio de 2005 (expediente de prueba, folios 765 a 767).</w:t>
      </w:r>
      <w:r w:rsidRPr="00EF190F">
        <w:rPr>
          <w:sz w:val="16"/>
          <w:szCs w:val="16"/>
          <w:lang w:val="es-GT"/>
        </w:rPr>
        <w:t xml:space="preserve"> No queda claro al Tribunal por qué se acudió a la Unidad de Asuntos Internos adscrita a la Fiscalía de Delitos Administrativos o en qué momento pasó el expediente a </w:t>
      </w:r>
      <w:r w:rsidRPr="00EF190F">
        <w:rPr>
          <w:rFonts w:cs="Arial"/>
          <w:sz w:val="16"/>
          <w:szCs w:val="16"/>
          <w:lang w:val="es-CR"/>
        </w:rPr>
        <w:t>la Unidad de Casos Especiales y Violaciones a los Derechos Humanos del Ministerio Público.</w:t>
      </w:r>
    </w:p>
  </w:footnote>
  <w:footnote w:id="248">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GT"/>
        </w:rPr>
        <w:t xml:space="preserve"> </w:t>
      </w:r>
      <w:r w:rsidRPr="00EF190F">
        <w:rPr>
          <w:sz w:val="16"/>
          <w:szCs w:val="16"/>
        </w:rPr>
        <w:tab/>
        <w:t>L</w:t>
      </w:r>
      <w:r w:rsidRPr="00EF190F">
        <w:rPr>
          <w:rFonts w:cs="Arial"/>
          <w:sz w:val="16"/>
          <w:szCs w:val="16"/>
        </w:rPr>
        <w:t xml:space="preserve">a señora Máxima Emiliana García Valey acudió ante Auxiliar Fiscal de la Fiscalía Distrital del Ministerio Público de Salamá a ampliar su declaración anterior, indicando que “por error y confusión” había mencionado el nombre de una persona como presunto responsable de la masacre en la clínica pero que “él no estuvo ahí” y que lo mencionó porque “días antes de la matanza” esta persona había violado sexualmente a su mamá, la señora Gregoria Valey Ixtecoc. </w:t>
      </w:r>
      <w:r w:rsidRPr="00EF190F">
        <w:rPr>
          <w:rFonts w:cs="Arial"/>
          <w:i/>
          <w:sz w:val="16"/>
          <w:szCs w:val="16"/>
        </w:rPr>
        <w:t>Cfr</w:t>
      </w:r>
      <w:r w:rsidRPr="00EF190F">
        <w:rPr>
          <w:rFonts w:cs="Arial"/>
          <w:sz w:val="16"/>
          <w:szCs w:val="16"/>
        </w:rPr>
        <w:t xml:space="preserve">. </w:t>
      </w:r>
      <w:r w:rsidRPr="00EF190F">
        <w:rPr>
          <w:sz w:val="16"/>
          <w:szCs w:val="16"/>
          <w:lang w:val="es-CR"/>
        </w:rPr>
        <w:t xml:space="preserve">Declaración de Máxima Emiliana García Valey de 14 de septiembre de 2005 </w:t>
      </w:r>
      <w:r w:rsidRPr="00EF190F">
        <w:rPr>
          <w:sz w:val="16"/>
          <w:szCs w:val="16"/>
        </w:rPr>
        <w:t xml:space="preserve">(expediente de prueba, </w:t>
      </w:r>
      <w:r w:rsidRPr="00EF190F">
        <w:rPr>
          <w:sz w:val="16"/>
          <w:szCs w:val="16"/>
          <w:lang w:val="es-CR"/>
        </w:rPr>
        <w:t>folios 8773 y 8774).</w:t>
      </w:r>
    </w:p>
  </w:footnote>
  <w:footnote w:id="249">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lang w:val="es-GT"/>
        </w:rPr>
        <w:t xml:space="preserve"> </w:t>
      </w:r>
      <w:r w:rsidRPr="00EF190F">
        <w:rPr>
          <w:sz w:val="16"/>
          <w:szCs w:val="16"/>
          <w:lang w:val="es-GT"/>
        </w:rPr>
        <w:tab/>
      </w:r>
      <w:r w:rsidRPr="00EF190F">
        <w:rPr>
          <w:rFonts w:cs="Arial"/>
          <w:sz w:val="16"/>
          <w:szCs w:val="16"/>
          <w:lang w:val="es-GT"/>
        </w:rPr>
        <w:t>L</w:t>
      </w:r>
      <w:r w:rsidRPr="00EF190F">
        <w:rPr>
          <w:rFonts w:cs="Arial"/>
          <w:sz w:val="16"/>
          <w:szCs w:val="16"/>
        </w:rPr>
        <w:t xml:space="preserve">a señora </w:t>
      </w:r>
      <w:r w:rsidRPr="00EF190F">
        <w:rPr>
          <w:sz w:val="16"/>
          <w:szCs w:val="16"/>
          <w:lang w:val="es-CR"/>
        </w:rPr>
        <w:t>Fabiana</w:t>
      </w:r>
      <w:r w:rsidRPr="00EF190F">
        <w:rPr>
          <w:rFonts w:cs="Arial"/>
          <w:sz w:val="16"/>
          <w:szCs w:val="16"/>
        </w:rPr>
        <w:t xml:space="preserve"> Chen Galiego amplió su declaración de 27 de abril de 1999, indicando que en esta había mencionado el nombre de varios presuntos responsables pero que uno de ellos lo había mencionado por “referencia de otra personas pero que él no tuvo nada que ver en [el] caso y la masacre en la clínica”. </w:t>
      </w:r>
      <w:r w:rsidRPr="00EF190F">
        <w:rPr>
          <w:rFonts w:cs="Arial"/>
          <w:i/>
          <w:sz w:val="16"/>
          <w:szCs w:val="16"/>
        </w:rPr>
        <w:t>Cfr</w:t>
      </w:r>
      <w:r w:rsidRPr="00EF190F">
        <w:rPr>
          <w:rFonts w:cs="Arial"/>
          <w:sz w:val="16"/>
          <w:szCs w:val="16"/>
        </w:rPr>
        <w:t xml:space="preserve">. </w:t>
      </w:r>
      <w:r w:rsidRPr="00EF190F">
        <w:rPr>
          <w:sz w:val="16"/>
          <w:szCs w:val="16"/>
          <w:lang w:val="es-CR"/>
        </w:rPr>
        <w:t>Declaración de Fabiana Chen Galiego de 14 de septiembre de 2005 (expediente de prueba, folios 8775 y 8776).</w:t>
      </w:r>
    </w:p>
  </w:footnote>
  <w:footnote w:id="250">
    <w:p w:rsidR="006A0E1C" w:rsidRPr="00EF190F" w:rsidRDefault="006A0E1C" w:rsidP="006A0E1C">
      <w:pPr>
        <w:pStyle w:val="FootnoteText"/>
        <w:tabs>
          <w:tab w:val="left" w:pos="360"/>
          <w:tab w:val="left" w:pos="720"/>
        </w:tabs>
        <w:contextualSpacing/>
        <w:rPr>
          <w:spacing w:val="-4"/>
          <w:sz w:val="16"/>
          <w:szCs w:val="16"/>
          <w:lang w:val="es-PR"/>
        </w:rPr>
      </w:pPr>
      <w:r w:rsidRPr="00EF190F">
        <w:rPr>
          <w:rStyle w:val="FootnoteReference"/>
          <w:sz w:val="16"/>
          <w:szCs w:val="16"/>
          <w:lang w:val="es-PR"/>
        </w:rPr>
        <w:footnoteRef/>
      </w:r>
      <w:r w:rsidRPr="00EF190F">
        <w:rPr>
          <w:spacing w:val="-4"/>
          <w:sz w:val="16"/>
          <w:szCs w:val="16"/>
          <w:lang w:val="es-PR"/>
        </w:rPr>
        <w:t xml:space="preserve"> </w:t>
      </w:r>
      <w:r w:rsidRPr="00EF190F">
        <w:rPr>
          <w:spacing w:val="-4"/>
          <w:sz w:val="16"/>
          <w:szCs w:val="16"/>
          <w:lang w:val="es-PR"/>
        </w:rPr>
        <w:tab/>
      </w:r>
      <w:r w:rsidRPr="00EF190F">
        <w:rPr>
          <w:i/>
          <w:spacing w:val="-4"/>
          <w:sz w:val="16"/>
          <w:szCs w:val="16"/>
          <w:lang w:val="es-PR"/>
        </w:rPr>
        <w:t>Cfr. Caso De La Masacre de Las Dos Erres Vs. Guatemala</w:t>
      </w:r>
      <w:r w:rsidRPr="00EF190F">
        <w:rPr>
          <w:spacing w:val="-4"/>
          <w:sz w:val="16"/>
          <w:szCs w:val="16"/>
          <w:lang w:val="es-PR"/>
        </w:rPr>
        <w:t xml:space="preserve">, párr. 145, y </w:t>
      </w:r>
      <w:r w:rsidRPr="00EF190F">
        <w:rPr>
          <w:bCs/>
          <w:i/>
          <w:spacing w:val="-4"/>
          <w:sz w:val="16"/>
          <w:szCs w:val="16"/>
          <w:lang w:val="es-CR"/>
        </w:rPr>
        <w:t xml:space="preserve">Caso Quispialaya Vilcapoma Vs. Perú. Excepciones Preliminares, Fondo, Reparaciones y Costas. </w:t>
      </w:r>
      <w:r w:rsidRPr="00EF190F">
        <w:rPr>
          <w:bCs/>
          <w:spacing w:val="-4"/>
          <w:sz w:val="16"/>
          <w:szCs w:val="16"/>
          <w:lang w:val="es-CR"/>
        </w:rPr>
        <w:t xml:space="preserve">Sentencia de 23 de noviembre de 2015. Serie C No. 308, </w:t>
      </w:r>
      <w:r w:rsidRPr="00EF190F">
        <w:rPr>
          <w:spacing w:val="-4"/>
          <w:sz w:val="16"/>
          <w:szCs w:val="16"/>
          <w:lang w:val="es-PR"/>
        </w:rPr>
        <w:t>párr. 195.</w:t>
      </w:r>
    </w:p>
  </w:footnote>
  <w:footnote w:id="251">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pacing w:val="-4"/>
          <w:sz w:val="16"/>
          <w:szCs w:val="16"/>
          <w:lang w:val="es-PR"/>
        </w:rPr>
        <w:t xml:space="preserve">Cfr. </w:t>
      </w:r>
      <w:r w:rsidRPr="00EF190F">
        <w:rPr>
          <w:sz w:val="16"/>
          <w:szCs w:val="16"/>
        </w:rPr>
        <w:t xml:space="preserve">Escritos presentados el 5 de diciembre de 1997, 21 de enero y 12 de mayo de 2000 por </w:t>
      </w:r>
      <w:r w:rsidRPr="00EF190F">
        <w:rPr>
          <w:rFonts w:cs="Arial"/>
          <w:bCs/>
          <w:sz w:val="16"/>
          <w:szCs w:val="16"/>
        </w:rPr>
        <w:t xml:space="preserve">Miguel Sic, Fabiana Chen </w:t>
      </w:r>
      <w:r w:rsidRPr="00EF190F">
        <w:rPr>
          <w:bCs/>
          <w:sz w:val="16"/>
          <w:szCs w:val="16"/>
        </w:rPr>
        <w:t xml:space="preserve">y </w:t>
      </w:r>
      <w:r w:rsidRPr="00EF190F">
        <w:rPr>
          <w:rFonts w:cs="Arial"/>
          <w:bCs/>
          <w:sz w:val="16"/>
          <w:szCs w:val="16"/>
        </w:rPr>
        <w:t xml:space="preserve">Teresa Cacaj para constituirse como querellantes adhesivos (expediente de prueba, folios </w:t>
      </w:r>
      <w:r w:rsidRPr="00EF190F">
        <w:rPr>
          <w:sz w:val="16"/>
          <w:szCs w:val="16"/>
          <w:lang w:val="es-CR"/>
        </w:rPr>
        <w:t xml:space="preserve">589 a 590, 595 a 596 y </w:t>
      </w:r>
      <w:r w:rsidRPr="00EF190F">
        <w:rPr>
          <w:rFonts w:cs="Arial"/>
          <w:bCs/>
          <w:sz w:val="16"/>
          <w:szCs w:val="16"/>
        </w:rPr>
        <w:t>636 a 645).</w:t>
      </w:r>
      <w:r w:rsidRPr="00EF190F">
        <w:rPr>
          <w:sz w:val="16"/>
          <w:szCs w:val="16"/>
          <w:lang w:val="es-PR"/>
        </w:rPr>
        <w:t xml:space="preserve"> </w:t>
      </w:r>
    </w:p>
  </w:footnote>
  <w:footnote w:id="252">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Cfr.</w:t>
      </w:r>
      <w:r w:rsidRPr="00EF190F">
        <w:rPr>
          <w:sz w:val="16"/>
          <w:szCs w:val="16"/>
        </w:rPr>
        <w:t xml:space="preserve"> Oficio d</w:t>
      </w:r>
      <w:r w:rsidRPr="00EF190F">
        <w:rPr>
          <w:rFonts w:cs="Arial"/>
          <w:sz w:val="16"/>
          <w:szCs w:val="16"/>
        </w:rPr>
        <w:t>el Auxiliar Fiscal de la Fiscalía Distrital de Salamá de</w:t>
      </w:r>
      <w:r w:rsidRPr="00EF190F">
        <w:rPr>
          <w:rFonts w:cs="Arial"/>
          <w:sz w:val="16"/>
          <w:szCs w:val="16"/>
          <w:lang w:val="es-CR"/>
        </w:rPr>
        <w:t xml:space="preserve"> 21 de junio de 2000 (expediente de prueba, folios 1075 a 1079). </w:t>
      </w:r>
      <w:r w:rsidRPr="00EF190F">
        <w:rPr>
          <w:sz w:val="16"/>
          <w:szCs w:val="16"/>
        </w:rPr>
        <w:t>Mediante auto de 15 de mayo de 2000 el Juez de Primera Instancia Penal ordenó remitir la evidencia al Ministerio Público para la realización de los peritajes correspondientes (expediente de prueba, folio 582). Dicha información se remitió mediante el oficio No.C-255-93 of.40 (expediente de prueba, folios 1076 a 1078).</w:t>
      </w:r>
    </w:p>
  </w:footnote>
  <w:footnote w:id="253">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pacing w:val="-4"/>
          <w:sz w:val="16"/>
          <w:szCs w:val="16"/>
          <w:lang w:val="es-PR"/>
        </w:rPr>
        <w:t xml:space="preserve">Cfr. </w:t>
      </w:r>
      <w:r w:rsidRPr="00EF190F">
        <w:rPr>
          <w:sz w:val="16"/>
          <w:szCs w:val="16"/>
          <w:lang w:val="es-CR"/>
        </w:rPr>
        <w:t>Dictamen No. BAL-00-0404-mxx del</w:t>
      </w:r>
      <w:r w:rsidRPr="00EF190F">
        <w:rPr>
          <w:rFonts w:cs="Arial"/>
          <w:sz w:val="16"/>
          <w:szCs w:val="16"/>
          <w:lang w:val="es-CR"/>
        </w:rPr>
        <w:t xml:space="preserve"> Técnico de Investigaciones Criminalísticas del Departamento Técnico Científico del Ministerio Público de 5 de julio de 2000</w:t>
      </w:r>
      <w:r w:rsidRPr="00EF190F">
        <w:rPr>
          <w:rFonts w:cs="Arial"/>
          <w:bCs/>
          <w:sz w:val="16"/>
          <w:szCs w:val="16"/>
          <w:lang w:val="es-CR"/>
        </w:rPr>
        <w:t xml:space="preserve"> (expediente de prueba, folios 578 a 580).</w:t>
      </w:r>
    </w:p>
  </w:footnote>
  <w:footnote w:id="254">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pacing w:val="-4"/>
          <w:sz w:val="16"/>
          <w:szCs w:val="16"/>
          <w:lang w:val="es-PR"/>
        </w:rPr>
        <w:t xml:space="preserve">Cfr. </w:t>
      </w:r>
      <w:r w:rsidRPr="00EF190F">
        <w:rPr>
          <w:spacing w:val="-4"/>
          <w:sz w:val="16"/>
          <w:szCs w:val="16"/>
          <w:lang w:val="es-PR"/>
        </w:rPr>
        <w:t xml:space="preserve">Escritos de </w:t>
      </w:r>
      <w:r w:rsidRPr="00EF190F">
        <w:rPr>
          <w:spacing w:val="-4"/>
          <w:sz w:val="16"/>
          <w:szCs w:val="16"/>
          <w:lang w:val="es-CR"/>
        </w:rPr>
        <w:t>Miguel Sic Osorio, Fabiana Chen Galiego y Teresa Cacaj Cahuec</w:t>
      </w:r>
      <w:r w:rsidRPr="00EF190F">
        <w:rPr>
          <w:i/>
          <w:spacing w:val="-4"/>
          <w:sz w:val="16"/>
          <w:szCs w:val="16"/>
          <w:lang w:val="es-CR"/>
        </w:rPr>
        <w:t xml:space="preserve"> </w:t>
      </w:r>
      <w:r w:rsidRPr="00EF190F">
        <w:rPr>
          <w:sz w:val="16"/>
          <w:szCs w:val="16"/>
          <w:lang w:val="es-CR"/>
        </w:rPr>
        <w:t>(expediente de prueba, folios 597 a 605</w:t>
      </w:r>
      <w:r w:rsidRPr="00EF190F">
        <w:rPr>
          <w:sz w:val="16"/>
          <w:szCs w:val="16"/>
        </w:rPr>
        <w:t xml:space="preserve"> y 8797 a 8799).</w:t>
      </w:r>
    </w:p>
  </w:footnote>
  <w:footnote w:id="255">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pacing w:val="-4"/>
          <w:sz w:val="16"/>
          <w:szCs w:val="16"/>
          <w:lang w:val="es-PR"/>
        </w:rPr>
        <w:t xml:space="preserve">Cfr. </w:t>
      </w:r>
      <w:r w:rsidRPr="00EF190F">
        <w:rPr>
          <w:sz w:val="16"/>
          <w:szCs w:val="16"/>
          <w:lang w:val="es-CR"/>
        </w:rPr>
        <w:t xml:space="preserve">Oficio del </w:t>
      </w:r>
      <w:r w:rsidRPr="00EF190F">
        <w:rPr>
          <w:rFonts w:cs="Arial"/>
          <w:sz w:val="16"/>
          <w:szCs w:val="16"/>
          <w:lang w:val="es-CR"/>
        </w:rPr>
        <w:t>Auxiliar Fiscal de la Fiscalía Especial del Ministerio Público de 9 de septiembre de 2002 (expediente de prueba, folio 506).</w:t>
      </w:r>
    </w:p>
  </w:footnote>
  <w:footnote w:id="256">
    <w:p w:rsidR="006A0E1C" w:rsidRPr="00EF190F" w:rsidRDefault="006A0E1C" w:rsidP="006A0E1C">
      <w:pPr>
        <w:tabs>
          <w:tab w:val="left" w:pos="360"/>
        </w:tabs>
        <w:autoSpaceDE w:val="0"/>
        <w:autoSpaceDN w:val="0"/>
        <w:spacing w:line="240" w:lineRule="auto"/>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pacing w:val="-4"/>
          <w:sz w:val="16"/>
          <w:szCs w:val="16"/>
          <w:lang w:val="es-PR"/>
        </w:rPr>
        <w:t xml:space="preserve">Cfr. </w:t>
      </w:r>
      <w:r w:rsidRPr="00EF190F">
        <w:rPr>
          <w:sz w:val="16"/>
          <w:szCs w:val="16"/>
        </w:rPr>
        <w:t>I</w:t>
      </w:r>
      <w:r w:rsidRPr="00EF190F">
        <w:rPr>
          <w:rFonts w:cs="Arial"/>
          <w:sz w:val="16"/>
          <w:szCs w:val="16"/>
        </w:rPr>
        <w:t xml:space="preserve">nforme de Investigaciones Antropológico Forenses (expediente de prueba, </w:t>
      </w:r>
      <w:r w:rsidRPr="00EF190F">
        <w:rPr>
          <w:sz w:val="16"/>
          <w:szCs w:val="16"/>
        </w:rPr>
        <w:t xml:space="preserve">folios 508 a 574). </w:t>
      </w:r>
    </w:p>
  </w:footnote>
  <w:footnote w:id="257">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sz w:val="16"/>
          <w:szCs w:val="16"/>
          <w:lang w:val="es-CR"/>
        </w:rPr>
        <w:t xml:space="preserve">Así, por ejemplo, no se encuentra una declaración en la cual se mencione la muerte Andrea Sical, cuyo nombre aparece en el listado mencionado. </w:t>
      </w:r>
      <w:r w:rsidRPr="00EF190F">
        <w:rPr>
          <w:rFonts w:cs="Arial"/>
          <w:sz w:val="16"/>
          <w:szCs w:val="16"/>
          <w:lang w:val="es-CR"/>
        </w:rPr>
        <w:t xml:space="preserve">    </w:t>
      </w:r>
    </w:p>
  </w:footnote>
  <w:footnote w:id="258">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pacing w:val="-4"/>
          <w:sz w:val="16"/>
          <w:szCs w:val="16"/>
          <w:lang w:val="es-PR"/>
        </w:rPr>
        <w:t xml:space="preserve">Cfr. </w:t>
      </w:r>
      <w:r w:rsidRPr="00EF190F">
        <w:rPr>
          <w:sz w:val="16"/>
          <w:szCs w:val="16"/>
          <w:lang w:val="es-CR"/>
        </w:rPr>
        <w:t xml:space="preserve">Oficio de la </w:t>
      </w:r>
      <w:r w:rsidRPr="00EF190F">
        <w:rPr>
          <w:rFonts w:cs="Arial"/>
          <w:sz w:val="16"/>
          <w:szCs w:val="16"/>
          <w:lang w:val="es-CR"/>
        </w:rPr>
        <w:t>Registradora Civil de la Municipalidad de Rabinal de 11 de noviembre de 2002 (expediente de prueba, folio 479).</w:t>
      </w:r>
    </w:p>
  </w:footnote>
  <w:footnote w:id="259">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rFonts w:cs="Arial"/>
          <w:i/>
          <w:sz w:val="16"/>
          <w:szCs w:val="16"/>
        </w:rPr>
        <w:t>Cfr.</w:t>
      </w:r>
      <w:r w:rsidRPr="00EF190F">
        <w:rPr>
          <w:rFonts w:cs="Arial"/>
          <w:sz w:val="16"/>
          <w:szCs w:val="16"/>
        </w:rPr>
        <w:t xml:space="preserve"> Declaración de María Teresa Sic Osorio de 25 de octubre de 2000 (expediente de prueba, folios 428 a 431); Declaración de Miguel Sic Osorio de 25 de octubre de 2000 (expediente de prueba, folios 432 a 436); Declaración de Pedro Chen Sic de 25 de octubre de 2000 (expediente de prueba, folios 437 a 442); Declaración de Alberto Juarez Baley de 25 de octubre de 2000 (expediente de prueba, folios 443 a 446); Declaración de Aurelio Juárez López de 25 de octubre de 2000 (expediente de prueba, folios 447 a 450); Declaración de Sebastián Chen Tahuico de 25 de octubre de 2000 (expediente de prueba, folios 451 a 453); Declaración de Domingo Chen Tahuico de 25 de octubre de 2000 (expediente de prueba, folios 454 a 458); Declaración de Miguel Chen Tahuico de 25 de octubre de 2000 (expediente de prueba, folios 459 a 462); Declaración de Máxima Emiliana García Valey de 25 de octubre de 2000 (expediente de prueba, folios 463 a 469); Declaración de Máxima Sic González de 25 de octubre de 2000 (expediente de prueba, folios 471 a 474). </w:t>
      </w:r>
      <w:r w:rsidRPr="00EF190F">
        <w:rPr>
          <w:sz w:val="16"/>
          <w:szCs w:val="16"/>
          <w:lang w:val="es-CR"/>
        </w:rPr>
        <w:t>Todas estas declaraciones hacen referencia al expediente número MP-36-00-7 ante dos Auxiliares Fiscales del Ministerio Público en la aldea Chichupac, no así al expediente No. 255-93-Of.; sin embargo, se encuentran dentro de la Certificación del Expediente No. 001-2005-95839. En las declaraciones de Domingo Chen Tahuico y Miguel Chen Tahuico no hay número de expediente ni fecha pero están localizadas entre las declaraciones del 25 de octubre de 2000.</w:t>
      </w:r>
    </w:p>
  </w:footnote>
  <w:footnote w:id="260">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pacing w:val="-4"/>
          <w:sz w:val="16"/>
          <w:szCs w:val="16"/>
          <w:lang w:val="es-PR"/>
        </w:rPr>
        <w:t xml:space="preserve">Cfr. </w:t>
      </w:r>
      <w:r w:rsidRPr="00EF190F">
        <w:rPr>
          <w:sz w:val="16"/>
          <w:szCs w:val="16"/>
          <w:lang w:val="es-CR"/>
        </w:rPr>
        <w:t>Declaración de Vicenta Mendoza Alvarado de 15 de noviembre de 2002 (expediente de prueba, folios 475 a 478).</w:t>
      </w:r>
    </w:p>
  </w:footnote>
  <w:footnote w:id="261">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pacing w:val="-4"/>
          <w:sz w:val="16"/>
          <w:szCs w:val="16"/>
          <w:lang w:val="es-PR"/>
        </w:rPr>
        <w:t xml:space="preserve">Cfr. </w:t>
      </w:r>
      <w:r w:rsidRPr="00EF190F">
        <w:rPr>
          <w:sz w:val="16"/>
          <w:szCs w:val="16"/>
          <w:lang w:val="es-CR"/>
        </w:rPr>
        <w:t xml:space="preserve">Declaración de Pedro Chen Sic de 12 de julio de 2005 (expediente de prueba, folios 733 a 740); Declaración de Máxima Emiliana García Valey de 12 de julio de 2005 (expediente de prueba, folios 748 a 754); </w:t>
      </w:r>
      <w:r w:rsidRPr="00EF190F">
        <w:rPr>
          <w:sz w:val="16"/>
          <w:szCs w:val="16"/>
        </w:rPr>
        <w:t xml:space="preserve">Declaración de Miguel Chen Tahuico de 27 de julio de 2005 (expediente de prueba, folios 8727 a 8731); </w:t>
      </w:r>
      <w:r w:rsidRPr="00EF190F">
        <w:rPr>
          <w:sz w:val="16"/>
          <w:szCs w:val="16"/>
          <w:lang w:val="es-CR"/>
        </w:rPr>
        <w:t>Declaración de Ana Calate Sic de 27 de julio de 2005 (expediente de prueba, folios 8737 a 8740)</w:t>
      </w:r>
      <w:r w:rsidRPr="00EF190F">
        <w:rPr>
          <w:rFonts w:cs="Arial"/>
          <w:sz w:val="16"/>
          <w:szCs w:val="16"/>
        </w:rPr>
        <w:t xml:space="preserve">; </w:t>
      </w:r>
      <w:r w:rsidRPr="00EF190F">
        <w:rPr>
          <w:sz w:val="16"/>
          <w:szCs w:val="16"/>
          <w:lang w:val="es-CR"/>
        </w:rPr>
        <w:t>Declaración de Domingo Chen Tahuico de 27 de julio de 2005 (expediente de prueba, folios 8741 a 8742)</w:t>
      </w:r>
      <w:r w:rsidRPr="00EF190F">
        <w:rPr>
          <w:rFonts w:cs="Arial"/>
          <w:sz w:val="16"/>
          <w:szCs w:val="16"/>
        </w:rPr>
        <w:t xml:space="preserve">; </w:t>
      </w:r>
      <w:r w:rsidRPr="00EF190F">
        <w:rPr>
          <w:sz w:val="16"/>
          <w:szCs w:val="16"/>
          <w:lang w:val="es-CR"/>
        </w:rPr>
        <w:t xml:space="preserve">Declaración de Francisca Calate Sic de 27 de julio de 2005 (expediente de prueba, folios 8743 a 8744); Declaración de Félix Valey Galiego de 27 de julio de 2005 (expediente de prueba, folios 8745 a 8747); Declaración de Pedro Sic Gonzalez de 27 de julio de 2005 (expediente de prueba, folios 8748 a 8749); </w:t>
      </w:r>
      <w:r w:rsidRPr="00EF190F">
        <w:rPr>
          <w:sz w:val="16"/>
          <w:szCs w:val="16"/>
        </w:rPr>
        <w:t xml:space="preserve">Declaración de Miguel Sic Osorio de 16 de agosto de 2005 (expediente de prueba, folios 8750 y 8751); </w:t>
      </w:r>
      <w:r w:rsidRPr="00EF190F">
        <w:rPr>
          <w:sz w:val="16"/>
          <w:szCs w:val="16"/>
          <w:lang w:val="es-CR"/>
        </w:rPr>
        <w:t>Declaración de Pedro Chen Sic de 16 de agosto de 2005 (expediente de prueba, folios 8754 y 8755); Declaración de Sebastián Chen Tahuico de 16 de agosto de 2005 (expediente de prueba, folios 8760 a 8762); Declaración de Teresa Cacaj Cahuec de 16 de agosto de 2005 (expediente de prueba, folios 8752 y 8753); Declaración de Susana Pancan de 16 de agosto de 2005 (expediente de prueba, folios 8756 y 8757); Declaración de Fabiana Chen Galiego de 16 de agosto de 2005 (expediente de prueba, folios 8758 y 8759); Declaración de María Teresa Sic Osorio de 16 de agosto de 2005 (expediente de prueba, folios 8763 y 8766); Declaración de Miguel Sic Osorio de 12 de julio de 2005 (expediente de prueba, folios 757 a 761), y Declaración de Domingo Chen Tahuico de 12 de julio de 2005 (expediente de prueba, folios 757 a 761).</w:t>
      </w:r>
    </w:p>
  </w:footnote>
  <w:footnote w:id="262">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GT"/>
        </w:rPr>
        <w:t xml:space="preserve"> </w:t>
      </w:r>
      <w:r w:rsidRPr="00EF190F">
        <w:rPr>
          <w:sz w:val="16"/>
          <w:szCs w:val="16"/>
        </w:rPr>
        <w:tab/>
      </w:r>
      <w:r w:rsidRPr="00EF190F">
        <w:rPr>
          <w:i/>
          <w:spacing w:val="-4"/>
          <w:sz w:val="16"/>
          <w:szCs w:val="16"/>
          <w:lang w:val="es-PR"/>
        </w:rPr>
        <w:t xml:space="preserve">Cfr. </w:t>
      </w:r>
      <w:r w:rsidRPr="00EF190F">
        <w:rPr>
          <w:sz w:val="16"/>
          <w:szCs w:val="16"/>
          <w:lang w:val="es-CR"/>
        </w:rPr>
        <w:t>Declaración de Máxima Emiliana García Valey de 14 de septiembre de 2005 (expediente de prueba, folios 8773 y 8774), y Declaración de Fabiana Chen Galiego de 14 de septiembre de 2005 (expediente de prueba, folios 8775 y 8776).</w:t>
      </w:r>
    </w:p>
  </w:footnote>
  <w:footnote w:id="263">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lang w:val="es-GT"/>
        </w:rPr>
        <w:t xml:space="preserve"> </w:t>
      </w:r>
      <w:r w:rsidRPr="00EF190F">
        <w:rPr>
          <w:sz w:val="16"/>
          <w:szCs w:val="16"/>
        </w:rPr>
        <w:tab/>
      </w:r>
      <w:r w:rsidRPr="00EF190F">
        <w:rPr>
          <w:i/>
          <w:spacing w:val="-4"/>
          <w:sz w:val="16"/>
          <w:szCs w:val="16"/>
          <w:lang w:val="es-PR"/>
        </w:rPr>
        <w:t xml:space="preserve">Cfr. </w:t>
      </w:r>
      <w:r w:rsidRPr="00EF190F">
        <w:rPr>
          <w:sz w:val="16"/>
          <w:szCs w:val="16"/>
        </w:rPr>
        <w:t xml:space="preserve">Actas de declaraciones testimoniales de </w:t>
      </w:r>
      <w:r w:rsidRPr="00EF190F">
        <w:rPr>
          <w:rFonts w:cs="Arial"/>
          <w:sz w:val="16"/>
          <w:szCs w:val="16"/>
          <w:lang w:val="es-CR"/>
        </w:rPr>
        <w:t>10 de marzo, 24 de mayo y 5 de agosto de 2011 de Pedro Chen Sic, Félix Valey Galiego, Pedro Sic Gonzalez, María Teresa Sic Osorio y Susana Pangan (expediente de prueba, folios 9910 a 9918).</w:t>
      </w:r>
      <w:r w:rsidRPr="00EF190F">
        <w:rPr>
          <w:rFonts w:cs="Arial"/>
          <w:sz w:val="16"/>
          <w:szCs w:val="16"/>
        </w:rPr>
        <w:t xml:space="preserve"> A pesar de que en las mencionadas actas se manifiesta que las declaraciones y los interrogatorios quedaron “debidamente registrad[os] en audio”, no se adjuntaron las respectivas grabaciones.</w:t>
      </w:r>
    </w:p>
  </w:footnote>
  <w:footnote w:id="264">
    <w:p w:rsidR="006A0E1C" w:rsidRPr="00EF190F" w:rsidRDefault="006A0E1C" w:rsidP="006A0E1C">
      <w:pPr>
        <w:tabs>
          <w:tab w:val="left" w:pos="360"/>
        </w:tabs>
        <w:autoSpaceDE w:val="0"/>
        <w:autoSpaceDN w:val="0"/>
        <w:spacing w:line="240" w:lineRule="auto"/>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rFonts w:eastAsia="Calibri" w:cs="Verdana"/>
          <w:i/>
          <w:iCs/>
          <w:sz w:val="16"/>
          <w:szCs w:val="16"/>
          <w:lang w:val="es-PR"/>
        </w:rPr>
        <w:t xml:space="preserve">Cfr. Caso Valle Jaramillo y otros Vs. Colombia. Fondo, Reparaciones y Costas. </w:t>
      </w:r>
      <w:r w:rsidRPr="00EF190F">
        <w:rPr>
          <w:rFonts w:eastAsia="Calibri" w:cs="Verdana"/>
          <w:iCs/>
          <w:sz w:val="16"/>
          <w:szCs w:val="16"/>
          <w:lang w:val="es-PR"/>
        </w:rPr>
        <w:t>Sentencia de 27 de noviembre de 2008. Serie C No. 192</w:t>
      </w:r>
      <w:r w:rsidRPr="00EF190F">
        <w:rPr>
          <w:rFonts w:eastAsia="Calibri" w:cs="Verdana"/>
          <w:i/>
          <w:iCs/>
          <w:sz w:val="16"/>
          <w:szCs w:val="16"/>
          <w:lang w:val="es-PR"/>
        </w:rPr>
        <w:t xml:space="preserve">, </w:t>
      </w:r>
      <w:r w:rsidRPr="00EF190F">
        <w:rPr>
          <w:rFonts w:eastAsia="Calibri" w:cs="Verdana"/>
          <w:sz w:val="16"/>
          <w:szCs w:val="16"/>
          <w:lang w:val="es-PR"/>
        </w:rPr>
        <w:t xml:space="preserve">párr. 233, y </w:t>
      </w:r>
      <w:r w:rsidRPr="00EF190F">
        <w:rPr>
          <w:bCs/>
          <w:i/>
          <w:sz w:val="16"/>
          <w:szCs w:val="16"/>
        </w:rPr>
        <w:t>Caso Tenorio Roca y otros Vs. Perú</w:t>
      </w:r>
      <w:r w:rsidRPr="00EF190F">
        <w:rPr>
          <w:sz w:val="16"/>
          <w:szCs w:val="16"/>
          <w:lang w:val="es-PR"/>
        </w:rPr>
        <w:t>, párr. 269.</w:t>
      </w:r>
    </w:p>
  </w:footnote>
  <w:footnote w:id="265">
    <w:p w:rsidR="006A0E1C" w:rsidRPr="00EF190F" w:rsidRDefault="006A0E1C" w:rsidP="006A0E1C">
      <w:pPr>
        <w:tabs>
          <w:tab w:val="left" w:pos="360"/>
        </w:tabs>
        <w:autoSpaceDE w:val="0"/>
        <w:autoSpaceDN w:val="0"/>
        <w:spacing w:line="240" w:lineRule="auto"/>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rFonts w:eastAsia="Calibri" w:cs="Verdana"/>
          <w:i/>
          <w:iCs/>
          <w:sz w:val="16"/>
          <w:szCs w:val="16"/>
          <w:lang w:val="es-PR"/>
        </w:rPr>
        <w:t xml:space="preserve">Cfr. </w:t>
      </w:r>
      <w:r w:rsidRPr="00EF190F">
        <w:rPr>
          <w:sz w:val="16"/>
          <w:szCs w:val="16"/>
        </w:rPr>
        <w:t xml:space="preserve">Escrito presentado el </w:t>
      </w:r>
      <w:r w:rsidRPr="00EF190F">
        <w:rPr>
          <w:rFonts w:cs="Arial"/>
          <w:bCs/>
          <w:sz w:val="16"/>
          <w:szCs w:val="16"/>
        </w:rPr>
        <w:t xml:space="preserve">5 de diciembre de 1997 </w:t>
      </w:r>
      <w:r w:rsidRPr="00EF190F">
        <w:rPr>
          <w:sz w:val="16"/>
          <w:szCs w:val="16"/>
        </w:rPr>
        <w:t xml:space="preserve">por </w:t>
      </w:r>
      <w:r w:rsidRPr="00EF190F">
        <w:rPr>
          <w:rFonts w:cs="Arial"/>
          <w:bCs/>
          <w:sz w:val="16"/>
          <w:szCs w:val="16"/>
        </w:rPr>
        <w:t xml:space="preserve">Miguel Sic, Fabiana Chen </w:t>
      </w:r>
      <w:r w:rsidRPr="00EF190F">
        <w:rPr>
          <w:bCs/>
          <w:sz w:val="16"/>
          <w:szCs w:val="16"/>
        </w:rPr>
        <w:t xml:space="preserve">y </w:t>
      </w:r>
      <w:r w:rsidRPr="00EF190F">
        <w:rPr>
          <w:rFonts w:cs="Arial"/>
          <w:bCs/>
          <w:sz w:val="16"/>
          <w:szCs w:val="16"/>
        </w:rPr>
        <w:t>Teresa Cacaj para constituirse como querellantes adhesivos (expediente de prueba, folios 636 a 645).</w:t>
      </w:r>
      <w:r w:rsidRPr="00EF190F">
        <w:rPr>
          <w:sz w:val="16"/>
          <w:szCs w:val="16"/>
          <w:lang w:val="es-PR"/>
        </w:rPr>
        <w:t xml:space="preserve"> </w:t>
      </w:r>
      <w:r w:rsidRPr="00EF190F">
        <w:rPr>
          <w:rFonts w:cs="Arial"/>
          <w:bCs/>
          <w:sz w:val="16"/>
          <w:szCs w:val="16"/>
        </w:rPr>
        <w:t>A partir de este punto, los documentos indican que es la causa no. 916-97 Of. 4to, pero todo está dentro de la certificación de expediente No. 001-2005-95839. A partir de que aparece el expediente 255-93 Of. 4to, se vuelve a identificar la causa con este número.</w:t>
      </w:r>
    </w:p>
  </w:footnote>
  <w:footnote w:id="266">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rFonts w:eastAsia="Calibri" w:cs="Verdana"/>
          <w:i/>
          <w:iCs/>
          <w:sz w:val="16"/>
          <w:szCs w:val="16"/>
          <w:lang w:val="es-PR"/>
        </w:rPr>
        <w:t xml:space="preserve">Cfr. </w:t>
      </w:r>
      <w:r w:rsidRPr="00EF190F">
        <w:rPr>
          <w:sz w:val="16"/>
          <w:szCs w:val="16"/>
          <w:lang w:val="es-CR"/>
        </w:rPr>
        <w:t xml:space="preserve">Escrito de </w:t>
      </w:r>
      <w:r w:rsidRPr="00EF190F">
        <w:rPr>
          <w:rFonts w:cs="Arial"/>
          <w:bCs/>
          <w:sz w:val="16"/>
          <w:szCs w:val="16"/>
          <w:lang w:val="es-CR"/>
        </w:rPr>
        <w:t xml:space="preserve">Miguel Sic, Fabiana Chen </w:t>
      </w:r>
      <w:r w:rsidRPr="00EF190F">
        <w:rPr>
          <w:bCs/>
          <w:sz w:val="16"/>
          <w:szCs w:val="16"/>
          <w:lang w:val="es-CR"/>
        </w:rPr>
        <w:t xml:space="preserve">y </w:t>
      </w:r>
      <w:r w:rsidRPr="00EF190F">
        <w:rPr>
          <w:rFonts w:cs="Arial"/>
          <w:bCs/>
          <w:sz w:val="16"/>
          <w:szCs w:val="16"/>
          <w:lang w:val="es-CR"/>
        </w:rPr>
        <w:t>Teresa Cacaj de 29 de enero de 1998 (expediente de prueba, folios 632 y 633).</w:t>
      </w:r>
    </w:p>
  </w:footnote>
  <w:footnote w:id="267">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rFonts w:eastAsia="Calibri" w:cs="Verdana"/>
          <w:i/>
          <w:iCs/>
          <w:sz w:val="16"/>
          <w:szCs w:val="16"/>
          <w:lang w:val="es-PR"/>
        </w:rPr>
        <w:t xml:space="preserve">Cfr. </w:t>
      </w:r>
      <w:r w:rsidRPr="00EF190F">
        <w:rPr>
          <w:sz w:val="16"/>
          <w:szCs w:val="16"/>
          <w:lang w:val="es-CR"/>
        </w:rPr>
        <w:t xml:space="preserve">Resolución del </w:t>
      </w:r>
      <w:r w:rsidRPr="00EF190F">
        <w:rPr>
          <w:rFonts w:cs="Arial"/>
          <w:sz w:val="16"/>
          <w:szCs w:val="16"/>
          <w:lang w:val="es-CR"/>
        </w:rPr>
        <w:t xml:space="preserve">Juez de Primera Instancia Penal de Narcoactividad y Delitos contra el Ambiente de Baja Verapaz de 30 de marzo de 1999 y </w:t>
      </w:r>
      <w:r w:rsidRPr="00EF190F">
        <w:rPr>
          <w:rFonts w:cs="Arial"/>
          <w:bCs/>
          <w:sz w:val="16"/>
          <w:szCs w:val="16"/>
          <w:lang w:val="es-CR"/>
        </w:rPr>
        <w:t xml:space="preserve">Certificación del Expediente No. 001-2005-95839 (expediente de prueba, </w:t>
      </w:r>
      <w:r w:rsidRPr="00EF190F">
        <w:rPr>
          <w:rFonts w:cs="Arial"/>
          <w:sz w:val="16"/>
          <w:szCs w:val="16"/>
          <w:lang w:val="es-CR"/>
        </w:rPr>
        <w:t xml:space="preserve">folios 619 y 620), y </w:t>
      </w:r>
      <w:r w:rsidRPr="00EF190F">
        <w:rPr>
          <w:rFonts w:cs="Arial"/>
          <w:bCs/>
          <w:sz w:val="16"/>
          <w:szCs w:val="16"/>
          <w:lang w:val="es-CR"/>
        </w:rPr>
        <w:t>Oficio del Juez de Primera Instancia de 18 de junio de 1998</w:t>
      </w:r>
      <w:r w:rsidRPr="00EF190F">
        <w:rPr>
          <w:sz w:val="16"/>
          <w:szCs w:val="16"/>
          <w:lang w:val="es-CR"/>
        </w:rPr>
        <w:t xml:space="preserve"> (expediente de prueba, folio 627).</w:t>
      </w:r>
    </w:p>
  </w:footnote>
  <w:footnote w:id="268">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i/>
          <w:sz w:val="16"/>
          <w:szCs w:val="16"/>
          <w:lang w:val="es-PR"/>
        </w:rPr>
        <w:t xml:space="preserve">Cfr. </w:t>
      </w:r>
      <w:r w:rsidRPr="00EF190F">
        <w:rPr>
          <w:rFonts w:eastAsia="Calibri" w:cs="Verdana-Italic"/>
          <w:i/>
          <w:iCs/>
          <w:sz w:val="16"/>
          <w:szCs w:val="16"/>
          <w:lang w:val="es-PR"/>
        </w:rPr>
        <w:t xml:space="preserve">Caso García Prieto y otros Vs. El Salvador. Excepciones Preliminares, Fondo, Reparaciones y Costas. </w:t>
      </w:r>
      <w:r w:rsidRPr="00EF190F">
        <w:rPr>
          <w:rFonts w:eastAsia="Calibri" w:cs="Verdana-Italic"/>
          <w:iCs/>
          <w:sz w:val="16"/>
          <w:szCs w:val="16"/>
          <w:lang w:val="es-PR"/>
        </w:rPr>
        <w:t xml:space="preserve">Sentencia de 20 de noviembre de 2007. Serie C No. 168, párr. 112, y </w:t>
      </w:r>
      <w:r w:rsidRPr="00EF190F">
        <w:rPr>
          <w:rFonts w:eastAsia="Calibri" w:cs="Verdana-Italic"/>
          <w:i/>
          <w:iCs/>
          <w:sz w:val="16"/>
          <w:szCs w:val="16"/>
          <w:lang w:val="es-PR"/>
        </w:rPr>
        <w:t>Caso Masacres de Rio Negro Vs. Guatemala</w:t>
      </w:r>
      <w:r w:rsidRPr="00EF190F">
        <w:rPr>
          <w:sz w:val="16"/>
          <w:szCs w:val="16"/>
          <w:lang w:val="es-PR"/>
        </w:rPr>
        <w:t>, párr. 209.</w:t>
      </w:r>
    </w:p>
  </w:footnote>
  <w:footnote w:id="269">
    <w:p w:rsidR="006A0E1C" w:rsidRPr="00EF190F" w:rsidRDefault="006A0E1C" w:rsidP="006A0E1C">
      <w:pPr>
        <w:tabs>
          <w:tab w:val="left" w:pos="360"/>
        </w:tabs>
        <w:autoSpaceDE w:val="0"/>
        <w:autoSpaceDN w:val="0"/>
        <w:spacing w:line="240" w:lineRule="auto"/>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lang w:val="es-PR"/>
        </w:rPr>
        <w:t xml:space="preserve">Cfr. </w:t>
      </w:r>
      <w:r w:rsidRPr="00EF190F">
        <w:rPr>
          <w:rFonts w:cs="Arial"/>
          <w:bCs/>
          <w:sz w:val="16"/>
          <w:szCs w:val="16"/>
        </w:rPr>
        <w:t>Oficio del Juez de Primera Instancia de 7 de mayo de 1993 (</w:t>
      </w:r>
      <w:r w:rsidRPr="00EF190F">
        <w:rPr>
          <w:sz w:val="16"/>
          <w:szCs w:val="16"/>
        </w:rPr>
        <w:t>expediente de prueba, folio 712)</w:t>
      </w:r>
      <w:r w:rsidRPr="00EF190F">
        <w:rPr>
          <w:rFonts w:cs="Arial"/>
          <w:bCs/>
          <w:sz w:val="16"/>
          <w:szCs w:val="16"/>
        </w:rPr>
        <w:t>.</w:t>
      </w:r>
    </w:p>
  </w:footnote>
  <w:footnote w:id="270">
    <w:p w:rsidR="006A0E1C" w:rsidRPr="00EF190F" w:rsidRDefault="006A0E1C" w:rsidP="006A0E1C">
      <w:pPr>
        <w:tabs>
          <w:tab w:val="left" w:pos="360"/>
        </w:tabs>
        <w:autoSpaceDE w:val="0"/>
        <w:autoSpaceDN w:val="0"/>
        <w:spacing w:line="240" w:lineRule="auto"/>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lang w:val="es-PR"/>
        </w:rPr>
        <w:t xml:space="preserve">Cfr. </w:t>
      </w:r>
      <w:r w:rsidRPr="00EF190F">
        <w:rPr>
          <w:rFonts w:cs="Arial"/>
          <w:bCs/>
          <w:sz w:val="16"/>
          <w:szCs w:val="16"/>
        </w:rPr>
        <w:t>Oficio del Comandante de Reservas Militares Departamental de 9 de mayo de 1993</w:t>
      </w:r>
      <w:r w:rsidRPr="00EF190F">
        <w:rPr>
          <w:sz w:val="16"/>
          <w:szCs w:val="16"/>
        </w:rPr>
        <w:t xml:space="preserve"> (expediente de prueba, folio 711)</w:t>
      </w:r>
      <w:r w:rsidRPr="00EF190F">
        <w:rPr>
          <w:rFonts w:cs="Arial"/>
          <w:bCs/>
          <w:sz w:val="16"/>
          <w:szCs w:val="16"/>
        </w:rPr>
        <w:t>.</w:t>
      </w:r>
    </w:p>
  </w:footnote>
  <w:footnote w:id="271">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Ante la </w:t>
      </w:r>
      <w:r w:rsidRPr="00EF190F">
        <w:rPr>
          <w:rFonts w:cs="Arial"/>
          <w:sz w:val="16"/>
          <w:szCs w:val="16"/>
        </w:rPr>
        <w:t xml:space="preserve">Procuraduría de Derechos Humanos de Guatemala en Salamá, </w:t>
      </w:r>
      <w:r w:rsidRPr="00EF190F">
        <w:rPr>
          <w:rFonts w:cs="Calibri,Bold"/>
          <w:bCs/>
          <w:color w:val="000000"/>
          <w:sz w:val="16"/>
          <w:szCs w:val="16"/>
        </w:rPr>
        <w:t xml:space="preserve">la señora María Teresa Sic Osorio denunció la desaparición de su esposo, Juan Mendoza Alvarado, y de su suegro, José Cruz Mendoza; la señora Albertina Sic Cuxum denunció la desaparición de su esposo, Leonardo Cahuec Gonzales, y la señora Alejandra Galiego Mendoza denunció la desaparición de su esposo, Lorenzo De Paz Ciprián. </w:t>
      </w:r>
      <w:r w:rsidRPr="00EF190F">
        <w:rPr>
          <w:sz w:val="16"/>
          <w:szCs w:val="16"/>
        </w:rPr>
        <w:t>El</w:t>
      </w:r>
      <w:r w:rsidRPr="00EF190F">
        <w:rPr>
          <w:rFonts w:cs="Arial"/>
          <w:sz w:val="16"/>
          <w:szCs w:val="16"/>
        </w:rPr>
        <w:t xml:space="preserve"> 12 de julio de 1995 la referida Procuraduría </w:t>
      </w:r>
      <w:r w:rsidRPr="00EF190F">
        <w:rPr>
          <w:sz w:val="16"/>
          <w:szCs w:val="16"/>
        </w:rPr>
        <w:t xml:space="preserve">puso en conocimiento de </w:t>
      </w:r>
      <w:r w:rsidRPr="00EF190F">
        <w:rPr>
          <w:rFonts w:cs="Calibri,Bold"/>
          <w:bCs/>
          <w:sz w:val="16"/>
          <w:szCs w:val="16"/>
        </w:rPr>
        <w:t xml:space="preserve">la Fiscalía Distrital del Ministerio Público Salamá las denuncias presentadas. </w:t>
      </w:r>
      <w:r w:rsidRPr="00EF190F">
        <w:rPr>
          <w:rFonts w:cs="Calibri,Bold"/>
          <w:bCs/>
          <w:i/>
          <w:color w:val="000000"/>
          <w:sz w:val="16"/>
          <w:szCs w:val="16"/>
        </w:rPr>
        <w:t>Cfr</w:t>
      </w:r>
      <w:r w:rsidRPr="00EF190F">
        <w:rPr>
          <w:rFonts w:cs="Calibri,Bold"/>
          <w:bCs/>
          <w:color w:val="000000"/>
          <w:sz w:val="16"/>
          <w:szCs w:val="16"/>
        </w:rPr>
        <w:t xml:space="preserve">. </w:t>
      </w:r>
      <w:r w:rsidRPr="00EF190F">
        <w:rPr>
          <w:sz w:val="16"/>
          <w:szCs w:val="16"/>
        </w:rPr>
        <w:t>Ampliación de la denuncia del Auxiliar Departamental del Procurador de Derechos Humanos ante la Fiscalía Distrital del Ministerio Público de Salamá de 12 de julio de 1995 (expediente de prueba, folios 1351 a 1353).</w:t>
      </w:r>
    </w:p>
  </w:footnote>
  <w:footnote w:id="272">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Se abrió este expediente a partir de la denuncia de 7 de </w:t>
      </w:r>
      <w:r w:rsidRPr="00EF190F">
        <w:rPr>
          <w:rFonts w:cs="Calibri,Bold"/>
          <w:bCs/>
          <w:sz w:val="16"/>
          <w:szCs w:val="16"/>
        </w:rPr>
        <w:t>abril</w:t>
      </w:r>
      <w:r w:rsidRPr="00EF190F">
        <w:rPr>
          <w:sz w:val="16"/>
          <w:szCs w:val="16"/>
        </w:rPr>
        <w:t xml:space="preserve"> de 2006 del señor Miguel Chen Tahuico ante la Fiscalía Municipal del Ministerio Público de Rabinal. También denunció la “necesidad de enterrar[a su hijo] en terreno de [su] propiedad ya que la persecución del ejército era constante, [y] no pudi[eron] enterrarlo en un cementerio legal”. </w:t>
      </w:r>
      <w:r w:rsidRPr="00EF190F">
        <w:rPr>
          <w:i/>
          <w:sz w:val="16"/>
          <w:szCs w:val="16"/>
        </w:rPr>
        <w:t xml:space="preserve">Cfr. </w:t>
      </w:r>
      <w:r w:rsidRPr="00EF190F">
        <w:rPr>
          <w:sz w:val="16"/>
          <w:szCs w:val="16"/>
        </w:rPr>
        <w:t>Denuncia de Miguel Chen Tahuico de 7 de abril de 2006 (expediente de prueba, folios 1555 y 1556).</w:t>
      </w:r>
    </w:p>
  </w:footnote>
  <w:footnote w:id="273">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rFonts w:eastAsia="Calibri" w:cs="Verdana"/>
          <w:i/>
          <w:iCs/>
          <w:sz w:val="16"/>
          <w:szCs w:val="16"/>
          <w:lang w:val="es-MX"/>
        </w:rPr>
        <w:t xml:space="preserve">Cfr. </w:t>
      </w:r>
      <w:r w:rsidRPr="00EF190F">
        <w:rPr>
          <w:rFonts w:eastAsia="Calibri" w:cs="Verdana"/>
          <w:bCs/>
          <w:i/>
          <w:iCs/>
          <w:sz w:val="16"/>
          <w:szCs w:val="16"/>
          <w:lang w:val="es-CR"/>
        </w:rPr>
        <w:t xml:space="preserve">Caso Velásquez Rodríguez Vs. Honduras. Fondo. </w:t>
      </w:r>
      <w:r w:rsidRPr="00EF190F">
        <w:rPr>
          <w:rFonts w:eastAsia="Calibri" w:cs="Verdana"/>
          <w:bCs/>
          <w:iCs/>
          <w:sz w:val="16"/>
          <w:szCs w:val="16"/>
          <w:lang w:val="es-CR"/>
        </w:rPr>
        <w:t>Sentencia de 29 de julio de 1988. Serie C No. 4</w:t>
      </w:r>
      <w:r w:rsidRPr="00EF190F">
        <w:rPr>
          <w:rFonts w:eastAsia="Calibri" w:cs="Verdana"/>
          <w:iCs/>
          <w:sz w:val="16"/>
          <w:szCs w:val="16"/>
          <w:lang w:val="es-MX"/>
        </w:rPr>
        <w:t xml:space="preserve">, </w:t>
      </w:r>
      <w:r w:rsidRPr="00EF190F">
        <w:rPr>
          <w:rFonts w:eastAsia="Calibri" w:cs="Verdana"/>
          <w:sz w:val="16"/>
          <w:szCs w:val="16"/>
          <w:lang w:val="es-MX"/>
        </w:rPr>
        <w:t xml:space="preserve">párr. 177, y </w:t>
      </w:r>
      <w:r w:rsidRPr="00EF190F">
        <w:rPr>
          <w:i/>
          <w:sz w:val="16"/>
          <w:szCs w:val="16"/>
          <w:lang w:val="es-PR"/>
        </w:rPr>
        <w:t xml:space="preserve">Caso Tenorio Roca y otros Vs. Perú, </w:t>
      </w:r>
      <w:r w:rsidRPr="00EF190F">
        <w:rPr>
          <w:sz w:val="16"/>
          <w:szCs w:val="16"/>
          <w:lang w:val="es-PR"/>
        </w:rPr>
        <w:t xml:space="preserve">párr. 176. </w:t>
      </w:r>
    </w:p>
  </w:footnote>
  <w:footnote w:id="274">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rFonts w:eastAsia="Calibri" w:cs="Verdana"/>
          <w:i/>
          <w:iCs/>
          <w:sz w:val="16"/>
          <w:szCs w:val="16"/>
          <w:lang w:val="es-MX"/>
        </w:rPr>
        <w:t xml:space="preserve">Cfr. </w:t>
      </w:r>
      <w:r w:rsidRPr="00EF190F">
        <w:rPr>
          <w:sz w:val="16"/>
          <w:szCs w:val="16"/>
          <w:lang w:val="es-PR"/>
        </w:rPr>
        <w:t xml:space="preserve">Resolución de la </w:t>
      </w:r>
      <w:r w:rsidRPr="00EF190F">
        <w:rPr>
          <w:sz w:val="16"/>
          <w:szCs w:val="16"/>
        </w:rPr>
        <w:t>Fiscalía Distrital del Ministerio Público de Salamá de 15 de agosto de 1995 (expediente de prueba, folio 1398).</w:t>
      </w:r>
    </w:p>
  </w:footnote>
  <w:footnote w:id="275">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t xml:space="preserve">Estos expedientes son: i) No. 87-97 ante la Fiscalía Distrital del Ministerio Público de Salamá; ii) Causa No. 255-93 Of. 4to (Expediente 1083-95 M.P.) ante la Fiscalía Distrital del Ministerio Público de Salamá; iii) Causa No. 247-2003-1142 ante la Fiscalía Distrital del Ministerio Público de Salamá; iv) Causa No. 248-2010-263 ante la Fiscalía Municipal del Ministerio Público de Rabinal, y v) </w:t>
      </w:r>
      <w:r w:rsidRPr="00EF190F">
        <w:rPr>
          <w:rFonts w:cs="Arial"/>
          <w:sz w:val="16"/>
          <w:szCs w:val="16"/>
        </w:rPr>
        <w:t>Expediente</w:t>
      </w:r>
      <w:r w:rsidRPr="00EF190F">
        <w:rPr>
          <w:rFonts w:cs="Calibri,Bold"/>
          <w:bCs/>
          <w:sz w:val="16"/>
          <w:szCs w:val="16"/>
        </w:rPr>
        <w:t xml:space="preserve"> No. M.P. 247-1997-1378 ante la Fiscalía Distrital del Ministerio Público de Salamá. </w:t>
      </w:r>
    </w:p>
  </w:footnote>
  <w:footnote w:id="276">
    <w:p w:rsidR="006A0E1C" w:rsidRPr="00EF190F" w:rsidRDefault="006A0E1C" w:rsidP="006A0E1C">
      <w:pPr>
        <w:tabs>
          <w:tab w:val="left" w:pos="360"/>
        </w:tabs>
        <w:spacing w:line="240" w:lineRule="auto"/>
        <w:rPr>
          <w:sz w:val="16"/>
          <w:szCs w:val="16"/>
          <w:lang w:val="es-PR"/>
        </w:rPr>
      </w:pPr>
      <w:r w:rsidRPr="00EF190F">
        <w:rPr>
          <w:rStyle w:val="FootnoteReference"/>
          <w:sz w:val="16"/>
          <w:szCs w:val="16"/>
        </w:rPr>
        <w:footnoteRef/>
      </w:r>
      <w:r w:rsidRPr="00EF190F">
        <w:rPr>
          <w:sz w:val="16"/>
          <w:szCs w:val="16"/>
        </w:rPr>
        <w:t xml:space="preserve"> </w:t>
      </w:r>
      <w:r w:rsidRPr="00EF190F">
        <w:rPr>
          <w:sz w:val="16"/>
          <w:szCs w:val="16"/>
        </w:rPr>
        <w:tab/>
      </w:r>
      <w:r w:rsidRPr="00EF190F">
        <w:rPr>
          <w:rFonts w:cs="Arial"/>
          <w:sz w:val="16"/>
          <w:szCs w:val="16"/>
        </w:rPr>
        <w:t>E</w:t>
      </w:r>
      <w:r w:rsidRPr="00EF190F">
        <w:rPr>
          <w:rFonts w:cs="Arial"/>
          <w:sz w:val="16"/>
          <w:szCs w:val="16"/>
          <w:lang w:val="es-PR"/>
        </w:rPr>
        <w:t>n</w:t>
      </w:r>
      <w:r w:rsidRPr="00EF190F">
        <w:rPr>
          <w:rFonts w:cs="Arial"/>
          <w:sz w:val="16"/>
          <w:szCs w:val="16"/>
          <w:lang w:val="es-ES_tradnl"/>
        </w:rPr>
        <w:t xml:space="preserve"> enero de 1997 la señora María Concepción García Depaz</w:t>
      </w:r>
      <w:r w:rsidRPr="00EF190F">
        <w:rPr>
          <w:rFonts w:cs="Arial"/>
          <w:sz w:val="16"/>
          <w:szCs w:val="16"/>
          <w:lang w:val="es-PR"/>
        </w:rPr>
        <w:t xml:space="preserve"> solicitó al </w:t>
      </w:r>
      <w:r w:rsidRPr="00EF190F">
        <w:rPr>
          <w:rFonts w:cs="Arial"/>
          <w:sz w:val="16"/>
          <w:szCs w:val="16"/>
          <w:lang w:val="es-ES_tradnl"/>
        </w:rPr>
        <w:t>Fiscal Distrital del Ministerio Público</w:t>
      </w:r>
      <w:r w:rsidRPr="00EF190F">
        <w:rPr>
          <w:rFonts w:cs="Arial"/>
          <w:sz w:val="16"/>
          <w:szCs w:val="16"/>
          <w:lang w:val="es-PR"/>
        </w:rPr>
        <w:t xml:space="preserve"> </w:t>
      </w:r>
      <w:r w:rsidRPr="00EF190F">
        <w:rPr>
          <w:rFonts w:cs="Arial"/>
          <w:sz w:val="16"/>
          <w:szCs w:val="16"/>
          <w:lang w:val="es-ES_tradnl"/>
        </w:rPr>
        <w:t xml:space="preserve">que se “solicit[ara] al Ministerio de la Defensa y/o a la base militar que corresponda [un] informe sobre el nombre de los soldados, oficiales y patrulleros civiles de [El] Chol”, Baja Verapaz. </w:t>
      </w:r>
      <w:r w:rsidRPr="00EF190F">
        <w:rPr>
          <w:rFonts w:cs="Arial"/>
          <w:i/>
          <w:sz w:val="16"/>
          <w:szCs w:val="16"/>
          <w:lang w:val="es-ES_tradnl"/>
        </w:rPr>
        <w:t>Cfr.</w:t>
      </w:r>
      <w:r w:rsidRPr="00EF190F">
        <w:rPr>
          <w:rFonts w:cs="Arial"/>
          <w:sz w:val="16"/>
          <w:szCs w:val="16"/>
          <w:lang w:val="es-ES_tradnl"/>
        </w:rPr>
        <w:t xml:space="preserve"> </w:t>
      </w:r>
      <w:r w:rsidRPr="00EF190F">
        <w:rPr>
          <w:sz w:val="16"/>
          <w:szCs w:val="16"/>
        </w:rPr>
        <w:t>Denuncia de María García Depaz de 17 de enero de 1997 (expediente de prueba, folios 1862 y 1863).</w:t>
      </w:r>
      <w:r w:rsidRPr="00EF190F">
        <w:rPr>
          <w:rFonts w:cs="Arial"/>
          <w:sz w:val="16"/>
          <w:szCs w:val="16"/>
          <w:lang w:val="es-ES_tradnl"/>
        </w:rPr>
        <w:t xml:space="preserve"> No consta respuesta alguna a dicha solicitud.</w:t>
      </w:r>
    </w:p>
  </w:footnote>
  <w:footnote w:id="277">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Cfr</w:t>
      </w:r>
      <w:r w:rsidRPr="00EF190F">
        <w:rPr>
          <w:sz w:val="16"/>
          <w:szCs w:val="16"/>
        </w:rPr>
        <w:t xml:space="preserve">. </w:t>
      </w:r>
      <w:r w:rsidRPr="00EF190F">
        <w:rPr>
          <w:rFonts w:cs="Arial"/>
          <w:sz w:val="16"/>
          <w:szCs w:val="16"/>
          <w:lang w:val="es-CR"/>
        </w:rPr>
        <w:t>Denuncia de Víctor Castulo Alvarado Sucup y Rosario Roman Tum de 27 de julio de 1995 (expediente de prueba, folios 1881 y 1882);</w:t>
      </w:r>
      <w:r w:rsidRPr="00EF190F">
        <w:rPr>
          <w:sz w:val="16"/>
          <w:szCs w:val="16"/>
          <w:lang w:val="es-CR"/>
        </w:rPr>
        <w:t xml:space="preserve"> Declaración del señor Víctor Castulo Alvarado Sucup de 11 de agosto de 1995 (expediente de prueba, folios 1883 y 1884); Declaración de la señora Rosario Román Tum de 11 de agosto de 1995 (expediente de prueba, folios 1885 y 1886); Denuncia de María Concepción García Depaz de 17 de enero de 1997 (expediente de prueba, folios 1862 y 1863); </w:t>
      </w:r>
      <w:r w:rsidRPr="00EF190F">
        <w:rPr>
          <w:sz w:val="16"/>
          <w:szCs w:val="16"/>
        </w:rPr>
        <w:t xml:space="preserve">Denuncia de Francisca González Tecú de 28 de julio de 1997 (expediente de prueba, folios 9138 y 9139); </w:t>
      </w:r>
      <w:r w:rsidRPr="00EF190F">
        <w:rPr>
          <w:sz w:val="16"/>
          <w:szCs w:val="16"/>
          <w:lang w:val="es-CR"/>
        </w:rPr>
        <w:t xml:space="preserve">Declaración de Juana García Depaz de 26 de julio de 2001 (expediente de prueba, folios 1893 a 1895); Declaración de Francisco Sic Chen de 26 de julio de 2001 (expediente de prueba, folios 1896 y 1897); Declaración de Máxima Emiliana García Valey de 26 de julio de 2001 (expediente de prueba, folios 1898 y 1899); Declaración de Tarcila Milián Morales de 27 de julio de 2001 (expediente de prueba, folios 1900 y 1901); Declaración de María Concepción García Depaz de 27 de julio de 2001 (expediente de prueba, folios 1902 y 1903); Denuncia de Tarcila Milián Morales de 21 de mayo de 2003 (expediente de prueba, folios 11779 y 11780); </w:t>
      </w:r>
      <w:r w:rsidRPr="00EF190F">
        <w:rPr>
          <w:sz w:val="16"/>
          <w:szCs w:val="16"/>
        </w:rPr>
        <w:t xml:space="preserve">Declaración de Francisca González Tecú y Clementina Bachan Cahuec de 8 de mayo de 2003 ante el Auxiliar Fiscal de la Fiscalía Distrital del Ministerio Público de Salamá (expediente de prueba, folios 9142 y 9143), y </w:t>
      </w:r>
      <w:r w:rsidRPr="00EF190F">
        <w:rPr>
          <w:sz w:val="16"/>
          <w:szCs w:val="16"/>
          <w:lang w:val="es-CR"/>
        </w:rPr>
        <w:t>Denuncia de Carlos Chen Osorio de 16 de abril de 2010 (expediente de prueba, folios 11933 a 11935).</w:t>
      </w:r>
    </w:p>
  </w:footnote>
  <w:footnote w:id="278">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rFonts w:eastAsia="Calibri"/>
          <w:sz w:val="16"/>
          <w:szCs w:val="16"/>
          <w:lang w:val="es-GT"/>
        </w:rPr>
        <w:t xml:space="preserve">Al respecto, en los meses de mayo y junio de 1995 Juana García Depaz, Máxima Emiliana García Valey y Francisco Sic Chen acudieron al </w:t>
      </w:r>
      <w:r w:rsidRPr="00EF190F">
        <w:rPr>
          <w:rFonts w:cs="Arial"/>
          <w:sz w:val="16"/>
          <w:szCs w:val="16"/>
        </w:rPr>
        <w:t>Auxiliar Departamental del Procurador de Derechos Humanos de Guatemala a denunciar la existencia de cementerios clandestinos ubicados en la aldea Chichupac y solicitaron la exhumación de los cuerpos. Además, el señor Sic Chen mencionó el nombre de un patrullero civil que señaló como responsable por este hecho.</w:t>
      </w:r>
      <w:r w:rsidRPr="00EF190F">
        <w:rPr>
          <w:sz w:val="16"/>
          <w:szCs w:val="16"/>
        </w:rPr>
        <w:t xml:space="preserve"> </w:t>
      </w:r>
      <w:r w:rsidRPr="00EF190F">
        <w:rPr>
          <w:rFonts w:cs="Arial"/>
          <w:sz w:val="16"/>
          <w:szCs w:val="16"/>
        </w:rPr>
        <w:t xml:space="preserve">Dicha Procuraduría </w:t>
      </w:r>
      <w:r w:rsidRPr="00EF190F">
        <w:rPr>
          <w:sz w:val="16"/>
          <w:szCs w:val="16"/>
        </w:rPr>
        <w:t xml:space="preserve">puso en conocimiento de </w:t>
      </w:r>
      <w:r w:rsidRPr="00EF190F">
        <w:rPr>
          <w:rFonts w:cs="Calibri,Bold"/>
          <w:bCs/>
          <w:sz w:val="16"/>
          <w:szCs w:val="16"/>
        </w:rPr>
        <w:t xml:space="preserve">la </w:t>
      </w:r>
      <w:r w:rsidRPr="00EF190F">
        <w:rPr>
          <w:rFonts w:cs="Arial"/>
          <w:sz w:val="16"/>
          <w:szCs w:val="16"/>
        </w:rPr>
        <w:t>Fiscalía Distrital del Ministerio Público de Salamá la</w:t>
      </w:r>
      <w:r w:rsidRPr="00EF190F">
        <w:rPr>
          <w:rFonts w:cs="Calibri,Bold"/>
          <w:bCs/>
          <w:sz w:val="16"/>
          <w:szCs w:val="16"/>
        </w:rPr>
        <w:t xml:space="preserve"> </w:t>
      </w:r>
      <w:r w:rsidRPr="00EF190F">
        <w:rPr>
          <w:rFonts w:cs="Arial"/>
          <w:sz w:val="16"/>
          <w:szCs w:val="16"/>
        </w:rPr>
        <w:t>denuncia sobre los cementerios clandestinos</w:t>
      </w:r>
      <w:r w:rsidRPr="00EF190F">
        <w:rPr>
          <w:sz w:val="16"/>
          <w:szCs w:val="16"/>
        </w:rPr>
        <w:t xml:space="preserve">. </w:t>
      </w:r>
      <w:r w:rsidRPr="00EF190F">
        <w:rPr>
          <w:i/>
          <w:sz w:val="16"/>
          <w:szCs w:val="16"/>
        </w:rPr>
        <w:t>Cfr.</w:t>
      </w:r>
      <w:r w:rsidRPr="00EF190F">
        <w:rPr>
          <w:sz w:val="16"/>
          <w:szCs w:val="16"/>
        </w:rPr>
        <w:t xml:space="preserve"> </w:t>
      </w:r>
      <w:r w:rsidRPr="00EF190F">
        <w:rPr>
          <w:sz w:val="16"/>
          <w:szCs w:val="16"/>
          <w:lang w:val="es-CR"/>
        </w:rPr>
        <w:t xml:space="preserve">Denuncia del </w:t>
      </w:r>
      <w:r w:rsidRPr="00EF190F">
        <w:rPr>
          <w:rFonts w:cs="Arial"/>
          <w:sz w:val="16"/>
          <w:szCs w:val="16"/>
        </w:rPr>
        <w:t xml:space="preserve">Auxiliar Departamental del Procurador de Derechos Humanos de Guatemala </w:t>
      </w:r>
      <w:r w:rsidRPr="00EF190F">
        <w:rPr>
          <w:sz w:val="16"/>
          <w:szCs w:val="16"/>
          <w:lang w:val="es-CR"/>
        </w:rPr>
        <w:t>(expediente de prueba, folios 1574 a 1577), y Denuncia de Juan</w:t>
      </w:r>
      <w:r>
        <w:rPr>
          <w:sz w:val="16"/>
          <w:szCs w:val="16"/>
          <w:lang w:val="es-CR"/>
        </w:rPr>
        <w:t>a</w:t>
      </w:r>
      <w:r w:rsidRPr="00EF190F">
        <w:rPr>
          <w:sz w:val="16"/>
          <w:szCs w:val="16"/>
          <w:lang w:val="es-CR"/>
        </w:rPr>
        <w:t xml:space="preserve"> García Depaz de 9 de mayo de 1995 (expediente</w:t>
      </w:r>
      <w:r w:rsidRPr="00EF190F">
        <w:rPr>
          <w:sz w:val="16"/>
          <w:szCs w:val="16"/>
        </w:rPr>
        <w:t xml:space="preserve"> de prueba, folios 1290 y 1291)</w:t>
      </w:r>
      <w:r w:rsidRPr="00EF190F">
        <w:rPr>
          <w:sz w:val="16"/>
          <w:szCs w:val="16"/>
          <w:lang w:val="es-CR"/>
        </w:rPr>
        <w:t xml:space="preserve">. Asimismo, </w:t>
      </w:r>
      <w:r w:rsidRPr="00EF190F">
        <w:rPr>
          <w:rFonts w:eastAsia="Calibri"/>
          <w:sz w:val="16"/>
          <w:szCs w:val="16"/>
          <w:lang w:val="es-GT"/>
        </w:rPr>
        <w:t xml:space="preserve">en junio de 1995 Juana García Depaz denunció ante la </w:t>
      </w:r>
      <w:r w:rsidRPr="00EF190F">
        <w:rPr>
          <w:rFonts w:cs="Arial"/>
          <w:sz w:val="16"/>
          <w:szCs w:val="16"/>
        </w:rPr>
        <w:t xml:space="preserve">Fiscalía Distrital del Ministerio Público de Salamá la existencia de cementerios clandestinos, solicitó la exhumación de los cuerpos y mencionó los nombres de las personas que señaló como responsables de los hechos. </w:t>
      </w:r>
      <w:r w:rsidRPr="00EF190F">
        <w:rPr>
          <w:rFonts w:cs="Arial"/>
          <w:i/>
          <w:sz w:val="16"/>
          <w:szCs w:val="16"/>
        </w:rPr>
        <w:t>Cfr.</w:t>
      </w:r>
      <w:r w:rsidRPr="00EF190F">
        <w:rPr>
          <w:rFonts w:cs="Arial"/>
          <w:sz w:val="16"/>
          <w:szCs w:val="16"/>
        </w:rPr>
        <w:t xml:space="preserve"> </w:t>
      </w:r>
      <w:r w:rsidRPr="00EF190F">
        <w:rPr>
          <w:sz w:val="16"/>
          <w:szCs w:val="16"/>
          <w:lang w:val="es-CR"/>
        </w:rPr>
        <w:t>Declaración de Juana García Depaz de 9 de junio de 1995 (expediente de prueba, folios 1263 y 1264).</w:t>
      </w:r>
    </w:p>
    <w:p w:rsidR="006A0E1C" w:rsidRPr="00EF190F" w:rsidRDefault="006A0E1C" w:rsidP="006A0E1C">
      <w:pPr>
        <w:tabs>
          <w:tab w:val="left" w:pos="360"/>
        </w:tabs>
        <w:autoSpaceDE w:val="0"/>
        <w:autoSpaceDN w:val="0"/>
        <w:spacing w:line="240" w:lineRule="auto"/>
        <w:rPr>
          <w:rFonts w:cs="Arial"/>
          <w:sz w:val="16"/>
          <w:szCs w:val="16"/>
        </w:rPr>
      </w:pPr>
    </w:p>
    <w:p w:rsidR="006A0E1C" w:rsidRPr="00EF190F" w:rsidRDefault="006A0E1C" w:rsidP="006A0E1C">
      <w:pPr>
        <w:pStyle w:val="FootnoteText"/>
        <w:tabs>
          <w:tab w:val="left" w:pos="360"/>
        </w:tabs>
        <w:rPr>
          <w:sz w:val="16"/>
          <w:szCs w:val="16"/>
          <w:lang w:val="es-CR"/>
        </w:rPr>
      </w:pPr>
      <w:r w:rsidRPr="00EF190F">
        <w:rPr>
          <w:rFonts w:cs="Arial"/>
          <w:sz w:val="16"/>
          <w:szCs w:val="16"/>
        </w:rPr>
        <w:t xml:space="preserve">Estas denuncias fueron reiteradas seis años después ante la Fiscalía Distrital del Ministerio Público de Salamá, en julio de 2001, cuando nuevamente se solicitó la realización de exhumaciones. </w:t>
      </w:r>
      <w:r w:rsidRPr="00EF190F">
        <w:rPr>
          <w:rFonts w:cs="Arial"/>
          <w:i/>
          <w:sz w:val="16"/>
          <w:szCs w:val="16"/>
        </w:rPr>
        <w:t>Cfr</w:t>
      </w:r>
      <w:r w:rsidRPr="00EF190F">
        <w:rPr>
          <w:rFonts w:cs="Arial"/>
          <w:sz w:val="16"/>
          <w:szCs w:val="16"/>
        </w:rPr>
        <w:t xml:space="preserve">. </w:t>
      </w:r>
      <w:r w:rsidRPr="00EF190F">
        <w:rPr>
          <w:sz w:val="16"/>
          <w:szCs w:val="16"/>
          <w:lang w:val="es-CR"/>
        </w:rPr>
        <w:t>Declaración de Juana García Depaz de 26 de julio de 2001 (expediente</w:t>
      </w:r>
      <w:r w:rsidRPr="00EF190F">
        <w:rPr>
          <w:sz w:val="16"/>
          <w:szCs w:val="16"/>
        </w:rPr>
        <w:t xml:space="preserve"> de prueba, folios 1893 a 1895); </w:t>
      </w:r>
      <w:r w:rsidRPr="00EF190F">
        <w:rPr>
          <w:sz w:val="16"/>
          <w:szCs w:val="16"/>
          <w:lang w:val="es-CR"/>
        </w:rPr>
        <w:t>Declaración de Francisco Sic Chen de 26 de julio de 2001 (expediente de prueba, folios 1896 y 1897), y Declaración de Máxima Emiliana García Valey de 26 de julio de 2001 (expediente de prueba, folios 1898 y 1899).</w:t>
      </w:r>
    </w:p>
    <w:p w:rsidR="006A0E1C" w:rsidRPr="00EF190F" w:rsidRDefault="006A0E1C" w:rsidP="006A0E1C">
      <w:pPr>
        <w:tabs>
          <w:tab w:val="left" w:pos="360"/>
        </w:tabs>
        <w:autoSpaceDE w:val="0"/>
        <w:autoSpaceDN w:val="0"/>
        <w:spacing w:line="240" w:lineRule="auto"/>
        <w:rPr>
          <w:rFonts w:cs="Arial"/>
          <w:sz w:val="16"/>
          <w:szCs w:val="16"/>
        </w:rPr>
      </w:pPr>
    </w:p>
    <w:p w:rsidR="006A0E1C" w:rsidRPr="00EF190F" w:rsidRDefault="006A0E1C" w:rsidP="006A0E1C">
      <w:pPr>
        <w:pStyle w:val="ListParagraph"/>
        <w:tabs>
          <w:tab w:val="left" w:pos="360"/>
        </w:tabs>
        <w:autoSpaceDE w:val="0"/>
        <w:autoSpaceDN w:val="0"/>
        <w:adjustRightInd w:val="0"/>
        <w:spacing w:after="0" w:line="240" w:lineRule="auto"/>
        <w:ind w:left="0"/>
        <w:jc w:val="both"/>
        <w:rPr>
          <w:rFonts w:ascii="Verdana" w:hAnsi="Verdana"/>
          <w:sz w:val="16"/>
          <w:szCs w:val="16"/>
          <w:lang w:val="es-CR"/>
        </w:rPr>
      </w:pPr>
      <w:r w:rsidRPr="00EF190F">
        <w:rPr>
          <w:rFonts w:ascii="Verdana" w:hAnsi="Verdana" w:cs="Arial"/>
          <w:sz w:val="16"/>
          <w:szCs w:val="16"/>
        </w:rPr>
        <w:t xml:space="preserve">Del mismo modo, en agosto de 1995 Víctor Castulo Alvarado Sucup </w:t>
      </w:r>
      <w:r w:rsidRPr="00EF190F">
        <w:rPr>
          <w:rFonts w:ascii="Verdana" w:hAnsi="Verdana"/>
          <w:sz w:val="16"/>
          <w:szCs w:val="16"/>
        </w:rPr>
        <w:t xml:space="preserve">y </w:t>
      </w:r>
      <w:r w:rsidRPr="00EF190F">
        <w:rPr>
          <w:rFonts w:ascii="Verdana" w:hAnsi="Verdana" w:cs="Arial"/>
          <w:sz w:val="16"/>
          <w:szCs w:val="16"/>
        </w:rPr>
        <w:t xml:space="preserve">Rosario Román Tum solicitaron a la Fiscalía Departamental de Salamá, la exhumación de los cuerpos enterrados en las fosas clandestinas ubicadas en Xeabaj. </w:t>
      </w:r>
      <w:r w:rsidRPr="00EF190F">
        <w:rPr>
          <w:rFonts w:ascii="Verdana" w:hAnsi="Verdana" w:cs="Arial"/>
          <w:i/>
          <w:sz w:val="16"/>
          <w:szCs w:val="16"/>
          <w:lang w:val="es-ES_tradnl"/>
        </w:rPr>
        <w:t xml:space="preserve">Cfr. </w:t>
      </w:r>
      <w:r w:rsidRPr="00EF190F">
        <w:rPr>
          <w:rFonts w:ascii="Verdana" w:hAnsi="Verdana"/>
          <w:sz w:val="16"/>
          <w:szCs w:val="16"/>
          <w:lang w:val="es-CR"/>
        </w:rPr>
        <w:t>Declaración de Víctor Castulo Alvarado Sucup de 11 de agosto de 1995 (expediente de prueba, folios 1883 y 1884), y Declaración de Rosario Román Tum de 11 de agosto de 1995 (expediente de prueba, folios 1885 y 1886).</w:t>
      </w:r>
    </w:p>
    <w:p w:rsidR="006A0E1C" w:rsidRPr="00EF190F" w:rsidRDefault="006A0E1C" w:rsidP="006A0E1C">
      <w:pPr>
        <w:tabs>
          <w:tab w:val="left" w:pos="360"/>
        </w:tabs>
        <w:autoSpaceDE w:val="0"/>
        <w:autoSpaceDN w:val="0"/>
        <w:spacing w:line="240" w:lineRule="auto"/>
        <w:rPr>
          <w:rFonts w:cs="Arial"/>
          <w:sz w:val="16"/>
          <w:szCs w:val="16"/>
          <w:lang w:val="es-ES_tradnl"/>
        </w:rPr>
      </w:pPr>
    </w:p>
    <w:p w:rsidR="006A0E1C" w:rsidRPr="00EF190F" w:rsidRDefault="006A0E1C" w:rsidP="006A0E1C">
      <w:pPr>
        <w:tabs>
          <w:tab w:val="left" w:pos="360"/>
        </w:tabs>
        <w:autoSpaceDE w:val="0"/>
        <w:autoSpaceDN w:val="0"/>
        <w:spacing w:line="240" w:lineRule="auto"/>
        <w:rPr>
          <w:rFonts w:cs="Arial"/>
          <w:sz w:val="16"/>
          <w:szCs w:val="16"/>
        </w:rPr>
      </w:pPr>
      <w:r w:rsidRPr="00EF190F">
        <w:rPr>
          <w:rFonts w:cs="Arial"/>
          <w:sz w:val="16"/>
          <w:szCs w:val="16"/>
        </w:rPr>
        <w:t xml:space="preserve">Sin embargo, también tuvieron que reiterar dicha solicitud en mayo de 2000 y febrero de 2002, es decir, cinco y siete años después, ante la Fiscalía Distrital del Ministerio Público de Salamá. En esta última ocasión también solicitaron a la Fiscalía nombrar peritos para el análisis de los cuerpos y oficiar a la Policía Nacional para que esta brindara custodia durante la exhumación. </w:t>
      </w:r>
      <w:r w:rsidRPr="00EF190F">
        <w:rPr>
          <w:rFonts w:cs="Arial"/>
          <w:i/>
          <w:sz w:val="16"/>
          <w:szCs w:val="16"/>
        </w:rPr>
        <w:t xml:space="preserve">Cfr. </w:t>
      </w:r>
      <w:r w:rsidRPr="00EF190F">
        <w:rPr>
          <w:sz w:val="16"/>
          <w:szCs w:val="16"/>
        </w:rPr>
        <w:t>Declaración de Víctor Castulo Alvarado Sucup de 9 de mayo de 2000 (expediente de prueba, folio 1890); Declaración de Rosario Román Tum de 9 de mayo de 2000 (expediente de prueba, folio 1888), y Escrito presentado por el señor Víctor Castulo Alvarado Sucup y la señora Rosario Román Tum al Agente Fiscal de la Fiscalía Distrital de Baja Verapaz el 14 de febrero de 2002 (expediente de prueba, folios 1913 a 1915).</w:t>
      </w:r>
    </w:p>
    <w:p w:rsidR="006A0E1C" w:rsidRPr="00EF190F" w:rsidRDefault="006A0E1C" w:rsidP="006A0E1C">
      <w:pPr>
        <w:tabs>
          <w:tab w:val="left" w:pos="360"/>
        </w:tabs>
        <w:autoSpaceDE w:val="0"/>
        <w:autoSpaceDN w:val="0"/>
        <w:spacing w:line="240" w:lineRule="auto"/>
        <w:rPr>
          <w:rFonts w:cs="Arial"/>
          <w:sz w:val="16"/>
          <w:szCs w:val="16"/>
        </w:rPr>
      </w:pPr>
    </w:p>
    <w:p w:rsidR="006A0E1C" w:rsidRPr="00EF190F" w:rsidRDefault="006A0E1C" w:rsidP="006A0E1C">
      <w:pPr>
        <w:pStyle w:val="FootnoteText"/>
        <w:tabs>
          <w:tab w:val="left" w:pos="360"/>
        </w:tabs>
        <w:rPr>
          <w:sz w:val="16"/>
          <w:szCs w:val="16"/>
        </w:rPr>
      </w:pPr>
      <w:r w:rsidRPr="00EF190F">
        <w:rPr>
          <w:sz w:val="16"/>
          <w:szCs w:val="16"/>
        </w:rPr>
        <w:t xml:space="preserve">En enero de 1997 y julio de 2001 la señora María Concepción García Depaz solicitó la exhumación de su hijo, señalando el lugar donde este se encontraría sepultado. </w:t>
      </w:r>
      <w:r w:rsidRPr="00EF190F">
        <w:rPr>
          <w:i/>
          <w:sz w:val="16"/>
          <w:szCs w:val="16"/>
        </w:rPr>
        <w:t>Cfr</w:t>
      </w:r>
      <w:r w:rsidRPr="00EF190F">
        <w:rPr>
          <w:sz w:val="16"/>
          <w:szCs w:val="16"/>
        </w:rPr>
        <w:t xml:space="preserve">. </w:t>
      </w:r>
      <w:r w:rsidRPr="00EF190F">
        <w:rPr>
          <w:sz w:val="16"/>
          <w:szCs w:val="16"/>
          <w:lang w:val="es-CR"/>
        </w:rPr>
        <w:t xml:space="preserve">Denuncia de María Concepción García Depaz de 17 de enero de 1997 </w:t>
      </w:r>
      <w:r w:rsidRPr="00EF190F">
        <w:rPr>
          <w:sz w:val="16"/>
          <w:szCs w:val="16"/>
        </w:rPr>
        <w:t>(expediente de prueba</w:t>
      </w:r>
      <w:r w:rsidRPr="00EF190F">
        <w:rPr>
          <w:sz w:val="16"/>
          <w:szCs w:val="16"/>
          <w:lang w:val="es-CR"/>
        </w:rPr>
        <w:t>, folios 1862 y 1863)</w:t>
      </w:r>
      <w:r w:rsidRPr="00EF190F">
        <w:rPr>
          <w:sz w:val="16"/>
          <w:szCs w:val="16"/>
        </w:rPr>
        <w:t xml:space="preserve">; </w:t>
      </w:r>
      <w:r w:rsidRPr="00EF190F">
        <w:rPr>
          <w:sz w:val="16"/>
          <w:szCs w:val="16"/>
          <w:lang w:val="es-CR"/>
        </w:rPr>
        <w:t xml:space="preserve">Declaración de María Concepción García Depaz de 27 de julio de 2001 </w:t>
      </w:r>
      <w:r w:rsidRPr="00EF190F">
        <w:rPr>
          <w:sz w:val="16"/>
          <w:szCs w:val="16"/>
        </w:rPr>
        <w:t>(expediente de prueba,</w:t>
      </w:r>
      <w:r w:rsidRPr="00EF190F">
        <w:rPr>
          <w:sz w:val="16"/>
          <w:szCs w:val="16"/>
          <w:lang w:val="es-CR"/>
        </w:rPr>
        <w:t xml:space="preserve"> folios 1902 y 1903).</w:t>
      </w:r>
      <w:r w:rsidRPr="00EF190F">
        <w:rPr>
          <w:sz w:val="16"/>
          <w:szCs w:val="16"/>
          <w:lang w:val="es-PR"/>
        </w:rPr>
        <w:t xml:space="preserve"> </w:t>
      </w:r>
      <w:r w:rsidRPr="00EF190F">
        <w:rPr>
          <w:sz w:val="16"/>
          <w:szCs w:val="16"/>
        </w:rPr>
        <w:t xml:space="preserve">Igualmente, en julio de 2001 y septiembre de 2003 la señora Tarcila Milián Morales señaló el lugar donde se encontrarían enterrados su padre y su hermana, y solicitó su exhumación. </w:t>
      </w:r>
      <w:r w:rsidRPr="00EF190F">
        <w:rPr>
          <w:i/>
          <w:sz w:val="16"/>
          <w:szCs w:val="16"/>
        </w:rPr>
        <w:t>Cfr</w:t>
      </w:r>
      <w:r w:rsidRPr="00EF190F">
        <w:rPr>
          <w:sz w:val="16"/>
          <w:szCs w:val="16"/>
        </w:rPr>
        <w:t xml:space="preserve">. </w:t>
      </w:r>
      <w:r w:rsidRPr="00EF190F">
        <w:rPr>
          <w:sz w:val="16"/>
          <w:szCs w:val="16"/>
          <w:lang w:val="es-CR"/>
        </w:rPr>
        <w:t xml:space="preserve">Declaración de Tarcila Milián Morales de 27 de julio de 2001 (expediente de prueba, folios 1900 y 1901), y Declaración de la señora Tarcila Milián Morales </w:t>
      </w:r>
      <w:r w:rsidRPr="00EF190F">
        <w:rPr>
          <w:rFonts w:cs="Arial"/>
          <w:sz w:val="16"/>
          <w:szCs w:val="16"/>
          <w:lang w:val="es-CR"/>
        </w:rPr>
        <w:t>de</w:t>
      </w:r>
      <w:r w:rsidRPr="00EF190F">
        <w:rPr>
          <w:sz w:val="16"/>
          <w:szCs w:val="16"/>
          <w:lang w:val="es-CR"/>
        </w:rPr>
        <w:t xml:space="preserve"> 24 de septiembre de 2003 (expediente de prueba, folios 11783 y 11784). </w:t>
      </w:r>
      <w:r w:rsidRPr="00EF190F">
        <w:rPr>
          <w:sz w:val="16"/>
          <w:szCs w:val="16"/>
        </w:rPr>
        <w:t xml:space="preserve">Sin embargo, no se ordenó una exhumación dirigida a la búsqueda de los familiares de las señoras María Concepción García Depaz y Tarcila Milián Morales sino hasta en febrero de 2007. </w:t>
      </w:r>
      <w:r w:rsidRPr="00EF190F">
        <w:rPr>
          <w:i/>
          <w:sz w:val="16"/>
          <w:szCs w:val="16"/>
        </w:rPr>
        <w:t>Cfr</w:t>
      </w:r>
      <w:r w:rsidRPr="00EF190F">
        <w:rPr>
          <w:sz w:val="16"/>
          <w:szCs w:val="16"/>
        </w:rPr>
        <w:t xml:space="preserve">. Resolución del </w:t>
      </w:r>
      <w:r w:rsidRPr="00EF190F">
        <w:rPr>
          <w:rFonts w:cs="Arial"/>
          <w:sz w:val="16"/>
          <w:szCs w:val="16"/>
          <w:lang w:val="es-CR"/>
        </w:rPr>
        <w:t>Juez de Primera Instancia Penal, Narcoactividad y Delitos Contra el Ambiente de Baja Verapaz de 22 de febrero de 2007 (expediente de prueba, folios 11827 y 11828).</w:t>
      </w:r>
      <w:r w:rsidRPr="00EF190F">
        <w:rPr>
          <w:sz w:val="16"/>
          <w:szCs w:val="16"/>
        </w:rPr>
        <w:t xml:space="preserve"> El padre de la señora Milián fue identificado en el año 2011 (</w:t>
      </w:r>
      <w:r w:rsidRPr="00EF190F">
        <w:rPr>
          <w:i/>
          <w:sz w:val="16"/>
          <w:szCs w:val="16"/>
        </w:rPr>
        <w:t>supra</w:t>
      </w:r>
      <w:r w:rsidRPr="00EF190F">
        <w:rPr>
          <w:sz w:val="16"/>
          <w:szCs w:val="16"/>
        </w:rPr>
        <w:t xml:space="preserve"> párr. 107). </w:t>
      </w:r>
      <w:r w:rsidRPr="00EF190F">
        <w:rPr>
          <w:i/>
          <w:sz w:val="16"/>
          <w:szCs w:val="16"/>
        </w:rPr>
        <w:t>Cfr</w:t>
      </w:r>
      <w:r w:rsidRPr="00EF190F">
        <w:rPr>
          <w:sz w:val="16"/>
          <w:szCs w:val="16"/>
        </w:rPr>
        <w:t>. Informe de la FAFG de 27 de junio de 2011 (expediente de prueba, folios 11910 a 11931).</w:t>
      </w:r>
    </w:p>
    <w:p w:rsidR="006A0E1C" w:rsidRPr="00EF190F" w:rsidRDefault="006A0E1C" w:rsidP="006A0E1C">
      <w:pPr>
        <w:pStyle w:val="FootnoteText"/>
        <w:tabs>
          <w:tab w:val="left" w:pos="360"/>
        </w:tabs>
        <w:rPr>
          <w:sz w:val="16"/>
          <w:szCs w:val="16"/>
        </w:rPr>
      </w:pPr>
    </w:p>
    <w:p w:rsidR="006A0E1C" w:rsidRPr="00EF190F" w:rsidRDefault="006A0E1C" w:rsidP="006A0E1C">
      <w:pPr>
        <w:tabs>
          <w:tab w:val="left" w:pos="360"/>
        </w:tabs>
        <w:autoSpaceDE w:val="0"/>
        <w:autoSpaceDN w:val="0"/>
        <w:spacing w:line="240" w:lineRule="auto"/>
        <w:rPr>
          <w:sz w:val="16"/>
          <w:szCs w:val="16"/>
        </w:rPr>
      </w:pPr>
      <w:r w:rsidRPr="00EF190F">
        <w:rPr>
          <w:sz w:val="16"/>
          <w:szCs w:val="16"/>
        </w:rPr>
        <w:t xml:space="preserve">Finalmente, se constató que en julio de 1997 y mayo de 2003 la señora Francisca González Tecú solicitó la exhumación de sus familiares en un cementerio clandestino de la aldea Xeabaj; sin embargo, dicha exhumación no se llevó a cabo sino hasta junio de 2004. </w:t>
      </w:r>
      <w:r w:rsidRPr="00EF190F">
        <w:rPr>
          <w:i/>
          <w:sz w:val="16"/>
          <w:szCs w:val="16"/>
        </w:rPr>
        <w:t>Cfr</w:t>
      </w:r>
      <w:r w:rsidRPr="00EF190F">
        <w:rPr>
          <w:sz w:val="16"/>
          <w:szCs w:val="16"/>
        </w:rPr>
        <w:t xml:space="preserve">. Denuncia de Francisca González Tecú de 28 de julio de 1997 (expediente de prueba, folios 9138 y 9139); Declaración de Francisca González Tecú y Clementina Bachan Cahuec de 8 de mayo de 2003 ante el Auxiliar Fiscal de la Fiscalía Distrital del Ministerio Público de Salamá (expediente de prueba, folios 9142 y 9143), e Informe de la FAFG de </w:t>
      </w:r>
      <w:r w:rsidRPr="00EF190F">
        <w:rPr>
          <w:sz w:val="16"/>
          <w:szCs w:val="16"/>
          <w:lang w:val="es-ES_tradnl"/>
        </w:rPr>
        <w:t>6 de octubre de 2004</w:t>
      </w:r>
      <w:r w:rsidRPr="00EF190F">
        <w:rPr>
          <w:sz w:val="16"/>
          <w:szCs w:val="16"/>
        </w:rPr>
        <w:t xml:space="preserve"> (expediente de prueba, folios 1594, 1640 y 1641).</w:t>
      </w:r>
    </w:p>
    <w:p w:rsidR="006A0E1C" w:rsidRPr="00EF190F" w:rsidRDefault="006A0E1C" w:rsidP="006A0E1C">
      <w:pPr>
        <w:tabs>
          <w:tab w:val="left" w:pos="360"/>
        </w:tabs>
        <w:autoSpaceDE w:val="0"/>
        <w:autoSpaceDN w:val="0"/>
        <w:spacing w:line="240" w:lineRule="auto"/>
        <w:rPr>
          <w:sz w:val="16"/>
          <w:szCs w:val="16"/>
          <w:lang w:val="es-PR"/>
        </w:rPr>
      </w:pPr>
    </w:p>
  </w:footnote>
  <w:footnote w:id="279">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lang w:val="es-PR"/>
        </w:rPr>
        <w:t xml:space="preserve"> </w:t>
      </w:r>
      <w:r w:rsidRPr="00EF190F">
        <w:rPr>
          <w:sz w:val="16"/>
          <w:szCs w:val="16"/>
        </w:rPr>
        <w:tab/>
      </w:r>
      <w:r w:rsidRPr="00EF190F">
        <w:rPr>
          <w:i/>
          <w:sz w:val="16"/>
          <w:szCs w:val="16"/>
        </w:rPr>
        <w:t xml:space="preserve">Cfr. </w:t>
      </w:r>
      <w:r w:rsidRPr="00EF190F">
        <w:rPr>
          <w:sz w:val="16"/>
          <w:szCs w:val="16"/>
        </w:rPr>
        <w:t>Acta de entrega de osamenta por parte del A</w:t>
      </w:r>
      <w:r w:rsidRPr="00EF190F">
        <w:rPr>
          <w:rStyle w:val="CommentReference"/>
          <w:rFonts w:cs="Arial"/>
        </w:rPr>
        <w:t>uxiliar Fiscal de la Fiscalía Municipal del Ministerio Público de Rabinal (expediente de prueba, folios 11949 y 11950).</w:t>
      </w:r>
    </w:p>
  </w:footnote>
  <w:footnote w:id="280">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lang w:val="es-PR"/>
        </w:rPr>
        <w:t xml:space="preserve"> </w:t>
      </w:r>
      <w:r w:rsidRPr="00EF190F">
        <w:rPr>
          <w:sz w:val="16"/>
          <w:szCs w:val="16"/>
        </w:rPr>
        <w:tab/>
      </w:r>
      <w:r w:rsidRPr="00EF190F">
        <w:rPr>
          <w:i/>
          <w:sz w:val="16"/>
          <w:szCs w:val="16"/>
          <w:lang w:val="es-CR"/>
        </w:rPr>
        <w:t xml:space="preserve">Cfr. </w:t>
      </w:r>
      <w:r w:rsidRPr="00EF190F">
        <w:rPr>
          <w:sz w:val="16"/>
          <w:szCs w:val="16"/>
        </w:rPr>
        <w:t xml:space="preserve">Informe de la FAFG </w:t>
      </w:r>
      <w:r w:rsidRPr="00EF190F">
        <w:rPr>
          <w:rFonts w:cs="Arial"/>
          <w:sz w:val="16"/>
          <w:szCs w:val="16"/>
        </w:rPr>
        <w:t>de 27 de junio de 2011</w:t>
      </w:r>
      <w:r w:rsidRPr="00EF190F">
        <w:rPr>
          <w:sz w:val="16"/>
          <w:szCs w:val="16"/>
        </w:rPr>
        <w:t xml:space="preserve"> (expediente de prueba, folios 11910 a 11931).</w:t>
      </w:r>
    </w:p>
  </w:footnote>
  <w:footnote w:id="281">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Manifestó que desde el 8 de enero de 1982 el Ejército “empezó una intensa persecución contra la población civil de la comunidad de Chichupac”, por lo que tuvo que salir huyendo de la aldea e irse a vivir a la montaña “junto con [su] esposa y [sus] cuatro hijos menores”. Señaló que en marzo de 1983 “falleció [su] hijo Antonio Chen Mendoza a causa de fiebre, diarrea y hambre” y tuvieron la “necesidad de enterrarlo en terreno de [su] propiedad ya que la persecución del [E]jército era constante, [y] no pudi[eron] enterrarlo en un cementerio legal”. Por tanto, solicitó la investigación de los hechos y la exhumación de los restos de su hijo. </w:t>
      </w:r>
      <w:r w:rsidRPr="00EF190F">
        <w:rPr>
          <w:i/>
          <w:sz w:val="16"/>
          <w:szCs w:val="16"/>
        </w:rPr>
        <w:t xml:space="preserve">Cfr. </w:t>
      </w:r>
      <w:r w:rsidRPr="00EF190F">
        <w:rPr>
          <w:sz w:val="16"/>
          <w:szCs w:val="16"/>
        </w:rPr>
        <w:t>Denuncia de Miguel Chen Tahuico de 7 de abril de 2006 (expediente de prueba, folios 1555 a 1556).</w:t>
      </w:r>
    </w:p>
  </w:footnote>
  <w:footnote w:id="282">
    <w:p w:rsidR="006A0E1C" w:rsidRPr="00EF190F" w:rsidRDefault="006A0E1C" w:rsidP="006A0E1C">
      <w:pPr>
        <w:pStyle w:val="FootnoteText"/>
        <w:tabs>
          <w:tab w:val="left" w:pos="360"/>
        </w:tabs>
        <w:rPr>
          <w:sz w:val="16"/>
          <w:szCs w:val="16"/>
          <w:lang w:val="es-GT"/>
        </w:rPr>
      </w:pPr>
      <w:r w:rsidRPr="00EF190F">
        <w:rPr>
          <w:rStyle w:val="FootnoteReference"/>
          <w:sz w:val="16"/>
          <w:szCs w:val="16"/>
        </w:rPr>
        <w:footnoteRef/>
      </w:r>
      <w:r w:rsidRPr="00EF190F">
        <w:rPr>
          <w:sz w:val="16"/>
          <w:szCs w:val="16"/>
          <w:lang w:val="es-GT"/>
        </w:rPr>
        <w:t xml:space="preserve"> </w:t>
      </w:r>
      <w:r w:rsidRPr="00EF190F">
        <w:rPr>
          <w:sz w:val="16"/>
          <w:szCs w:val="16"/>
          <w:lang w:val="es-GT"/>
        </w:rPr>
        <w:tab/>
      </w:r>
      <w:r w:rsidRPr="00EF190F">
        <w:rPr>
          <w:i/>
          <w:sz w:val="16"/>
          <w:szCs w:val="16"/>
          <w:lang w:val="es-GT"/>
        </w:rPr>
        <w:t>Cfr.</w:t>
      </w:r>
      <w:r w:rsidRPr="00EF190F">
        <w:rPr>
          <w:sz w:val="16"/>
          <w:szCs w:val="16"/>
          <w:lang w:val="es-GT"/>
        </w:rPr>
        <w:t xml:space="preserve"> </w:t>
      </w:r>
      <w:r w:rsidRPr="00EF190F">
        <w:rPr>
          <w:bCs/>
          <w:i/>
          <w:sz w:val="16"/>
          <w:szCs w:val="16"/>
          <w:lang w:val="es-CR"/>
        </w:rPr>
        <w:t>Caso Anzualdo Castro Vs. Perú</w:t>
      </w:r>
      <w:r w:rsidRPr="00EF190F">
        <w:rPr>
          <w:bCs/>
          <w:sz w:val="16"/>
          <w:szCs w:val="16"/>
          <w:lang w:val="es-CR"/>
        </w:rPr>
        <w:t>,</w:t>
      </w:r>
      <w:r w:rsidRPr="00EF190F">
        <w:rPr>
          <w:i/>
          <w:iCs/>
          <w:sz w:val="16"/>
          <w:szCs w:val="16"/>
          <w:lang w:val="es-MX"/>
        </w:rPr>
        <w:t xml:space="preserve"> </w:t>
      </w:r>
      <w:r w:rsidRPr="00EF190F">
        <w:rPr>
          <w:iCs/>
          <w:sz w:val="16"/>
          <w:szCs w:val="16"/>
          <w:lang w:val="es-MX"/>
        </w:rPr>
        <w:t xml:space="preserve">párr. 135, y </w:t>
      </w:r>
      <w:r w:rsidRPr="00EF190F">
        <w:rPr>
          <w:rStyle w:val="Strong"/>
          <w:b w:val="0"/>
          <w:i/>
          <w:color w:val="000000"/>
          <w:sz w:val="16"/>
          <w:szCs w:val="16"/>
          <w:shd w:val="clear" w:color="auto" w:fill="FFFFFF"/>
        </w:rPr>
        <w:t>Caso Contreras y otros Vs. El Salvador,</w:t>
      </w:r>
      <w:r w:rsidRPr="00EF190F">
        <w:rPr>
          <w:rStyle w:val="Strong"/>
          <w:b w:val="0"/>
          <w:color w:val="000000"/>
          <w:sz w:val="16"/>
          <w:szCs w:val="16"/>
          <w:shd w:val="clear" w:color="auto" w:fill="FFFFFF"/>
        </w:rPr>
        <w:t xml:space="preserve"> párr. 145</w:t>
      </w:r>
      <w:r w:rsidRPr="00EF190F">
        <w:rPr>
          <w:iCs/>
          <w:sz w:val="16"/>
          <w:szCs w:val="16"/>
          <w:lang w:val="es-MX"/>
        </w:rPr>
        <w:t>.</w:t>
      </w:r>
    </w:p>
  </w:footnote>
  <w:footnote w:id="283">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rPr>
        <w:t xml:space="preserve">Cfr. </w:t>
      </w:r>
      <w:r w:rsidRPr="00EF190F">
        <w:rPr>
          <w:sz w:val="16"/>
          <w:szCs w:val="16"/>
          <w:lang w:val="es-CR"/>
        </w:rPr>
        <w:t xml:space="preserve">Informe de FAFG de 18 de diciembre de 2002 </w:t>
      </w:r>
      <w:r w:rsidRPr="00EF190F">
        <w:rPr>
          <w:sz w:val="16"/>
          <w:szCs w:val="16"/>
        </w:rPr>
        <w:t xml:space="preserve">(expediente de prueba, </w:t>
      </w:r>
      <w:r w:rsidRPr="00EF190F">
        <w:rPr>
          <w:sz w:val="16"/>
          <w:szCs w:val="16"/>
          <w:lang w:val="es-CR"/>
        </w:rPr>
        <w:t>folios 2035 a 2037).</w:t>
      </w:r>
    </w:p>
  </w:footnote>
  <w:footnote w:id="284">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rPr>
        <w:t xml:space="preserve">Cfr. </w:t>
      </w:r>
      <w:r w:rsidRPr="00EF190F">
        <w:rPr>
          <w:sz w:val="16"/>
          <w:szCs w:val="16"/>
          <w:lang w:val="es-CR"/>
        </w:rPr>
        <w:t>Acta de exhumación de cadáveres en cementerios clandestinos emitida por el Juez de Paz de Rabinal del 9 al 13 de abril de 2002 (expediente de prueba, folios 1938 a 1941).</w:t>
      </w:r>
    </w:p>
  </w:footnote>
  <w:footnote w:id="285">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rPr>
        <w:t xml:space="preserve">Cfr. </w:t>
      </w:r>
      <w:r w:rsidRPr="00EF190F">
        <w:rPr>
          <w:sz w:val="16"/>
          <w:szCs w:val="16"/>
          <w:lang w:val="es-CR"/>
        </w:rPr>
        <w:t xml:space="preserve">Informe de FAFG de junio de 2011 </w:t>
      </w:r>
      <w:r w:rsidRPr="00EF190F">
        <w:rPr>
          <w:sz w:val="16"/>
          <w:szCs w:val="16"/>
        </w:rPr>
        <w:t>(expediente de prueba</w:t>
      </w:r>
      <w:r w:rsidRPr="00EF190F">
        <w:rPr>
          <w:sz w:val="16"/>
          <w:szCs w:val="16"/>
          <w:lang w:val="es-CR"/>
        </w:rPr>
        <w:t>, folios 2035 a 2037), y Resolución de la Auxiliar Fiscal del Ministerio Público de Salamá de 27 de febrero de 2003</w:t>
      </w:r>
      <w:r w:rsidRPr="00EF190F">
        <w:rPr>
          <w:sz w:val="16"/>
          <w:szCs w:val="16"/>
        </w:rPr>
        <w:t xml:space="preserve"> (expediente de prueba</w:t>
      </w:r>
      <w:r w:rsidRPr="00EF190F">
        <w:rPr>
          <w:sz w:val="16"/>
          <w:szCs w:val="16"/>
          <w:lang w:val="es-CR"/>
        </w:rPr>
        <w:t>, folios 1950 y 1951).</w:t>
      </w:r>
    </w:p>
  </w:footnote>
  <w:footnote w:id="286">
    <w:p w:rsidR="006A0E1C" w:rsidRPr="00EF190F" w:rsidRDefault="006A0E1C" w:rsidP="006A0E1C">
      <w:pPr>
        <w:pStyle w:val="FootnoteText"/>
        <w:tabs>
          <w:tab w:val="left" w:pos="360"/>
          <w:tab w:val="left" w:pos="720"/>
        </w:tabs>
        <w:contextualSpacing/>
        <w:rPr>
          <w:spacing w:val="-4"/>
          <w:sz w:val="16"/>
          <w:szCs w:val="16"/>
          <w:lang w:val="es-PR"/>
        </w:rPr>
      </w:pPr>
      <w:r w:rsidRPr="00EF190F">
        <w:rPr>
          <w:rStyle w:val="FootnoteReference"/>
          <w:sz w:val="16"/>
          <w:szCs w:val="16"/>
          <w:lang w:val="es-PR"/>
        </w:rPr>
        <w:footnoteRef/>
      </w:r>
      <w:r w:rsidRPr="00EF190F">
        <w:rPr>
          <w:spacing w:val="-4"/>
          <w:sz w:val="16"/>
          <w:szCs w:val="16"/>
          <w:lang w:val="es-PR"/>
        </w:rPr>
        <w:t xml:space="preserve"> </w:t>
      </w:r>
      <w:r w:rsidRPr="00EF190F">
        <w:rPr>
          <w:spacing w:val="-4"/>
          <w:sz w:val="16"/>
          <w:szCs w:val="16"/>
          <w:lang w:val="es-PR"/>
        </w:rPr>
        <w:tab/>
      </w:r>
      <w:r w:rsidRPr="00EF190F">
        <w:rPr>
          <w:i/>
          <w:iCs/>
          <w:spacing w:val="-4"/>
          <w:sz w:val="16"/>
          <w:szCs w:val="16"/>
          <w:lang w:val="es-PR"/>
        </w:rPr>
        <w:t>Cfr.</w:t>
      </w:r>
      <w:r w:rsidRPr="00EF190F">
        <w:rPr>
          <w:i/>
          <w:spacing w:val="-4"/>
          <w:sz w:val="16"/>
          <w:szCs w:val="16"/>
          <w:lang w:val="es-PR"/>
        </w:rPr>
        <w:t xml:space="preserve"> Caso </w:t>
      </w:r>
      <w:r w:rsidRPr="00EF190F">
        <w:rPr>
          <w:bCs/>
          <w:i/>
          <w:spacing w:val="-4"/>
          <w:sz w:val="16"/>
          <w:szCs w:val="16"/>
          <w:lang w:val="es-ES"/>
        </w:rPr>
        <w:t xml:space="preserve">Masacre de las Dos Erres Vs. Guatemala, </w:t>
      </w:r>
      <w:r w:rsidRPr="00EF190F">
        <w:rPr>
          <w:spacing w:val="-4"/>
          <w:sz w:val="16"/>
          <w:szCs w:val="16"/>
          <w:lang w:val="es-ES"/>
        </w:rPr>
        <w:t xml:space="preserve">párr. 245, </w:t>
      </w:r>
      <w:r w:rsidRPr="00EF190F">
        <w:rPr>
          <w:i/>
          <w:spacing w:val="-4"/>
          <w:sz w:val="16"/>
          <w:szCs w:val="16"/>
          <w:lang w:val="es-ES"/>
        </w:rPr>
        <w:t xml:space="preserve">y </w:t>
      </w:r>
      <w:r w:rsidRPr="00EF190F">
        <w:rPr>
          <w:bCs/>
          <w:i/>
          <w:sz w:val="16"/>
          <w:szCs w:val="16"/>
          <w:lang w:val="es-PR"/>
        </w:rPr>
        <w:t>Caso Tenorio Roca y otros Vs. Perú</w:t>
      </w:r>
      <w:r w:rsidRPr="00EF190F">
        <w:rPr>
          <w:sz w:val="16"/>
          <w:szCs w:val="16"/>
          <w:lang w:val="es-PR"/>
        </w:rPr>
        <w:t>, párr. 274.</w:t>
      </w:r>
    </w:p>
  </w:footnote>
  <w:footnote w:id="287">
    <w:p w:rsidR="006A0E1C" w:rsidRPr="00EF190F" w:rsidRDefault="006A0E1C" w:rsidP="006A0E1C">
      <w:pPr>
        <w:pStyle w:val="FootnoteText"/>
        <w:tabs>
          <w:tab w:val="left" w:pos="360"/>
          <w:tab w:val="left" w:pos="72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rPr>
        <w:t xml:space="preserve">Cfr. </w:t>
      </w:r>
      <w:r w:rsidRPr="00EF190F">
        <w:rPr>
          <w:sz w:val="16"/>
          <w:szCs w:val="16"/>
          <w:lang w:val="es-CR"/>
        </w:rPr>
        <w:t>Resolución de la Auxiliar Fiscal del Ministerio Público de Salamá de 27 de febrero de 2002</w:t>
      </w:r>
      <w:r w:rsidRPr="00EF190F">
        <w:rPr>
          <w:sz w:val="16"/>
          <w:szCs w:val="16"/>
        </w:rPr>
        <w:t xml:space="preserve"> (expediente de prueba,</w:t>
      </w:r>
      <w:r w:rsidRPr="00EF190F">
        <w:rPr>
          <w:sz w:val="16"/>
          <w:szCs w:val="16"/>
          <w:lang w:val="es-CR"/>
        </w:rPr>
        <w:t xml:space="preserve"> folios 1950 y 1951).</w:t>
      </w:r>
    </w:p>
  </w:footnote>
  <w:footnote w:id="288">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sz w:val="16"/>
          <w:szCs w:val="16"/>
        </w:rPr>
        <w:t xml:space="preserve">La Corte también constató que tres </w:t>
      </w:r>
      <w:r w:rsidRPr="00EF190F">
        <w:rPr>
          <w:rFonts w:eastAsia="Calibri"/>
          <w:sz w:val="16"/>
          <w:szCs w:val="16"/>
          <w:lang w:val="es-GT"/>
        </w:rPr>
        <w:t xml:space="preserve">osamentas no identificadas </w:t>
      </w:r>
      <w:r w:rsidRPr="00EF190F">
        <w:rPr>
          <w:sz w:val="16"/>
          <w:szCs w:val="16"/>
        </w:rPr>
        <w:t xml:space="preserve">fueron entregadas </w:t>
      </w:r>
      <w:r w:rsidRPr="00EF190F">
        <w:rPr>
          <w:rFonts w:eastAsia="Calibri"/>
          <w:sz w:val="16"/>
          <w:szCs w:val="16"/>
          <w:lang w:val="es-GT"/>
        </w:rPr>
        <w:t xml:space="preserve">a la señora Tarcila Milián Morales </w:t>
      </w:r>
      <w:r w:rsidRPr="00EF190F">
        <w:rPr>
          <w:rFonts w:cs="Arial"/>
          <w:sz w:val="16"/>
          <w:szCs w:val="16"/>
        </w:rPr>
        <w:t>“en calidad de depósito”</w:t>
      </w:r>
      <w:r w:rsidRPr="00EF190F">
        <w:rPr>
          <w:rFonts w:eastAsia="Calibri"/>
          <w:sz w:val="16"/>
          <w:szCs w:val="16"/>
          <w:lang w:val="es-GT"/>
        </w:rPr>
        <w:t xml:space="preserve">. </w:t>
      </w:r>
      <w:r w:rsidRPr="00EF190F">
        <w:rPr>
          <w:i/>
          <w:sz w:val="16"/>
          <w:szCs w:val="16"/>
          <w:lang w:val="es-CR"/>
        </w:rPr>
        <w:t xml:space="preserve">Cfr. </w:t>
      </w:r>
      <w:r w:rsidRPr="00EF190F">
        <w:rPr>
          <w:sz w:val="16"/>
          <w:szCs w:val="16"/>
        </w:rPr>
        <w:t xml:space="preserve">Resolución del </w:t>
      </w:r>
      <w:r w:rsidRPr="00EF190F">
        <w:rPr>
          <w:rFonts w:cs="Arial"/>
          <w:sz w:val="16"/>
          <w:szCs w:val="16"/>
        </w:rPr>
        <w:t>Auxiliar Fiscal de la Fiscalía Distrital del Ministerio Público de Salamá de 16 de octubre de 2008 (expediente de prueba, folio 11845).</w:t>
      </w:r>
      <w:r w:rsidRPr="00EF190F">
        <w:rPr>
          <w:rFonts w:eastAsia="Calibri"/>
          <w:sz w:val="16"/>
          <w:szCs w:val="16"/>
          <w:lang w:val="es-GT"/>
        </w:rPr>
        <w:t xml:space="preserve"> Por otra parte, </w:t>
      </w:r>
      <w:r w:rsidRPr="00EF190F">
        <w:rPr>
          <w:sz w:val="16"/>
          <w:szCs w:val="16"/>
        </w:rPr>
        <w:t>los restos de Adela Florentina Alvarado García y Luciano Alvarado Xitumul fueron entregados a la señora Francisca González Tecú, y los restos de Lucia Xitumul Ixpancoc y de la recién nacida de 0 a 3 meses de edad fueron entregados al señor William Misael Ixtecoc Xitumul.</w:t>
      </w:r>
      <w:r w:rsidRPr="00EF190F">
        <w:rPr>
          <w:rFonts w:cs="Arial"/>
          <w:sz w:val="16"/>
          <w:szCs w:val="16"/>
        </w:rPr>
        <w:t xml:space="preserve"> </w:t>
      </w:r>
      <w:r w:rsidRPr="00EF190F">
        <w:rPr>
          <w:i/>
          <w:sz w:val="16"/>
          <w:szCs w:val="16"/>
          <w:lang w:val="es-CR"/>
        </w:rPr>
        <w:t xml:space="preserve">Cfr. </w:t>
      </w:r>
      <w:r w:rsidRPr="00EF190F">
        <w:rPr>
          <w:sz w:val="16"/>
          <w:szCs w:val="16"/>
        </w:rPr>
        <w:t xml:space="preserve">Diligencia de 22 de septiembre de 2005 (expediente de prueba, folio 1583). El Tribunal no cuenta con información respecto de si las personas identificadas eran familiares de las personas que recibieron sus osamentas. </w:t>
      </w:r>
    </w:p>
  </w:footnote>
  <w:footnote w:id="289">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El 19 de diciembre de 2002 la FAFG presentó su informe de la pericia antropológica forense al Auxiliar Fiscal del Ministerio Público de Salamá. En este informe, la FAFG indicó que, de conformidad con las declaraciones que obraban en el proceso y las entrevistas realizadas, la exhumación debería dar cuenta de doce víctimas. Luego de los análisis correspondientes, la FAFG determinó que se encontraron trece osamentas incompletas, de las cuales identificó solo a cuatro personas. El 27 de febrero de 2003 se realizó el reconocimiento judicial de osamentas humanas ante el Juez de Paz de Rabinal a través del reconocimiento de restos de vestuario y pertenencias de las víctimas por parte de los familiares. En este acto, se reconocieron las osamentas de ocho personas más. Si bien el informe de la FAFG también menciona a Raymunda Sical Corazón como una de las víctimas buscadas, ya que habría sido ejecutada junto con Silvestre Sic Xitumul, esta no fue identificada ni por la FAFG ni por familiares. </w:t>
      </w:r>
      <w:r w:rsidRPr="00EF190F">
        <w:rPr>
          <w:i/>
          <w:iCs/>
          <w:spacing w:val="-4"/>
          <w:sz w:val="16"/>
          <w:szCs w:val="16"/>
          <w:lang w:val="es-PR"/>
        </w:rPr>
        <w:t>Cfr.</w:t>
      </w:r>
      <w:r w:rsidRPr="00EF190F">
        <w:rPr>
          <w:i/>
          <w:spacing w:val="-4"/>
          <w:sz w:val="16"/>
          <w:szCs w:val="16"/>
          <w:lang w:val="es-PR"/>
        </w:rPr>
        <w:t xml:space="preserve"> </w:t>
      </w:r>
      <w:r w:rsidRPr="00EF190F">
        <w:rPr>
          <w:sz w:val="16"/>
          <w:szCs w:val="16"/>
          <w:lang w:val="es-CR"/>
        </w:rPr>
        <w:t>Informe de FAFG presentado el 19 de diciembre de 2002</w:t>
      </w:r>
      <w:r w:rsidRPr="00EF190F">
        <w:rPr>
          <w:sz w:val="16"/>
          <w:szCs w:val="16"/>
        </w:rPr>
        <w:t xml:space="preserve"> (expediente de prueba,</w:t>
      </w:r>
      <w:r w:rsidRPr="00EF190F">
        <w:rPr>
          <w:sz w:val="16"/>
          <w:szCs w:val="16"/>
          <w:lang w:val="es-CR"/>
        </w:rPr>
        <w:t xml:space="preserve"> folios 1968 y 2035 a 2037), y Acta de Reconocimiento Judicial de Osamentas Humanas ante el Juez de Paz de Rabinal el 27 de febrero de 2003</w:t>
      </w:r>
      <w:r w:rsidRPr="00EF190F">
        <w:rPr>
          <w:sz w:val="16"/>
          <w:szCs w:val="16"/>
        </w:rPr>
        <w:t xml:space="preserve"> (expediente de prueba</w:t>
      </w:r>
      <w:r w:rsidRPr="00EF190F">
        <w:rPr>
          <w:sz w:val="16"/>
          <w:szCs w:val="16"/>
          <w:lang w:val="es-CR"/>
        </w:rPr>
        <w:t>, folios 1952 a 1955).</w:t>
      </w:r>
    </w:p>
  </w:footnote>
  <w:footnote w:id="290">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i/>
          <w:sz w:val="16"/>
          <w:szCs w:val="16"/>
        </w:rPr>
        <w:t xml:space="preserve">Cfr. </w:t>
      </w:r>
      <w:r w:rsidRPr="00EF190F">
        <w:rPr>
          <w:sz w:val="16"/>
          <w:szCs w:val="16"/>
        </w:rPr>
        <w:t xml:space="preserve">Informe de la FAFG de 27 de febrero de 2008 (expediente de prueba, folios 11861 a 11903), y Oficio de la FAFG </w:t>
      </w:r>
      <w:r w:rsidRPr="00EF190F">
        <w:rPr>
          <w:rFonts w:cs="Arial"/>
          <w:sz w:val="16"/>
          <w:szCs w:val="16"/>
        </w:rPr>
        <w:t>de 16 de octubre de 2008 (expediente de prueba, folio 11843).</w:t>
      </w:r>
    </w:p>
  </w:footnote>
  <w:footnote w:id="291">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En el Expediente No. M.P. 247-1997-1378 ante la Fiscalía Distrital del Ministerio Público de Salamá consta que el 22 de diciembre de 2014 el Ministerio Público recibió de la FAFG, el “Dictamen Pericial de la Investigación Antropológico Forense llevada a cabo en el Cementerio San Francisco, Aldea Chuateguá”, indicando que “la investigación se realizó en dos temporadas, la primera […el] 7 de marzo de 2012 con resultado negativo y la segunda el 20 de marzo de 2013 con resultado positivo”, ya que se encontró una osamenta humana que no fue identificada. </w:t>
      </w:r>
      <w:r w:rsidRPr="00EF190F">
        <w:rPr>
          <w:i/>
          <w:sz w:val="16"/>
          <w:szCs w:val="16"/>
        </w:rPr>
        <w:t>Cfr</w:t>
      </w:r>
      <w:r w:rsidRPr="00EF190F">
        <w:rPr>
          <w:sz w:val="16"/>
          <w:szCs w:val="16"/>
        </w:rPr>
        <w:t>. Informe de FAFG de 5 de junio de 2014 (expediente de prueba, folios 9247, 9250, 9252, 9270 y 9276).</w:t>
      </w:r>
    </w:p>
  </w:footnote>
  <w:footnote w:id="292">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lang w:val="es-PR"/>
        </w:rPr>
        <w:t xml:space="preserve"> </w:t>
      </w:r>
      <w:r w:rsidRPr="00EF190F">
        <w:rPr>
          <w:sz w:val="16"/>
          <w:szCs w:val="16"/>
        </w:rPr>
        <w:tab/>
      </w:r>
      <w:r w:rsidRPr="00EF190F">
        <w:rPr>
          <w:i/>
          <w:sz w:val="16"/>
          <w:szCs w:val="16"/>
        </w:rPr>
        <w:t xml:space="preserve">Cfr. </w:t>
      </w:r>
      <w:r w:rsidRPr="00EF190F">
        <w:rPr>
          <w:sz w:val="16"/>
          <w:szCs w:val="16"/>
        </w:rPr>
        <w:t>Declaración Clementina Bachan Cahuec de 8 de mayo de 2003 (expediente de prueba, folios 9142 y 9143).</w:t>
      </w:r>
    </w:p>
  </w:footnote>
  <w:footnote w:id="293">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rPr>
        <w:t xml:space="preserve"> </w:t>
      </w:r>
      <w:r w:rsidRPr="00EF190F">
        <w:rPr>
          <w:sz w:val="16"/>
          <w:szCs w:val="16"/>
        </w:rPr>
        <w:tab/>
      </w:r>
      <w:r w:rsidRPr="00EF190F">
        <w:rPr>
          <w:rFonts w:cs="Arial"/>
          <w:sz w:val="16"/>
          <w:szCs w:val="16"/>
        </w:rPr>
        <w:t xml:space="preserve">El 9 de mayo de 1995 Juana García Depaz presentó una denuncia ante </w:t>
      </w:r>
      <w:r w:rsidRPr="00EF190F">
        <w:rPr>
          <w:sz w:val="16"/>
          <w:szCs w:val="16"/>
          <w:lang w:val="es-CR"/>
        </w:rPr>
        <w:t>el Auxiliar Departamental del Procurador de Derechos Humanos</w:t>
      </w:r>
      <w:r w:rsidRPr="00EF190F">
        <w:rPr>
          <w:rFonts w:cs="Arial"/>
          <w:sz w:val="16"/>
          <w:szCs w:val="16"/>
        </w:rPr>
        <w:t xml:space="preserve"> respecto la existencia de cementerios clandestinos ubicados en la aldea Chichupac. El 31 de mayo de 1995 </w:t>
      </w:r>
      <w:r w:rsidRPr="00EF190F">
        <w:rPr>
          <w:sz w:val="16"/>
          <w:szCs w:val="16"/>
          <w:lang w:val="es-CR"/>
        </w:rPr>
        <w:t>el Auxiliar Departamental del Procurador</w:t>
      </w:r>
      <w:r w:rsidRPr="00EF190F">
        <w:rPr>
          <w:sz w:val="16"/>
          <w:szCs w:val="16"/>
        </w:rPr>
        <w:t xml:space="preserve"> puso en conocimiento de </w:t>
      </w:r>
      <w:r w:rsidRPr="00EF190F">
        <w:rPr>
          <w:rFonts w:cs="Calibri,Bold"/>
          <w:bCs/>
          <w:sz w:val="16"/>
          <w:szCs w:val="16"/>
        </w:rPr>
        <w:t xml:space="preserve">la </w:t>
      </w:r>
      <w:r w:rsidRPr="00EF190F">
        <w:rPr>
          <w:rFonts w:cs="Arial"/>
          <w:sz w:val="16"/>
          <w:szCs w:val="16"/>
        </w:rPr>
        <w:t>Fiscalía Distrital del Ministerio Público de Salamá dicha</w:t>
      </w:r>
      <w:r w:rsidRPr="00EF190F">
        <w:rPr>
          <w:rFonts w:cs="Calibri,Bold"/>
          <w:bCs/>
          <w:sz w:val="16"/>
          <w:szCs w:val="16"/>
        </w:rPr>
        <w:t xml:space="preserve"> </w:t>
      </w:r>
      <w:r w:rsidRPr="00EF190F">
        <w:rPr>
          <w:rFonts w:cs="Arial"/>
          <w:sz w:val="16"/>
          <w:szCs w:val="16"/>
        </w:rPr>
        <w:t xml:space="preserve">denuncia. Además, el </w:t>
      </w:r>
      <w:r w:rsidRPr="00EF190F">
        <w:rPr>
          <w:sz w:val="16"/>
          <w:szCs w:val="16"/>
          <w:lang w:val="es-CR"/>
        </w:rPr>
        <w:t xml:space="preserve">9 de junio de 1995 la señora García rindió declaración en dicha </w:t>
      </w:r>
      <w:r w:rsidRPr="00EF190F">
        <w:rPr>
          <w:rFonts w:cs="Arial"/>
          <w:sz w:val="16"/>
          <w:szCs w:val="16"/>
        </w:rPr>
        <w:t>Fiscalía Distrital</w:t>
      </w:r>
      <w:r w:rsidRPr="00EF190F">
        <w:rPr>
          <w:sz w:val="16"/>
          <w:szCs w:val="16"/>
          <w:lang w:val="es-CR"/>
        </w:rPr>
        <w:t>.</w:t>
      </w:r>
      <w:r w:rsidRPr="00EF190F">
        <w:rPr>
          <w:rFonts w:cs="Arial"/>
          <w:sz w:val="16"/>
          <w:szCs w:val="16"/>
        </w:rPr>
        <w:t xml:space="preserve"> Por su parte, el 20 de junio de 1995 </w:t>
      </w:r>
      <w:r w:rsidRPr="00EF190F">
        <w:rPr>
          <w:rFonts w:eastAsia="Calibri"/>
          <w:sz w:val="16"/>
          <w:szCs w:val="16"/>
          <w:lang w:val="es-GT"/>
        </w:rPr>
        <w:t xml:space="preserve">Máxima Emiliana García Valey y Francisco Sic Chen presentaron una nueva denuncia ante el </w:t>
      </w:r>
      <w:r w:rsidRPr="00EF190F">
        <w:rPr>
          <w:sz w:val="16"/>
          <w:szCs w:val="16"/>
          <w:lang w:val="es-CR"/>
        </w:rPr>
        <w:t xml:space="preserve">Auxiliar Departamental del Procurador </w:t>
      </w:r>
      <w:r w:rsidRPr="00EF190F">
        <w:rPr>
          <w:rFonts w:cs="Arial"/>
          <w:sz w:val="16"/>
          <w:szCs w:val="16"/>
        </w:rPr>
        <w:t xml:space="preserve">sobre la existencia de los cementerios clandestinos en la referida aldea. El 12 de julio de 1995 </w:t>
      </w:r>
      <w:r w:rsidRPr="00EF190F">
        <w:rPr>
          <w:sz w:val="16"/>
          <w:szCs w:val="16"/>
          <w:lang w:val="es-CR"/>
        </w:rPr>
        <w:t xml:space="preserve">Auxiliar Departamental </w:t>
      </w:r>
      <w:r w:rsidRPr="00EF190F">
        <w:rPr>
          <w:sz w:val="16"/>
          <w:szCs w:val="16"/>
        </w:rPr>
        <w:t xml:space="preserve">puso en conocimiento de </w:t>
      </w:r>
      <w:r w:rsidRPr="00EF190F">
        <w:rPr>
          <w:rFonts w:cs="Calibri,Bold"/>
          <w:bCs/>
          <w:sz w:val="16"/>
          <w:szCs w:val="16"/>
        </w:rPr>
        <w:t xml:space="preserve">la mencionada </w:t>
      </w:r>
      <w:r w:rsidRPr="00EF190F">
        <w:rPr>
          <w:rFonts w:cs="Arial"/>
          <w:sz w:val="16"/>
          <w:szCs w:val="16"/>
        </w:rPr>
        <w:t>Fiscalía Distrital la</w:t>
      </w:r>
      <w:r w:rsidRPr="00EF190F">
        <w:rPr>
          <w:rFonts w:cs="Calibri,Bold"/>
          <w:bCs/>
          <w:sz w:val="16"/>
          <w:szCs w:val="16"/>
        </w:rPr>
        <w:t xml:space="preserve"> </w:t>
      </w:r>
      <w:r w:rsidRPr="00EF190F">
        <w:rPr>
          <w:rFonts w:cs="Arial"/>
          <w:sz w:val="16"/>
          <w:szCs w:val="16"/>
        </w:rPr>
        <w:t xml:space="preserve">denuncia presentada. </w:t>
      </w:r>
      <w:r w:rsidRPr="00EF190F">
        <w:rPr>
          <w:i/>
          <w:sz w:val="16"/>
          <w:szCs w:val="16"/>
        </w:rPr>
        <w:t xml:space="preserve">Cfr. </w:t>
      </w:r>
      <w:r w:rsidRPr="00EF190F">
        <w:rPr>
          <w:sz w:val="16"/>
          <w:szCs w:val="16"/>
          <w:lang w:val="es-CR"/>
        </w:rPr>
        <w:t xml:space="preserve">Denuncia de Juana García Depaz de 9 de mayo de 1995 (expediente de prueba, folios 1290 y 1291); Declaración de Juana García Depaz de 9 de junio de 1995 (expediente de prueba, folios 1263 y 1264), y Denuncias sobre cementerios clandestinos interpuestas por el Auxiliar Departamental del Procurador de Derechos Humanos de 31 de mayo y </w:t>
      </w:r>
      <w:r w:rsidRPr="00EF190F">
        <w:rPr>
          <w:rFonts w:cs="Arial"/>
          <w:sz w:val="16"/>
          <w:szCs w:val="16"/>
        </w:rPr>
        <w:t xml:space="preserve">12 de julio de 1995 </w:t>
      </w:r>
      <w:r w:rsidRPr="00EF190F">
        <w:rPr>
          <w:sz w:val="16"/>
          <w:szCs w:val="16"/>
        </w:rPr>
        <w:t xml:space="preserve">(expediente de prueba, </w:t>
      </w:r>
      <w:r w:rsidRPr="00EF190F">
        <w:rPr>
          <w:sz w:val="16"/>
          <w:szCs w:val="16"/>
          <w:lang w:val="es-CR"/>
        </w:rPr>
        <w:t>folios 1574 a 1577, y 1259 a 1261).</w:t>
      </w:r>
    </w:p>
  </w:footnote>
  <w:footnote w:id="294">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rFonts w:cs="Arial"/>
          <w:sz w:val="16"/>
          <w:szCs w:val="16"/>
        </w:rPr>
        <w:t xml:space="preserve">En respuesta a una solicitud de 20 de enero de 2010, el 16 de febrero de 2010 el Auxiliar Fiscal de la Fiscalía Distrital del Ministerio Público de Salamá envió a la COPREDEH, un informe acerca del contenido y avances de los expedientes número 247/1995/802 (o 802-95 Of. 6to), 247/1995/1995, y 247/1995/1085 tramitados ante el mismo. Ese mismo día, el Auxiliar Fiscal solicitó al Jefe de la Policía Nacional Civil que ordene “a investigadores a su cargo [iniciar…] la investigación correspondiente a efecto de poder individualizar” a diez presuntos miembros de las PAC que serían responsables “de haber cometido hechos violentos en esa época”. </w:t>
      </w:r>
      <w:r w:rsidRPr="00EF190F">
        <w:rPr>
          <w:rFonts w:cs="Arial"/>
          <w:i/>
          <w:sz w:val="16"/>
          <w:szCs w:val="16"/>
        </w:rPr>
        <w:t>Cfr</w:t>
      </w:r>
      <w:r w:rsidRPr="00EF190F">
        <w:rPr>
          <w:rFonts w:cs="Arial"/>
          <w:sz w:val="16"/>
          <w:szCs w:val="16"/>
        </w:rPr>
        <w:t xml:space="preserve">. </w:t>
      </w:r>
      <w:r w:rsidRPr="00EF190F">
        <w:rPr>
          <w:sz w:val="16"/>
          <w:szCs w:val="16"/>
        </w:rPr>
        <w:t xml:space="preserve">Oficio de la </w:t>
      </w:r>
      <w:r w:rsidRPr="00EF190F">
        <w:rPr>
          <w:rFonts w:cs="Arial"/>
          <w:sz w:val="16"/>
          <w:szCs w:val="16"/>
        </w:rPr>
        <w:t>COPREDEH</w:t>
      </w:r>
      <w:r w:rsidRPr="00EF190F">
        <w:rPr>
          <w:sz w:val="16"/>
          <w:szCs w:val="16"/>
        </w:rPr>
        <w:t xml:space="preserve"> </w:t>
      </w:r>
      <w:r w:rsidRPr="00EF190F">
        <w:rPr>
          <w:rFonts w:cs="Arial"/>
          <w:sz w:val="16"/>
          <w:szCs w:val="16"/>
        </w:rPr>
        <w:t xml:space="preserve">de 21 de enero de 2010 </w:t>
      </w:r>
      <w:r w:rsidRPr="00EF190F">
        <w:rPr>
          <w:sz w:val="16"/>
          <w:szCs w:val="16"/>
        </w:rPr>
        <w:t>(expediente de prueba,</w:t>
      </w:r>
      <w:r w:rsidRPr="00EF190F">
        <w:rPr>
          <w:rFonts w:cs="Arial"/>
          <w:sz w:val="16"/>
          <w:szCs w:val="16"/>
        </w:rPr>
        <w:t xml:space="preserve"> folio 9011), y </w:t>
      </w:r>
      <w:r w:rsidRPr="00EF190F">
        <w:rPr>
          <w:sz w:val="16"/>
          <w:szCs w:val="16"/>
        </w:rPr>
        <w:t xml:space="preserve">Oficio del </w:t>
      </w:r>
      <w:r w:rsidRPr="00EF190F">
        <w:rPr>
          <w:rFonts w:cs="Arial"/>
          <w:sz w:val="16"/>
          <w:szCs w:val="16"/>
        </w:rPr>
        <w:t>el Auxiliar Fiscal de la Fiscalía Distrital del Ministerio Público de Salamá de 16 de febrero de 2010 (expediente de prueba, folios 8969 a 8970 y 8981 a 8987).</w:t>
      </w:r>
    </w:p>
  </w:footnote>
  <w:footnote w:id="295">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i/>
          <w:sz w:val="16"/>
          <w:szCs w:val="16"/>
        </w:rPr>
        <w:t xml:space="preserve">Cfr. </w:t>
      </w:r>
      <w:r w:rsidRPr="00EF190F">
        <w:rPr>
          <w:sz w:val="16"/>
          <w:szCs w:val="16"/>
          <w:lang w:val="es-CR"/>
        </w:rPr>
        <w:t>Denuncia de Juana García Depaz de 9 de mayo de 1995 (expediente de prueba, folios 1290 y 1291);</w:t>
      </w:r>
      <w:r w:rsidRPr="00EF190F">
        <w:rPr>
          <w:sz w:val="16"/>
          <w:szCs w:val="16"/>
        </w:rPr>
        <w:t xml:space="preserve"> </w:t>
      </w:r>
      <w:r w:rsidRPr="00EF190F">
        <w:rPr>
          <w:sz w:val="16"/>
          <w:szCs w:val="16"/>
          <w:lang w:val="es-CR"/>
        </w:rPr>
        <w:t xml:space="preserve">Denuncia de Máxima Emiliana García Valey y Francisco Sic Chen de 20 de junio de 1995 </w:t>
      </w:r>
      <w:r w:rsidRPr="00EF190F">
        <w:rPr>
          <w:sz w:val="16"/>
          <w:szCs w:val="16"/>
        </w:rPr>
        <w:t>(expediente de prueba</w:t>
      </w:r>
      <w:r w:rsidRPr="00EF190F">
        <w:rPr>
          <w:sz w:val="16"/>
          <w:szCs w:val="16"/>
          <w:lang w:val="es-CR"/>
        </w:rPr>
        <w:t xml:space="preserve">, folio 1574 a 1577); Declaración de Juana García Depaz de 9 de junio de 1995 (expediente de prueba, folios 1263 y 1264), y Declaración de Juana García Depaz de 8 de febrero de 2010 (expediente de prueba, folios 9003 a 9005). </w:t>
      </w:r>
    </w:p>
  </w:footnote>
  <w:footnote w:id="296">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lang w:val="es-PR"/>
        </w:rPr>
        <w:t xml:space="preserve"> </w:t>
      </w:r>
      <w:r w:rsidRPr="00EF190F">
        <w:rPr>
          <w:sz w:val="16"/>
          <w:szCs w:val="16"/>
        </w:rPr>
        <w:tab/>
      </w:r>
      <w:r w:rsidRPr="00EF190F">
        <w:rPr>
          <w:i/>
          <w:sz w:val="16"/>
          <w:szCs w:val="16"/>
        </w:rPr>
        <w:t xml:space="preserve">Cfr. </w:t>
      </w:r>
      <w:r w:rsidRPr="00EF190F">
        <w:rPr>
          <w:sz w:val="16"/>
          <w:szCs w:val="16"/>
        </w:rPr>
        <w:t xml:space="preserve">Declaración de </w:t>
      </w:r>
      <w:r w:rsidRPr="00EF190F">
        <w:rPr>
          <w:rFonts w:cs="Arial"/>
          <w:sz w:val="16"/>
          <w:szCs w:val="16"/>
        </w:rPr>
        <w:t>8 de marzo de 2010</w:t>
      </w:r>
      <w:r w:rsidRPr="00EF190F">
        <w:rPr>
          <w:sz w:val="16"/>
          <w:szCs w:val="16"/>
        </w:rPr>
        <w:t xml:space="preserve"> (expediente de prueba, </w:t>
      </w:r>
      <w:r w:rsidRPr="00EF190F">
        <w:rPr>
          <w:rFonts w:cs="Arial"/>
          <w:sz w:val="16"/>
          <w:szCs w:val="16"/>
        </w:rPr>
        <w:t>folios 8988 a 8992).</w:t>
      </w:r>
    </w:p>
  </w:footnote>
  <w:footnote w:id="297">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lang w:val="es-PR"/>
        </w:rPr>
        <w:t xml:space="preserve"> </w:t>
      </w:r>
      <w:r w:rsidRPr="00EF190F">
        <w:rPr>
          <w:sz w:val="16"/>
          <w:szCs w:val="16"/>
        </w:rPr>
        <w:tab/>
      </w:r>
      <w:r w:rsidRPr="00EF190F">
        <w:rPr>
          <w:i/>
          <w:sz w:val="16"/>
          <w:szCs w:val="16"/>
        </w:rPr>
        <w:t xml:space="preserve">Cfr. </w:t>
      </w:r>
      <w:r w:rsidRPr="00EF190F">
        <w:rPr>
          <w:sz w:val="16"/>
          <w:szCs w:val="16"/>
        </w:rPr>
        <w:t xml:space="preserve">Oficio del </w:t>
      </w:r>
      <w:r w:rsidRPr="00EF190F">
        <w:rPr>
          <w:rFonts w:cs="Arial"/>
          <w:sz w:val="16"/>
          <w:szCs w:val="16"/>
        </w:rPr>
        <w:t>Subinspector de la PNC, Jefe del Equipo de Investigación de la Comisaría 52 de Salamá de 22 de diciembre de 2014 (expediente de prueba, folios 8976 a 8977).</w:t>
      </w:r>
    </w:p>
  </w:footnote>
  <w:footnote w:id="298">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lang w:val="es-PR"/>
        </w:rPr>
        <w:t xml:space="preserve"> </w:t>
      </w:r>
      <w:r w:rsidRPr="00EF190F">
        <w:rPr>
          <w:sz w:val="16"/>
          <w:szCs w:val="16"/>
        </w:rPr>
        <w:tab/>
      </w:r>
      <w:r w:rsidRPr="00EF190F">
        <w:rPr>
          <w:i/>
          <w:sz w:val="16"/>
          <w:szCs w:val="16"/>
        </w:rPr>
        <w:t xml:space="preserve">Cfr. </w:t>
      </w:r>
      <w:r w:rsidRPr="00EF190F">
        <w:rPr>
          <w:sz w:val="16"/>
          <w:szCs w:val="16"/>
        </w:rPr>
        <w:t>Oficio del Auxiliar Fiscal de la Fiscalía Distrital del Ministerio Público de Salamá de 22 de diciembre de 2014 (expediente de prueba, folios 9126 y 9127), y Oficio del Auxiliar Fiscal de la Fiscalía Distrital del Ministerio Público de Salamá de 22 de diciembre de 2014, (expediente de prueba, folios 9132 a 9135).</w:t>
      </w:r>
    </w:p>
  </w:footnote>
  <w:footnote w:id="299">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w:t>
      </w:r>
      <w:r w:rsidRPr="00EF190F">
        <w:rPr>
          <w:sz w:val="16"/>
          <w:szCs w:val="16"/>
          <w:lang w:val="es-CR"/>
        </w:rPr>
        <w:t>Denuncia MP247/2006/648 de Juana García Depaz de 13 de junio de 2006, (expediente de prueba, folios 1404 y 1405).</w:t>
      </w:r>
    </w:p>
  </w:footnote>
  <w:footnote w:id="300">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lang w:val="es-GT"/>
        </w:rPr>
        <w:t xml:space="preserve"> </w:t>
      </w:r>
      <w:r w:rsidRPr="00EF190F">
        <w:rPr>
          <w:sz w:val="16"/>
          <w:szCs w:val="16"/>
          <w:lang w:val="es-GT"/>
        </w:rPr>
        <w:tab/>
      </w:r>
      <w:r w:rsidRPr="00EF190F">
        <w:rPr>
          <w:i/>
          <w:sz w:val="16"/>
          <w:szCs w:val="16"/>
        </w:rPr>
        <w:t xml:space="preserve">Cfr. </w:t>
      </w:r>
      <w:r w:rsidRPr="00EF190F">
        <w:rPr>
          <w:sz w:val="16"/>
          <w:szCs w:val="16"/>
        </w:rPr>
        <w:t xml:space="preserve">Escrito del </w:t>
      </w:r>
      <w:r w:rsidRPr="00EF190F">
        <w:rPr>
          <w:rStyle w:val="CommentReference"/>
          <w:rFonts w:cs="Arial"/>
        </w:rPr>
        <w:t xml:space="preserve">Auxiliar Fiscal Uno de la Fiscalía Municipal del Ministerio Público de Rabinal </w:t>
      </w:r>
      <w:r w:rsidRPr="00EF190F">
        <w:rPr>
          <w:rFonts w:cs="Arial"/>
          <w:sz w:val="16"/>
          <w:szCs w:val="16"/>
        </w:rPr>
        <w:t>de 18 de julio de 2013 (expediente de prueba, folios 11757 a 11760).</w:t>
      </w:r>
    </w:p>
  </w:footnote>
  <w:footnote w:id="301">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lang w:val="es-GT"/>
        </w:rPr>
        <w:t xml:space="preserve"> </w:t>
      </w:r>
      <w:r w:rsidRPr="00EF190F">
        <w:rPr>
          <w:sz w:val="16"/>
          <w:szCs w:val="16"/>
        </w:rPr>
        <w:tab/>
      </w:r>
      <w:r w:rsidRPr="00EF190F">
        <w:rPr>
          <w:i/>
          <w:sz w:val="16"/>
          <w:szCs w:val="16"/>
        </w:rPr>
        <w:t xml:space="preserve">Cfr. </w:t>
      </w:r>
      <w:r w:rsidRPr="00EF190F">
        <w:rPr>
          <w:sz w:val="16"/>
          <w:szCs w:val="16"/>
        </w:rPr>
        <w:t xml:space="preserve">Oficios del </w:t>
      </w:r>
      <w:r w:rsidRPr="00EF190F">
        <w:rPr>
          <w:rFonts w:cs="Calibri,Bold"/>
          <w:bCs/>
          <w:sz w:val="16"/>
          <w:szCs w:val="16"/>
          <w:lang w:val="es-CR"/>
        </w:rPr>
        <w:t xml:space="preserve">Auxiliar Fiscal I del Ministerio Público de Rabinal de 20 y 26 de marzo de 2015 (expediente de prueba, folios 11735 y 11737). La Subdirección de Control Migratorio de la Dirección General de Migración el 26 de marzo de 2015, indicó que a ninguna de las 3 personas les aparece movimiento migratorio. </w:t>
      </w:r>
      <w:r w:rsidRPr="00EF190F">
        <w:rPr>
          <w:rFonts w:cs="Calibri,Bold"/>
          <w:bCs/>
          <w:i/>
          <w:sz w:val="16"/>
          <w:szCs w:val="16"/>
          <w:lang w:val="es-CR"/>
        </w:rPr>
        <w:t>Cfr</w:t>
      </w:r>
      <w:r w:rsidRPr="00EF190F">
        <w:rPr>
          <w:rFonts w:cs="Calibri,Bold"/>
          <w:bCs/>
          <w:sz w:val="16"/>
          <w:szCs w:val="16"/>
          <w:lang w:val="es-CR"/>
        </w:rPr>
        <w:t xml:space="preserve">. </w:t>
      </w:r>
      <w:r w:rsidRPr="00EF190F">
        <w:rPr>
          <w:sz w:val="16"/>
          <w:szCs w:val="16"/>
        </w:rPr>
        <w:t xml:space="preserve">Oficio de </w:t>
      </w:r>
      <w:r w:rsidRPr="00EF190F">
        <w:rPr>
          <w:rFonts w:cs="Calibri,Bold"/>
          <w:bCs/>
          <w:sz w:val="16"/>
          <w:szCs w:val="16"/>
          <w:lang w:val="es-CR"/>
        </w:rPr>
        <w:t>Subdirección de Control Migratorio de la Dirección General de Migración dirigido a Auxiliar Fiscal I del Ministerio Público de Rabinal, Baja Verapaz de 26 de marzo de 2015 (expediente de prueba, folios 11753 a 11756).</w:t>
      </w:r>
    </w:p>
  </w:footnote>
  <w:footnote w:id="302">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Constan tales lapsos entre:</w:t>
      </w:r>
      <w:r w:rsidRPr="00EF190F">
        <w:rPr>
          <w:rFonts w:eastAsia="Batang" w:cs="Arial"/>
          <w:color w:val="000000"/>
          <w:sz w:val="16"/>
          <w:szCs w:val="16"/>
          <w:lang w:val="es-CR"/>
        </w:rPr>
        <w:t xml:space="preserve"> i) </w:t>
      </w:r>
      <w:r w:rsidRPr="00EF190F">
        <w:rPr>
          <w:sz w:val="16"/>
          <w:szCs w:val="16"/>
        </w:rPr>
        <w:t xml:space="preserve">septiembre de 2005 y enero de 2010; ii) octubre de 2010 y octubre de 2011; iii) octubre de 2011 y diciembre de 2012, y iv) marzo de 2012 y marzo de 2013. El 22 de septiembre de 2005 la FAFG entregó al Auxiliar Fiscal cinco osarios que contenían seis osamentas incompletas, y ese mismo día los restos fueron entregados a la señora Francisca González Tecú y el señor William Misael Ixtecoc Xitumul. Los días 11 de enero, 14 de junio y 26 de octubre de 2010 la señora González Tecú acudió ante el Auxiliar Fiscal a declarar nuevamente. El 8 de diciembre de 2012 el Juez de Primera Instancia Penal autorizó la diligencia de exhumación del cadáver del señor Gorgonio Gonzalez solicitada por el Auxiliar Fiscal el 26 de octubre de 2011. El 12 de marzo de 2012 la señora González Tecú manifestó al Auxiliar Fiscal que en la exhumación realizada el 7 de marzo de 2012 “no se encontró nada” y pidió que se solicitara nuevamente al Juez respectivo la autorización para excavar en tres puntos que ella recordaba dentro del mismo lugar y así encontrar el cadáver de su padre. El 22 de diciembre de 2014 el Ministerio Público recibió de la FAFG, el “Dictamen Pericial de la Investigación Antropológico Forense llevada a cabo en el Cementerio San Francisco, Aldea Chuateguá”. </w:t>
      </w:r>
      <w:r w:rsidRPr="00EF190F">
        <w:rPr>
          <w:i/>
          <w:sz w:val="16"/>
          <w:szCs w:val="16"/>
        </w:rPr>
        <w:t>Cfr.</w:t>
      </w:r>
      <w:r w:rsidRPr="00EF190F">
        <w:rPr>
          <w:sz w:val="16"/>
          <w:szCs w:val="16"/>
        </w:rPr>
        <w:t xml:space="preserve"> Oficio de la FAFG de 22 de septiembre de 2005 (expediente de prueba, folio 1581); Declaración de Francisca González Tecú de 26 de octubre de 2010 (expediente de prueba, folio 9232); Declaración de Francisca González Tecú de 11 de enero de 2010 (expediente de prueba, folios 9243 y 9244); Declaración de Francisca González Tecú de 22 de diciembre de 2014 (expediente de prueba, folio 9245); Escrito del Auxiliar Fiscal de la Fiscalía Distrital del Ministerio Público de Salamá de 26 de octubre de 2012 (expediente de prueba, folios 9130 y 9231); Declaración de Francisca González Tecú de 12 de marzo de 2012 (expediente de prueba, folio 9204), e Informe de FAFG de 5 de junio de 2014 (expediente de prueba, folios 9247, 9250, 9252, 9270 y 9276).</w:t>
      </w:r>
    </w:p>
  </w:footnote>
  <w:footnote w:id="303">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lang w:val="es-PR"/>
        </w:rPr>
        <w:t xml:space="preserve"> </w:t>
      </w:r>
      <w:r w:rsidRPr="00EF190F">
        <w:rPr>
          <w:sz w:val="16"/>
          <w:szCs w:val="16"/>
        </w:rPr>
        <w:tab/>
      </w:r>
      <w:r w:rsidRPr="00EF190F">
        <w:rPr>
          <w:i/>
          <w:sz w:val="16"/>
          <w:szCs w:val="16"/>
        </w:rPr>
        <w:t xml:space="preserve">Cfr. </w:t>
      </w:r>
      <w:r w:rsidRPr="00EF190F">
        <w:rPr>
          <w:sz w:val="16"/>
          <w:szCs w:val="16"/>
        </w:rPr>
        <w:t>Declaración de Francisca González Tecú de 11 de enero de 2010 (expediente de prueba, folios 9243 y 9244).</w:t>
      </w:r>
    </w:p>
  </w:footnote>
  <w:footnote w:id="304">
    <w:p w:rsidR="006A0E1C" w:rsidRPr="00EF190F" w:rsidRDefault="006A0E1C" w:rsidP="006A0E1C">
      <w:pPr>
        <w:pStyle w:val="FootnoteText"/>
        <w:tabs>
          <w:tab w:val="left" w:pos="360"/>
        </w:tabs>
        <w:rPr>
          <w:i/>
          <w:spacing w:val="-4"/>
          <w:sz w:val="16"/>
          <w:szCs w:val="16"/>
          <w:lang w:val="es-MX"/>
        </w:rPr>
      </w:pPr>
      <w:r w:rsidRPr="00EF190F">
        <w:rPr>
          <w:rStyle w:val="FootnoteReference"/>
          <w:spacing w:val="-4"/>
          <w:sz w:val="16"/>
          <w:szCs w:val="16"/>
        </w:rPr>
        <w:footnoteRef/>
      </w:r>
      <w:r w:rsidRPr="00EF190F">
        <w:rPr>
          <w:spacing w:val="-4"/>
          <w:sz w:val="16"/>
          <w:szCs w:val="16"/>
          <w:lang w:val="pt-BR"/>
        </w:rPr>
        <w:t xml:space="preserve"> </w:t>
      </w:r>
      <w:r w:rsidRPr="00EF190F">
        <w:rPr>
          <w:spacing w:val="-4"/>
          <w:sz w:val="16"/>
          <w:szCs w:val="16"/>
          <w:lang w:val="pt-BR"/>
        </w:rPr>
        <w:tab/>
      </w:r>
      <w:r w:rsidRPr="00EF190F">
        <w:rPr>
          <w:i/>
          <w:spacing w:val="-4"/>
          <w:sz w:val="16"/>
          <w:szCs w:val="16"/>
          <w:lang w:val="pt-BR"/>
        </w:rPr>
        <w:t xml:space="preserve">Cfr. </w:t>
      </w:r>
      <w:r w:rsidRPr="00EF190F">
        <w:rPr>
          <w:rFonts w:cs="Arial"/>
          <w:i/>
          <w:spacing w:val="-4"/>
          <w:sz w:val="16"/>
          <w:szCs w:val="16"/>
          <w:shd w:val="clear" w:color="auto" w:fill="FFFFFF"/>
          <w:lang w:val="pt-BR"/>
        </w:rPr>
        <w:t>Caso Nogueira de Carvalho y otro Vs. Brasil</w:t>
      </w:r>
      <w:r w:rsidRPr="00EF190F">
        <w:rPr>
          <w:rStyle w:val="Strong"/>
          <w:b w:val="0"/>
          <w:sz w:val="16"/>
          <w:szCs w:val="16"/>
          <w:lang w:val="pt-BR"/>
        </w:rPr>
        <w:t>.</w:t>
      </w:r>
      <w:r w:rsidRPr="00EF190F">
        <w:rPr>
          <w:rStyle w:val="Strong"/>
          <w:sz w:val="16"/>
          <w:szCs w:val="16"/>
          <w:lang w:val="pt-BR"/>
        </w:rPr>
        <w:t xml:space="preserve"> </w:t>
      </w:r>
      <w:r w:rsidRPr="00EF190F">
        <w:rPr>
          <w:rStyle w:val="Strong"/>
          <w:b w:val="0"/>
          <w:i/>
          <w:sz w:val="16"/>
          <w:szCs w:val="16"/>
        </w:rPr>
        <w:t>Excepciones Preliminares y Fondo</w:t>
      </w:r>
      <w:r w:rsidRPr="00EF190F">
        <w:rPr>
          <w:rStyle w:val="Strong"/>
          <w:b w:val="0"/>
          <w:sz w:val="16"/>
          <w:szCs w:val="16"/>
        </w:rPr>
        <w:t>. Sentencia de 28 de noviembre de 2006. Serie C No. 161</w:t>
      </w:r>
      <w:r w:rsidRPr="00EF190F">
        <w:rPr>
          <w:i/>
          <w:spacing w:val="-4"/>
          <w:sz w:val="16"/>
          <w:szCs w:val="16"/>
          <w:lang w:val="es-PR"/>
        </w:rPr>
        <w:t>,</w:t>
      </w:r>
      <w:r w:rsidRPr="00EF190F">
        <w:rPr>
          <w:spacing w:val="-4"/>
          <w:sz w:val="16"/>
          <w:szCs w:val="16"/>
          <w:lang w:val="es-PR"/>
        </w:rPr>
        <w:t xml:space="preserve"> párr. </w:t>
      </w:r>
      <w:r w:rsidRPr="00EF190F">
        <w:rPr>
          <w:spacing w:val="-4"/>
          <w:sz w:val="16"/>
          <w:szCs w:val="16"/>
        </w:rPr>
        <w:t>80</w:t>
      </w:r>
      <w:r w:rsidRPr="00EF190F">
        <w:rPr>
          <w:spacing w:val="-4"/>
          <w:sz w:val="16"/>
          <w:szCs w:val="16"/>
          <w:lang w:val="es-PR"/>
        </w:rPr>
        <w:t xml:space="preserve">, y </w:t>
      </w:r>
      <w:r w:rsidRPr="00EF190F">
        <w:rPr>
          <w:bCs/>
          <w:i/>
          <w:spacing w:val="-4"/>
          <w:sz w:val="16"/>
          <w:szCs w:val="16"/>
          <w:lang w:val="es-CR"/>
        </w:rPr>
        <w:t>Caso Velásquez Paiz y otros Vs. Guatemala. Excepciones Preliminares, Fondo, Reparaciones y Costas.</w:t>
      </w:r>
      <w:r w:rsidRPr="00EF190F">
        <w:rPr>
          <w:bCs/>
          <w:spacing w:val="-4"/>
          <w:sz w:val="16"/>
          <w:szCs w:val="16"/>
          <w:lang w:val="es-CR"/>
        </w:rPr>
        <w:t xml:space="preserve"> Sentencia de 19 de noviembre de 2015. Serie C No. 307,</w:t>
      </w:r>
      <w:r w:rsidRPr="00EF190F">
        <w:rPr>
          <w:i/>
          <w:spacing w:val="-4"/>
          <w:sz w:val="16"/>
          <w:szCs w:val="16"/>
          <w:lang w:val="es-GT"/>
        </w:rPr>
        <w:t xml:space="preserve"> </w:t>
      </w:r>
      <w:r w:rsidRPr="00EF190F">
        <w:rPr>
          <w:spacing w:val="-4"/>
          <w:sz w:val="16"/>
          <w:szCs w:val="16"/>
          <w:lang w:val="es-GT"/>
        </w:rPr>
        <w:t>párr. 169.</w:t>
      </w:r>
    </w:p>
  </w:footnote>
  <w:footnote w:id="305">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ab/>
      </w:r>
      <w:r w:rsidRPr="00EF190F">
        <w:rPr>
          <w:i/>
          <w:sz w:val="16"/>
          <w:szCs w:val="16"/>
          <w:lang w:val="es-PR"/>
        </w:rPr>
        <w:t>Cfr. Caso Goiburú y otros Vs. Paraguay,</w:t>
      </w:r>
      <w:r w:rsidRPr="00EF190F">
        <w:rPr>
          <w:sz w:val="16"/>
          <w:szCs w:val="16"/>
          <w:lang w:val="es-PR"/>
        </w:rPr>
        <w:t xml:space="preserve"> párr. 131.</w:t>
      </w:r>
    </w:p>
  </w:footnote>
  <w:footnote w:id="306">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t>Disponible en: http://old.congreso.gob.gt/archivos/decretos/1996/gtdcx145-1996.pdf</w:t>
      </w:r>
    </w:p>
  </w:footnote>
  <w:footnote w:id="307">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i/>
          <w:sz w:val="16"/>
          <w:szCs w:val="16"/>
          <w:lang w:val="es-PR"/>
        </w:rPr>
        <w:t>Cfr</w:t>
      </w:r>
      <w:r w:rsidRPr="00EF190F">
        <w:rPr>
          <w:sz w:val="16"/>
          <w:szCs w:val="16"/>
          <w:lang w:val="es-PR"/>
        </w:rPr>
        <w:t xml:space="preserve">. </w:t>
      </w:r>
      <w:r w:rsidRPr="00EF190F">
        <w:rPr>
          <w:i/>
          <w:sz w:val="16"/>
          <w:szCs w:val="16"/>
          <w:lang w:val="es-PR"/>
        </w:rPr>
        <w:t>12 Casos Guatemaltecos.</w:t>
      </w:r>
      <w:r w:rsidRPr="00EF190F">
        <w:rPr>
          <w:sz w:val="16"/>
          <w:szCs w:val="16"/>
          <w:lang w:val="es-PR"/>
        </w:rPr>
        <w:t xml:space="preserve"> </w:t>
      </w:r>
      <w:r w:rsidRPr="00EF190F">
        <w:rPr>
          <w:i/>
          <w:sz w:val="16"/>
          <w:szCs w:val="16"/>
          <w:lang w:val="es-PR"/>
        </w:rPr>
        <w:t>Supervisión de Cumplimiento de Sentencia.</w:t>
      </w:r>
      <w:r w:rsidRPr="00EF190F">
        <w:rPr>
          <w:sz w:val="16"/>
          <w:szCs w:val="16"/>
          <w:lang w:val="es-PR"/>
        </w:rPr>
        <w:t xml:space="preserve"> Resolución de la Corte Interamericana de Derechos Humanos de 24 de noviembre de 2015, considerando 145, </w:t>
      </w:r>
      <w:r w:rsidRPr="00EF190F">
        <w:rPr>
          <w:rStyle w:val="Strong"/>
          <w:b w:val="0"/>
          <w:color w:val="000000"/>
          <w:sz w:val="16"/>
          <w:szCs w:val="16"/>
          <w:shd w:val="clear" w:color="auto" w:fill="FFFFFF"/>
          <w:lang w:val="es-PR"/>
        </w:rPr>
        <w:t xml:space="preserve">y </w:t>
      </w:r>
      <w:r w:rsidRPr="00EF190F">
        <w:rPr>
          <w:i/>
          <w:sz w:val="16"/>
          <w:szCs w:val="16"/>
        </w:rPr>
        <w:t>Caso Trabajadores de la Hacienda Brasil Verde Vs. Brasil</w:t>
      </w:r>
      <w:r w:rsidRPr="00EF190F">
        <w:rPr>
          <w:sz w:val="16"/>
          <w:szCs w:val="16"/>
        </w:rPr>
        <w:t>, párrs. 454 y 455.</w:t>
      </w:r>
    </w:p>
  </w:footnote>
  <w:footnote w:id="308">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i/>
          <w:sz w:val="16"/>
          <w:szCs w:val="16"/>
          <w:lang w:val="es-PR"/>
        </w:rPr>
        <w:t>Cfr.</w:t>
      </w:r>
      <w:r w:rsidRPr="00EF190F">
        <w:rPr>
          <w:sz w:val="16"/>
          <w:szCs w:val="16"/>
          <w:lang w:val="es-PR"/>
        </w:rPr>
        <w:t xml:space="preserve"> </w:t>
      </w:r>
      <w:r w:rsidRPr="00EF190F">
        <w:rPr>
          <w:i/>
          <w:sz w:val="16"/>
          <w:szCs w:val="16"/>
          <w:lang w:val="es-ES"/>
        </w:rPr>
        <w:t>Caso Chitay Nech y otros Vs. Guatemala. Supervisión de Cumplimiento de Sentencia</w:t>
      </w:r>
      <w:r w:rsidRPr="00EF190F">
        <w:rPr>
          <w:sz w:val="16"/>
          <w:szCs w:val="16"/>
          <w:lang w:val="es-ES"/>
        </w:rPr>
        <w:t xml:space="preserve">. </w:t>
      </w:r>
      <w:r w:rsidRPr="00EF190F">
        <w:rPr>
          <w:bCs/>
          <w:sz w:val="16"/>
          <w:szCs w:val="16"/>
          <w:lang w:val="es-ES"/>
        </w:rPr>
        <w:t>Resolución de la Corte Interamericana de Derechos Humanos de 22 de agosto de 2013,</w:t>
      </w:r>
      <w:r w:rsidRPr="00EF190F">
        <w:rPr>
          <w:sz w:val="16"/>
          <w:szCs w:val="16"/>
          <w:lang w:val="es-ES"/>
        </w:rPr>
        <w:t xml:space="preserve"> considerando 11, y </w:t>
      </w:r>
      <w:r w:rsidRPr="00EF190F">
        <w:rPr>
          <w:i/>
          <w:sz w:val="16"/>
          <w:szCs w:val="16"/>
          <w:lang w:val="es-PR"/>
        </w:rPr>
        <w:t>12 Casos Guatemaltecos.</w:t>
      </w:r>
      <w:r w:rsidRPr="00EF190F">
        <w:rPr>
          <w:sz w:val="16"/>
          <w:szCs w:val="16"/>
          <w:lang w:val="es-PR"/>
        </w:rPr>
        <w:t xml:space="preserve"> </w:t>
      </w:r>
      <w:r w:rsidRPr="00EF190F">
        <w:rPr>
          <w:i/>
          <w:sz w:val="16"/>
          <w:szCs w:val="16"/>
          <w:lang w:val="es-PR"/>
        </w:rPr>
        <w:t>Supervisión de Cumplimiento de Sentencia</w:t>
      </w:r>
      <w:r w:rsidRPr="00EF190F">
        <w:rPr>
          <w:sz w:val="16"/>
          <w:szCs w:val="16"/>
          <w:lang w:val="es-PR"/>
        </w:rPr>
        <w:t>. Resolución de la Corte Interamericana de Derechos Humanos de 24 de noviembre de 2015, considerando 149.</w:t>
      </w:r>
    </w:p>
  </w:footnote>
  <w:footnote w:id="309">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Al respecto, la Corte aclara que, en los casos </w:t>
      </w:r>
      <w:r w:rsidRPr="00EF190F">
        <w:rPr>
          <w:i/>
          <w:sz w:val="16"/>
          <w:szCs w:val="16"/>
        </w:rPr>
        <w:t>Masacre Plan de Sánchez</w:t>
      </w:r>
      <w:r w:rsidRPr="00EF190F">
        <w:rPr>
          <w:sz w:val="16"/>
          <w:szCs w:val="16"/>
        </w:rPr>
        <w:t xml:space="preserve"> y </w:t>
      </w:r>
      <w:r w:rsidRPr="00EF190F">
        <w:rPr>
          <w:i/>
          <w:sz w:val="16"/>
          <w:szCs w:val="16"/>
        </w:rPr>
        <w:t>Masacres de Rio Negro</w:t>
      </w:r>
      <w:r w:rsidRPr="00EF190F">
        <w:rPr>
          <w:sz w:val="16"/>
          <w:szCs w:val="16"/>
        </w:rPr>
        <w:t xml:space="preserve">, no rechazó </w:t>
      </w:r>
      <w:r w:rsidRPr="00EF190F">
        <w:rPr>
          <w:i/>
          <w:sz w:val="16"/>
          <w:szCs w:val="16"/>
        </w:rPr>
        <w:t>per se</w:t>
      </w:r>
      <w:r w:rsidRPr="00EF190F">
        <w:rPr>
          <w:sz w:val="16"/>
          <w:szCs w:val="16"/>
        </w:rPr>
        <w:t xml:space="preserve"> la posibilidad de recurrir a la calificación jurídica de genocidio en el marco de su jurisdicción contenciosa para declarar violaciones de la Convención Americana, sino que limitó su análisis jurídico a las circunstancias concretas de cada caso. </w:t>
      </w:r>
      <w:r w:rsidRPr="00EF190F">
        <w:rPr>
          <w:i/>
          <w:sz w:val="16"/>
          <w:szCs w:val="16"/>
        </w:rPr>
        <w:t xml:space="preserve">Cfr. </w:t>
      </w:r>
      <w:r w:rsidRPr="00EF190F">
        <w:rPr>
          <w:bCs/>
          <w:i/>
          <w:sz w:val="16"/>
          <w:szCs w:val="16"/>
          <w:lang w:val="es-CR"/>
        </w:rPr>
        <w:t>Caso Masacre Plan de Sánchez Vs. Guatemala. Fondo.</w:t>
      </w:r>
      <w:r w:rsidRPr="00EF190F">
        <w:rPr>
          <w:bCs/>
          <w:sz w:val="16"/>
          <w:szCs w:val="16"/>
          <w:lang w:val="es-CR"/>
        </w:rPr>
        <w:t xml:space="preserve"> Sentencia de 29 de abril de 2004. Serie C No. 105,</w:t>
      </w:r>
      <w:r w:rsidRPr="00EF190F">
        <w:rPr>
          <w:sz w:val="16"/>
          <w:szCs w:val="16"/>
        </w:rPr>
        <w:t xml:space="preserve"> párr. 51, y </w:t>
      </w:r>
      <w:r w:rsidRPr="00EF190F">
        <w:rPr>
          <w:i/>
          <w:sz w:val="16"/>
          <w:szCs w:val="16"/>
        </w:rPr>
        <w:t>Caso Masacres de Río Negro Vs. Guatemala</w:t>
      </w:r>
      <w:r w:rsidRPr="00EF190F">
        <w:rPr>
          <w:sz w:val="16"/>
          <w:szCs w:val="16"/>
        </w:rPr>
        <w:t xml:space="preserve">, párr. 234. </w:t>
      </w:r>
    </w:p>
  </w:footnote>
  <w:footnote w:id="310">
    <w:p w:rsidR="006A0E1C" w:rsidRPr="00EF190F" w:rsidRDefault="006A0E1C" w:rsidP="006A0E1C">
      <w:pPr>
        <w:pStyle w:val="FootnoteText"/>
        <w:tabs>
          <w:tab w:val="left" w:pos="360"/>
        </w:tabs>
        <w:rPr>
          <w:sz w:val="16"/>
          <w:szCs w:val="16"/>
          <w:lang w:val="es-GT"/>
        </w:rPr>
      </w:pPr>
      <w:r w:rsidRPr="00EF190F">
        <w:rPr>
          <w:rStyle w:val="FootnoteReference"/>
          <w:sz w:val="16"/>
          <w:szCs w:val="16"/>
        </w:rPr>
        <w:footnoteRef/>
      </w:r>
      <w:r w:rsidRPr="00EF190F">
        <w:rPr>
          <w:sz w:val="16"/>
          <w:szCs w:val="16"/>
          <w:lang w:val="es-GT"/>
        </w:rPr>
        <w:t xml:space="preserve"> </w:t>
      </w:r>
      <w:r w:rsidRPr="00EF190F">
        <w:rPr>
          <w:sz w:val="16"/>
          <w:szCs w:val="16"/>
          <w:lang w:val="es-GT"/>
        </w:rPr>
        <w:tab/>
        <w:t>El Artículo I de la CPSDG dispone: “Las Partes contratantes confirman que el genocidio, ya sea cometido en tiempo de paz o en tiempo de guerra, es un delito de derecho internacional que ellas se comprometen a prevenir y a sancionar”.</w:t>
      </w:r>
    </w:p>
  </w:footnote>
  <w:footnote w:id="311">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t>CEH, Memoria del Silencio, Capítulo XXI, págs. 375 y 376.</w:t>
      </w:r>
    </w:p>
  </w:footnote>
  <w:footnote w:id="312">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ab/>
      </w:r>
      <w:r w:rsidRPr="00EF190F">
        <w:rPr>
          <w:i/>
          <w:sz w:val="16"/>
          <w:szCs w:val="16"/>
          <w:lang w:val="es-PR"/>
        </w:rPr>
        <w:t>Cfr</w:t>
      </w:r>
      <w:r w:rsidRPr="00EF190F">
        <w:rPr>
          <w:sz w:val="16"/>
          <w:szCs w:val="16"/>
          <w:lang w:val="es-PR"/>
        </w:rPr>
        <w:t xml:space="preserve">. </w:t>
      </w:r>
      <w:r w:rsidRPr="00EF190F">
        <w:rPr>
          <w:i/>
          <w:sz w:val="16"/>
          <w:szCs w:val="16"/>
          <w:lang w:val="es-PR"/>
        </w:rPr>
        <w:t>Caso Masacre Plan de Sánchez Vs. Guatemala. Fondo</w:t>
      </w:r>
      <w:r w:rsidRPr="00EF190F">
        <w:rPr>
          <w:sz w:val="16"/>
          <w:szCs w:val="16"/>
          <w:lang w:val="es-PR"/>
        </w:rPr>
        <w:t>, párr. 42.42.</w:t>
      </w:r>
    </w:p>
  </w:footnote>
  <w:footnote w:id="313">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 xml:space="preserve"> </w:t>
      </w:r>
      <w:r w:rsidRPr="00EF190F">
        <w:rPr>
          <w:sz w:val="16"/>
          <w:szCs w:val="16"/>
          <w:lang w:val="es-CR"/>
        </w:rPr>
        <w:tab/>
      </w:r>
      <w:r w:rsidRPr="00EF190F">
        <w:rPr>
          <w:bCs/>
          <w:sz w:val="16"/>
          <w:szCs w:val="16"/>
          <w:lang w:val="es-CR"/>
        </w:rPr>
        <w:t>Resolución del Procurador de los Derechos Humanos de 2 de septiembre de 1996 (expediente de prueba, folios 1869 a 1879).</w:t>
      </w:r>
    </w:p>
  </w:footnote>
  <w:footnote w:id="314">
    <w:p w:rsidR="006A0E1C" w:rsidRPr="00EF190F" w:rsidRDefault="006A0E1C" w:rsidP="006A0E1C">
      <w:pPr>
        <w:pStyle w:val="FootnoteText"/>
        <w:tabs>
          <w:tab w:val="left" w:pos="360"/>
        </w:tabs>
        <w:rPr>
          <w:sz w:val="16"/>
          <w:szCs w:val="16"/>
          <w:lang w:val="es-GT"/>
        </w:rPr>
      </w:pPr>
      <w:r w:rsidRPr="00EF190F">
        <w:rPr>
          <w:rStyle w:val="FootnoteReference"/>
          <w:sz w:val="16"/>
          <w:szCs w:val="16"/>
        </w:rPr>
        <w:footnoteRef/>
      </w:r>
      <w:r w:rsidRPr="00EF190F">
        <w:rPr>
          <w:sz w:val="16"/>
          <w:szCs w:val="16"/>
          <w:lang w:val="es-GT"/>
        </w:rPr>
        <w:tab/>
        <w:t xml:space="preserve">No queda claro al Tribunal por qué se acudió a la Unidad de Asuntos Internos adscrita a la Fiscalía de Delitos Administrativos o en qué momento pasó el expediente a </w:t>
      </w:r>
      <w:r w:rsidRPr="00EF190F">
        <w:rPr>
          <w:rFonts w:cs="Arial"/>
          <w:sz w:val="16"/>
          <w:szCs w:val="16"/>
          <w:lang w:val="es-CR"/>
        </w:rPr>
        <w:t>la Unidad de Casos Especiales y Violaciones a los Derechos Humanos del Ministerio Público.</w:t>
      </w:r>
    </w:p>
  </w:footnote>
  <w:footnote w:id="315">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lang w:val="es-CR"/>
        </w:rPr>
        <w:tab/>
        <w:t xml:space="preserve">Declaración del señor Miguel Sic Osorio ante la </w:t>
      </w:r>
      <w:r w:rsidRPr="00EF190F">
        <w:rPr>
          <w:rFonts w:cs="Arial"/>
          <w:sz w:val="16"/>
          <w:szCs w:val="16"/>
          <w:lang w:val="es-CR"/>
        </w:rPr>
        <w:t xml:space="preserve">Unidad de Asuntos Internos adscrita a la Fiscalía de Delitos Administrativos </w:t>
      </w:r>
      <w:r w:rsidRPr="00EF190F">
        <w:rPr>
          <w:sz w:val="16"/>
          <w:szCs w:val="16"/>
          <w:lang w:val="es-CR"/>
        </w:rPr>
        <w:t xml:space="preserve">el 12 de julio de 2005 (expediente de prueba, folios 757 a 761), y </w:t>
      </w:r>
      <w:r w:rsidRPr="00EF190F">
        <w:rPr>
          <w:rFonts w:cs="Arial"/>
          <w:sz w:val="16"/>
          <w:szCs w:val="16"/>
        </w:rPr>
        <w:t>Declaración de Miguel Sic Osorio de 25 de octubre de 2000 (expediente de prueba, folios 432 a 436)</w:t>
      </w:r>
      <w:r w:rsidRPr="00EF190F">
        <w:rPr>
          <w:sz w:val="16"/>
          <w:szCs w:val="16"/>
          <w:lang w:val="es-CR"/>
        </w:rPr>
        <w:t>.</w:t>
      </w:r>
    </w:p>
  </w:footnote>
  <w:footnote w:id="316">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rPr>
        <w:t xml:space="preserve"> </w:t>
      </w:r>
      <w:r w:rsidRPr="00EF190F">
        <w:rPr>
          <w:sz w:val="16"/>
          <w:szCs w:val="16"/>
          <w:lang w:val="es-CR"/>
        </w:rPr>
        <w:tab/>
      </w:r>
      <w:r w:rsidRPr="00EF190F">
        <w:rPr>
          <w:i/>
          <w:sz w:val="16"/>
          <w:szCs w:val="16"/>
        </w:rPr>
        <w:t xml:space="preserve">Cfr. </w:t>
      </w:r>
      <w:r w:rsidRPr="00EF190F">
        <w:rPr>
          <w:sz w:val="16"/>
          <w:szCs w:val="16"/>
        </w:rPr>
        <w:t xml:space="preserve">Escrito del </w:t>
      </w:r>
      <w:r w:rsidRPr="00EF190F">
        <w:rPr>
          <w:rStyle w:val="CommentReference"/>
          <w:rFonts w:cs="Arial"/>
        </w:rPr>
        <w:t xml:space="preserve">Auxiliar Fiscal Uno de la Fiscalía Municipal del Ministerio Público de Rabinal </w:t>
      </w:r>
      <w:r w:rsidRPr="00EF190F">
        <w:rPr>
          <w:rFonts w:cs="Arial"/>
          <w:sz w:val="16"/>
          <w:szCs w:val="16"/>
        </w:rPr>
        <w:t>de 18 de julio de 2013 (expediente de prueba, folio 11758).</w:t>
      </w:r>
      <w:r w:rsidRPr="00EF190F">
        <w:rPr>
          <w:sz w:val="16"/>
          <w:szCs w:val="16"/>
        </w:rPr>
        <w:t xml:space="preserve"> En dicho escrito se encuentra la referencia </w:t>
      </w:r>
      <w:r w:rsidRPr="00EF190F">
        <w:rPr>
          <w:rFonts w:cs="Arial"/>
          <w:sz w:val="16"/>
          <w:szCs w:val="16"/>
        </w:rPr>
        <w:t xml:space="preserve">No. MP248-2006-441. Existe inconsistencia con respecto al número de este expediente. Consta en el acervo probatorio que se denunció la desaparición de familiares de Juana García Depaz dentro del Expediente M.P. 247-2006-441, a través de la Denuncia MP247/2006/648 de Juana García Depaz de 13 de junio de 2006 (expediente de prueba, folios 1404 y 1405). En el escrito de solicitudes y argumentos se señala que el Expediente del Ministerio Público 648-2006/441 de la Fiscalía Municipal de Rabinal se trata de la “desaparición de Adrián Garcia Manuel, Hugo Garcia de Paz y Abraham Alvarado Tecú”. Sin embargo, no se proporciona más información al respecto. En el informe de la FAFG se menciona que este caso está registrado bajo el expediente 247-2006-44 M.P. </w:t>
      </w:r>
    </w:p>
  </w:footnote>
  <w:footnote w:id="317">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ab/>
      </w:r>
      <w:r w:rsidRPr="00EF190F">
        <w:rPr>
          <w:i/>
          <w:sz w:val="16"/>
          <w:szCs w:val="16"/>
        </w:rPr>
        <w:t>Cfr</w:t>
      </w:r>
      <w:r w:rsidRPr="00EF190F">
        <w:rPr>
          <w:sz w:val="16"/>
          <w:szCs w:val="16"/>
        </w:rPr>
        <w:t>. Oficio del Auxiliar Fiscal del Ministerio Público de Baja Verapaz de 14 de junio de 2006 (expediente de prueba, folio 8806).</w:t>
      </w:r>
    </w:p>
  </w:footnote>
  <w:footnote w:id="318">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t xml:space="preserve">Este Tribunal ha señalado reiteradamente que la violencia sexual perpetrada por agentes del Estado puede constituir tortura. </w:t>
      </w:r>
      <w:r w:rsidRPr="00EF190F">
        <w:rPr>
          <w:i/>
          <w:sz w:val="16"/>
          <w:szCs w:val="16"/>
          <w:lang w:val="es-PR"/>
        </w:rPr>
        <w:t xml:space="preserve">Cfr. </w:t>
      </w:r>
      <w:r w:rsidRPr="00EF190F">
        <w:rPr>
          <w:rStyle w:val="Strong"/>
          <w:b w:val="0"/>
          <w:i/>
          <w:color w:val="000000"/>
          <w:sz w:val="16"/>
          <w:szCs w:val="16"/>
          <w:shd w:val="clear" w:color="auto" w:fill="FFFFFF"/>
        </w:rPr>
        <w:t>Caso Fernández Ortega y otros Vs. México. Excepción Preliminar, Fondo, Reparaciones y Costas</w:t>
      </w:r>
      <w:r w:rsidRPr="00EF190F">
        <w:rPr>
          <w:rStyle w:val="Strong"/>
          <w:b w:val="0"/>
          <w:color w:val="000000"/>
          <w:sz w:val="16"/>
          <w:szCs w:val="16"/>
          <w:shd w:val="clear" w:color="auto" w:fill="FFFFFF"/>
        </w:rPr>
        <w:t>. Sentencia de 30 de agosto de 2010. Serie C No. 215</w:t>
      </w:r>
      <w:r w:rsidRPr="00EF190F">
        <w:rPr>
          <w:sz w:val="16"/>
          <w:szCs w:val="16"/>
          <w:lang w:val="es-PR"/>
        </w:rPr>
        <w:t>, párr. 128</w:t>
      </w:r>
      <w:r w:rsidRPr="00EF190F">
        <w:rPr>
          <w:i/>
          <w:sz w:val="16"/>
          <w:szCs w:val="16"/>
          <w:lang w:val="es-PR"/>
        </w:rPr>
        <w:t xml:space="preserve">, </w:t>
      </w:r>
      <w:r w:rsidRPr="00EF190F">
        <w:rPr>
          <w:rStyle w:val="Strong"/>
          <w:b w:val="0"/>
          <w:i/>
          <w:color w:val="000000"/>
          <w:sz w:val="16"/>
          <w:szCs w:val="16"/>
          <w:shd w:val="clear" w:color="auto" w:fill="FFFFFF"/>
        </w:rPr>
        <w:t>Caso Rosendo Cantú y otra Vs. México. Excepción Preliminar, Fondo, Reparaciones y Costas</w:t>
      </w:r>
      <w:r w:rsidRPr="00EF190F">
        <w:rPr>
          <w:rStyle w:val="Strong"/>
          <w:b w:val="0"/>
          <w:color w:val="000000"/>
          <w:sz w:val="16"/>
          <w:szCs w:val="16"/>
          <w:shd w:val="clear" w:color="auto" w:fill="FFFFFF"/>
        </w:rPr>
        <w:t>. Sentencia de 31 de agosto de 2010. Serie C No. 216</w:t>
      </w:r>
      <w:r w:rsidRPr="00EF190F">
        <w:rPr>
          <w:i/>
          <w:sz w:val="16"/>
          <w:szCs w:val="16"/>
          <w:lang w:val="es-PR"/>
        </w:rPr>
        <w:t xml:space="preserve">, </w:t>
      </w:r>
      <w:r w:rsidRPr="00EF190F">
        <w:rPr>
          <w:sz w:val="16"/>
          <w:szCs w:val="16"/>
          <w:lang w:val="es-PR"/>
        </w:rPr>
        <w:t>párr. 118 y</w:t>
      </w:r>
      <w:r w:rsidRPr="00EF190F">
        <w:rPr>
          <w:i/>
          <w:sz w:val="16"/>
          <w:szCs w:val="16"/>
          <w:lang w:val="es-PR"/>
        </w:rPr>
        <w:t xml:space="preserve"> </w:t>
      </w:r>
      <w:r w:rsidRPr="00EF190F">
        <w:rPr>
          <w:rFonts w:cs="Microsoft Sans Serif"/>
          <w:i/>
          <w:spacing w:val="-4"/>
          <w:sz w:val="16"/>
          <w:szCs w:val="16"/>
          <w:lang w:val="es-EC"/>
        </w:rPr>
        <w:t xml:space="preserve">Caso Espinoza Gonzáles Vs. Perú. </w:t>
      </w:r>
      <w:r w:rsidRPr="00EF190F">
        <w:rPr>
          <w:rFonts w:cs="Microsoft Sans Serif"/>
          <w:bCs/>
          <w:i/>
          <w:spacing w:val="-4"/>
          <w:sz w:val="16"/>
          <w:szCs w:val="16"/>
          <w:lang w:val="es-CR"/>
        </w:rPr>
        <w:t xml:space="preserve">Excepciones Preliminares, Fondo, Reparaciones y Costas. </w:t>
      </w:r>
      <w:r w:rsidRPr="00EF190F">
        <w:rPr>
          <w:rFonts w:cs="Microsoft Sans Serif"/>
          <w:bCs/>
          <w:spacing w:val="-4"/>
          <w:sz w:val="16"/>
          <w:szCs w:val="16"/>
          <w:lang w:val="es-CR"/>
        </w:rPr>
        <w:t>Sentencia de 20 de noviembre de 2014. Serie C No. 289</w:t>
      </w:r>
      <w:r w:rsidRPr="00EF190F">
        <w:rPr>
          <w:i/>
          <w:sz w:val="16"/>
          <w:szCs w:val="16"/>
          <w:lang w:val="es-PR"/>
        </w:rPr>
        <w:t xml:space="preserve">, </w:t>
      </w:r>
      <w:r w:rsidRPr="00EF190F">
        <w:rPr>
          <w:sz w:val="16"/>
          <w:szCs w:val="16"/>
          <w:lang w:val="es-PR"/>
        </w:rPr>
        <w:t>párrs. 195 y 196</w:t>
      </w:r>
      <w:r w:rsidRPr="00EF190F">
        <w:rPr>
          <w:i/>
          <w:sz w:val="16"/>
          <w:szCs w:val="16"/>
          <w:lang w:val="es-PR"/>
        </w:rPr>
        <w:t>.</w:t>
      </w:r>
      <w:r w:rsidRPr="00EF190F">
        <w:rPr>
          <w:sz w:val="16"/>
          <w:szCs w:val="16"/>
          <w:lang w:val="es-PR"/>
        </w:rPr>
        <w:t xml:space="preserve"> </w:t>
      </w:r>
      <w:r w:rsidRPr="00EF190F">
        <w:rPr>
          <w:sz w:val="16"/>
          <w:szCs w:val="16"/>
        </w:rPr>
        <w:t xml:space="preserve">Por otra parte, la violencia sexual puede, en determinadas circunstancias, constituir un crimen de guerra, un crimen de lesa humanidad o bien, constituir un acto de genocidio. </w:t>
      </w:r>
      <w:r w:rsidRPr="00EF190F">
        <w:rPr>
          <w:i/>
          <w:sz w:val="16"/>
          <w:szCs w:val="16"/>
          <w:lang w:val="es-PR"/>
        </w:rPr>
        <w:t xml:space="preserve">Cfr. </w:t>
      </w:r>
      <w:r w:rsidRPr="00EF190F">
        <w:rPr>
          <w:sz w:val="16"/>
          <w:szCs w:val="16"/>
          <w:lang w:val="es-PR"/>
        </w:rPr>
        <w:t>Artículo 3 común a los cuatro Convenios de Ginebra, ratificados por Guatemala el 14 de mayo de 1952;</w:t>
      </w:r>
      <w:r w:rsidRPr="00EF190F">
        <w:rPr>
          <w:sz w:val="16"/>
          <w:szCs w:val="16"/>
        </w:rPr>
        <w:t xml:space="preserve"> artículo 4.2.e del Protocolo II adicional a los Convenios de Ginebra de 1949 relativo a la protección de las víctimas de los conflictos armados sin carácter internacional, firmado por Guatemala el 12 de diciembre de 1977 y ratificado el 19 de octubre de 1987; artículo 7(1)(g) del Estatuto de la Corte Penal Internacional; artículo 5 del Estatuto del TPIY; artículo 3 del Estatuto del TPIR; </w:t>
      </w:r>
      <w:r w:rsidRPr="00EF190F">
        <w:rPr>
          <w:i/>
          <w:sz w:val="16"/>
          <w:szCs w:val="16"/>
          <w:lang w:val="es-PR"/>
        </w:rPr>
        <w:t>ICTR, Trial Ch I. Prosecutor v. Akayesu, Jean-Paul. Judgment, Sep. 2, 1998. paras. 505-509 y 516</w:t>
      </w:r>
      <w:r w:rsidRPr="00EF190F">
        <w:rPr>
          <w:i/>
          <w:sz w:val="16"/>
          <w:szCs w:val="16"/>
        </w:rPr>
        <w:t>; Trial Ch I.</w:t>
      </w:r>
      <w:r w:rsidRPr="00EF190F">
        <w:rPr>
          <w:i/>
          <w:sz w:val="16"/>
          <w:szCs w:val="16"/>
          <w:lang w:val="es-PR"/>
        </w:rPr>
        <w:t xml:space="preserve"> Prosecutor v. Musema, Alfred. Judgment, En. 27, 2000. paras. 908 y 933 (884-936); </w:t>
      </w:r>
      <w:r w:rsidRPr="00EF190F">
        <w:rPr>
          <w:i/>
          <w:color w:val="000000"/>
          <w:sz w:val="16"/>
          <w:szCs w:val="16"/>
          <w:lang w:val="es-PR"/>
        </w:rPr>
        <w:t>ICTY, Trial Ch. Prosecutor v. Radovan Karadžić y Ratko</w:t>
      </w:r>
      <w:r w:rsidRPr="00EF190F">
        <w:rPr>
          <w:color w:val="000000"/>
          <w:sz w:val="16"/>
          <w:szCs w:val="16"/>
          <w:lang w:val="es-PR"/>
        </w:rPr>
        <w:t xml:space="preserve"> </w:t>
      </w:r>
      <w:r w:rsidRPr="00EF190F">
        <w:rPr>
          <w:i/>
          <w:color w:val="000000"/>
          <w:sz w:val="16"/>
          <w:szCs w:val="16"/>
          <w:lang w:val="es-PR"/>
        </w:rPr>
        <w:t xml:space="preserve">Mladić. </w:t>
      </w:r>
      <w:r w:rsidRPr="00EF190F">
        <w:rPr>
          <w:i/>
          <w:color w:val="000000"/>
          <w:sz w:val="16"/>
          <w:szCs w:val="16"/>
          <w:lang w:val="en-US"/>
        </w:rPr>
        <w:t xml:space="preserve">Review of the indictments pursuant to rule 61 of the rules of procedures and evidence, Jul. 11, 1996. par. 93; ICTY, Trial Ch. </w:t>
      </w:r>
      <w:r w:rsidRPr="00EF190F">
        <w:rPr>
          <w:i/>
          <w:color w:val="000000"/>
          <w:sz w:val="16"/>
          <w:szCs w:val="16"/>
          <w:lang w:val="es-PR"/>
        </w:rPr>
        <w:t>Prosecutor v. Radislav</w:t>
      </w:r>
      <w:r w:rsidRPr="00EF190F">
        <w:rPr>
          <w:color w:val="000000"/>
          <w:sz w:val="16"/>
          <w:szCs w:val="16"/>
          <w:lang w:val="es-PR"/>
        </w:rPr>
        <w:t xml:space="preserve"> </w:t>
      </w:r>
      <w:r w:rsidRPr="00EF190F">
        <w:rPr>
          <w:i/>
          <w:color w:val="000000"/>
          <w:sz w:val="16"/>
          <w:szCs w:val="16"/>
          <w:lang w:val="es-PR"/>
        </w:rPr>
        <w:t xml:space="preserve">Krstić. </w:t>
      </w:r>
      <w:r w:rsidRPr="00EF190F">
        <w:rPr>
          <w:color w:val="000000"/>
          <w:sz w:val="16"/>
          <w:szCs w:val="16"/>
          <w:lang w:val="es-CR"/>
        </w:rPr>
        <w:t>Judgment, Aug. 2, 2001. par. 509</w:t>
      </w:r>
      <w:r w:rsidRPr="00EF190F">
        <w:rPr>
          <w:i/>
          <w:color w:val="000000"/>
          <w:sz w:val="16"/>
          <w:szCs w:val="16"/>
          <w:lang w:val="es-CR"/>
        </w:rPr>
        <w:t xml:space="preserve">; </w:t>
      </w:r>
      <w:r w:rsidRPr="00EF190F">
        <w:rPr>
          <w:color w:val="000000"/>
          <w:sz w:val="16"/>
          <w:szCs w:val="16"/>
          <w:lang w:val="es-ES"/>
        </w:rPr>
        <w:t xml:space="preserve">Asamblea General de Naciones Unidas, Resolución 50/192, </w:t>
      </w:r>
      <w:r w:rsidRPr="00EF190F">
        <w:rPr>
          <w:i/>
          <w:color w:val="000000"/>
          <w:sz w:val="16"/>
          <w:szCs w:val="16"/>
          <w:lang w:val="es-GT"/>
        </w:rPr>
        <w:t>Agresión y violación de mujeres en las zonas de conflicto armado de la ex Yugoslavia. A/RES/50/192,</w:t>
      </w:r>
      <w:r w:rsidRPr="00EF190F">
        <w:rPr>
          <w:color w:val="000000"/>
          <w:sz w:val="16"/>
          <w:szCs w:val="16"/>
          <w:lang w:val="es-GT"/>
        </w:rPr>
        <w:t xml:space="preserve">22 de diciembre de 1995, p.3; </w:t>
      </w:r>
      <w:r w:rsidRPr="00EF190F">
        <w:rPr>
          <w:color w:val="000000"/>
          <w:sz w:val="16"/>
          <w:szCs w:val="16"/>
          <w:lang w:val="es-PR"/>
        </w:rPr>
        <w:t xml:space="preserve">Consejo de Seguridad de Naciones Unidas, </w:t>
      </w:r>
      <w:r w:rsidRPr="00EF190F">
        <w:rPr>
          <w:color w:val="000000"/>
          <w:sz w:val="16"/>
          <w:szCs w:val="16"/>
          <w:lang w:val="es-GT"/>
        </w:rPr>
        <w:t xml:space="preserve">Women and </w:t>
      </w:r>
      <w:r w:rsidRPr="00EF190F">
        <w:rPr>
          <w:sz w:val="16"/>
          <w:szCs w:val="16"/>
          <w:lang w:val="es-GT"/>
        </w:rPr>
        <w:t>Peace and Security. UN Doc S/PRST/2007/5, 7 de marzo de 2007, p.2.</w:t>
      </w:r>
      <w:r w:rsidRPr="00EF190F">
        <w:rPr>
          <w:sz w:val="16"/>
          <w:szCs w:val="16"/>
          <w:lang w:val="es-PR"/>
        </w:rPr>
        <w:t xml:space="preserve">; </w:t>
      </w:r>
      <w:r w:rsidRPr="00EF190F">
        <w:rPr>
          <w:sz w:val="16"/>
          <w:szCs w:val="16"/>
        </w:rPr>
        <w:t xml:space="preserve">Informe del Secretario General de conformidad con la Resolución 1820 del Consejo de Seguridad de 15 de julio de 2009. párr.22., y ICRC, Rule 93. </w:t>
      </w:r>
    </w:p>
  </w:footnote>
  <w:footnote w:id="319">
    <w:p w:rsidR="006A0E1C" w:rsidRPr="00EF190F" w:rsidRDefault="006A0E1C" w:rsidP="006A0E1C">
      <w:pPr>
        <w:tabs>
          <w:tab w:val="left" w:pos="360"/>
        </w:tabs>
        <w:spacing w:line="240" w:lineRule="auto"/>
        <w:rPr>
          <w:b/>
          <w:bCs/>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En este sentido, véase: </w:t>
      </w:r>
      <w:r w:rsidRPr="00EF190F">
        <w:rPr>
          <w:i/>
          <w:iCs/>
          <w:sz w:val="16"/>
          <w:szCs w:val="16"/>
        </w:rPr>
        <w:t xml:space="preserve">Cfr. </w:t>
      </w:r>
      <w:r w:rsidRPr="00EF190F">
        <w:rPr>
          <w:sz w:val="16"/>
          <w:szCs w:val="16"/>
        </w:rPr>
        <w:t xml:space="preserve">CPI, </w:t>
      </w:r>
      <w:r w:rsidRPr="00EF190F">
        <w:rPr>
          <w:i/>
          <w:sz w:val="16"/>
          <w:szCs w:val="16"/>
        </w:rPr>
        <w:t>Situation in the Central African Republic in the case of the Prosecutor v. Jean-Pierre Bemba Gombo</w:t>
      </w:r>
      <w:r w:rsidRPr="00EF190F">
        <w:rPr>
          <w:sz w:val="16"/>
          <w:szCs w:val="16"/>
        </w:rPr>
        <w:t xml:space="preserve">, 21 de marzo de 2016, Sección VI, (B) y (F), párrs. 634 a 638 y 693 a 741; CPI Policy Paper on Sexual and gender-based crimes, junio de 2014, pp. 17, 25, 26 y 43. Disponbiles en: </w:t>
      </w:r>
      <w:hyperlink r:id="rId9" w:history="1">
        <w:r w:rsidRPr="00EF190F">
          <w:rPr>
            <w:rStyle w:val="Hyperlink"/>
            <w:color w:val="auto"/>
            <w:sz w:val="16"/>
            <w:szCs w:val="16"/>
            <w:u w:val="none"/>
          </w:rPr>
          <w:t>https://www.icc-cpi.int/CourtRecords/CR2016_02238.PDF</w:t>
        </w:r>
      </w:hyperlink>
      <w:r w:rsidRPr="00EF190F">
        <w:rPr>
          <w:sz w:val="16"/>
          <w:szCs w:val="16"/>
        </w:rPr>
        <w:t xml:space="preserve"> y </w:t>
      </w:r>
      <w:hyperlink r:id="rId10" w:history="1">
        <w:r w:rsidRPr="00EF190F">
          <w:rPr>
            <w:rStyle w:val="Hyperlink"/>
            <w:color w:val="auto"/>
            <w:sz w:val="16"/>
            <w:szCs w:val="16"/>
            <w:u w:val="none"/>
          </w:rPr>
          <w:t>https://www.icc-cpi.int/iccdocs/otp/OTP-Policy-Paper-on-Sexual-and-Gender-Based-Crimes--June-2014.pdf</w:t>
        </w:r>
      </w:hyperlink>
      <w:r w:rsidRPr="00EF190F">
        <w:rPr>
          <w:rStyle w:val="Hyperlink"/>
          <w:color w:val="auto"/>
          <w:sz w:val="16"/>
          <w:szCs w:val="16"/>
          <w:u w:val="none"/>
        </w:rPr>
        <w:t xml:space="preserve">; ICTR, </w:t>
      </w:r>
      <w:r w:rsidRPr="00EF190F">
        <w:rPr>
          <w:sz w:val="16"/>
          <w:szCs w:val="16"/>
        </w:rPr>
        <w:t xml:space="preserve">Prosecution of Sexual Violence. </w:t>
      </w:r>
      <w:r w:rsidRPr="00EF190F">
        <w:rPr>
          <w:sz w:val="16"/>
          <w:szCs w:val="16"/>
          <w:lang w:val="en-US"/>
        </w:rPr>
        <w:t xml:space="preserve">Lessons Learned from the Office of the Prosecutor for the International Criminal Tribunal for Rwanda, 30 de enero de 2014, pp 8 a 24, 28 a 32, 37. </w:t>
      </w:r>
      <w:r w:rsidRPr="00EF190F">
        <w:rPr>
          <w:sz w:val="16"/>
          <w:szCs w:val="16"/>
          <w:lang w:val="es-GT"/>
        </w:rPr>
        <w:t xml:space="preserve">Disponible en: </w:t>
      </w:r>
      <w:hyperlink r:id="rId11" w:history="1">
        <w:r w:rsidRPr="00EF190F">
          <w:rPr>
            <w:rStyle w:val="Hyperlink"/>
            <w:color w:val="auto"/>
            <w:sz w:val="16"/>
            <w:szCs w:val="16"/>
            <w:u w:val="none"/>
            <w:lang w:val="es-GT"/>
          </w:rPr>
          <w:t>http://w.unictr.org/sites/unictr.org/files/legal-library/140130_prosecution_of_sexual_violence.pdf</w:t>
        </w:r>
      </w:hyperlink>
    </w:p>
  </w:footnote>
  <w:footnote w:id="320">
    <w:p w:rsidR="006A0E1C" w:rsidRPr="00EF190F" w:rsidRDefault="006A0E1C" w:rsidP="006A0E1C">
      <w:pPr>
        <w:tabs>
          <w:tab w:val="left" w:pos="360"/>
        </w:tabs>
        <w:spacing w:line="240" w:lineRule="auto"/>
        <w:rPr>
          <w:rFonts w:cs="Arial"/>
          <w:b/>
          <w:sz w:val="16"/>
          <w:szCs w:val="16"/>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rFonts w:cs="Arial"/>
          <w:sz w:val="16"/>
          <w:szCs w:val="16"/>
          <w:lang w:val="es-PR"/>
        </w:rPr>
        <w:t>P</w:t>
      </w:r>
      <w:r w:rsidRPr="00EF190F">
        <w:rPr>
          <w:rFonts w:cs="Arial"/>
          <w:sz w:val="16"/>
          <w:szCs w:val="16"/>
        </w:rPr>
        <w:t xml:space="preserve">or ejemplo, en los casos </w:t>
      </w:r>
      <w:r w:rsidRPr="00EF190F">
        <w:rPr>
          <w:rFonts w:cs="Arial"/>
          <w:i/>
          <w:sz w:val="16"/>
          <w:szCs w:val="16"/>
        </w:rPr>
        <w:t xml:space="preserve">Fernández Ortega </w:t>
      </w:r>
      <w:r w:rsidRPr="00EF190F">
        <w:rPr>
          <w:rFonts w:cs="Arial"/>
          <w:sz w:val="16"/>
          <w:szCs w:val="16"/>
        </w:rPr>
        <w:t>y</w:t>
      </w:r>
      <w:r w:rsidRPr="00EF190F">
        <w:rPr>
          <w:rFonts w:cs="Arial"/>
          <w:i/>
          <w:sz w:val="16"/>
          <w:szCs w:val="16"/>
        </w:rPr>
        <w:t xml:space="preserve"> Rosendo Cantú, </w:t>
      </w:r>
      <w:r w:rsidRPr="00EF190F">
        <w:rPr>
          <w:rFonts w:cs="Arial"/>
          <w:sz w:val="16"/>
          <w:szCs w:val="16"/>
        </w:rPr>
        <w:t xml:space="preserve">ambos contra México, se concluyó que la falta de un intérprete que permitiera una adecuada participación de las víctimas en sus propios casos constituyó discriminación en el acceso a la justicia. En el caso </w:t>
      </w:r>
      <w:r w:rsidRPr="00EF190F">
        <w:rPr>
          <w:rFonts w:cs="Arial"/>
          <w:i/>
          <w:sz w:val="16"/>
          <w:szCs w:val="16"/>
        </w:rPr>
        <w:t xml:space="preserve">Tiu Tojín Vs. Guatemala, </w:t>
      </w:r>
      <w:r w:rsidRPr="00EF190F">
        <w:rPr>
          <w:rFonts w:cs="Arial"/>
          <w:sz w:val="16"/>
          <w:szCs w:val="16"/>
        </w:rPr>
        <w:t xml:space="preserve">la Corte consideró que para garantizar el acceso a la justicia de las víctimas -en tanto miembros del pueblo indígena maya- sin discriminación, el Estado debía asegurar que aquellas pudiesen comprender y hacerse comprender en los procedimientos legales iniciados, facilitándoles intérpretes u otros medios eficaces para tal fin. Asimismo, en los casos </w:t>
      </w:r>
      <w:r w:rsidRPr="00EF190F">
        <w:rPr>
          <w:rFonts w:cs="Arial"/>
          <w:i/>
          <w:sz w:val="16"/>
          <w:szCs w:val="16"/>
        </w:rPr>
        <w:t xml:space="preserve">Espinoza Gonzáles Vs. Perú, </w:t>
      </w:r>
      <w:r w:rsidRPr="00EF190F">
        <w:rPr>
          <w:rFonts w:cs="Arial"/>
          <w:sz w:val="16"/>
          <w:szCs w:val="16"/>
        </w:rPr>
        <w:t xml:space="preserve">y </w:t>
      </w:r>
      <w:r w:rsidRPr="00EF190F">
        <w:rPr>
          <w:rStyle w:val="Strong"/>
          <w:b w:val="0"/>
          <w:i/>
          <w:color w:val="000000"/>
          <w:sz w:val="16"/>
          <w:szCs w:val="16"/>
          <w:shd w:val="clear" w:color="auto" w:fill="FFFFFF"/>
        </w:rPr>
        <w:t xml:space="preserve">Veliz Franco y otros, </w:t>
      </w:r>
      <w:r w:rsidRPr="00EF190F">
        <w:rPr>
          <w:rStyle w:val="Strong"/>
          <w:b w:val="0"/>
          <w:color w:val="000000"/>
          <w:sz w:val="16"/>
          <w:szCs w:val="16"/>
          <w:shd w:val="clear" w:color="auto" w:fill="FFFFFF"/>
        </w:rPr>
        <w:t>y</w:t>
      </w:r>
      <w:r w:rsidRPr="00EF190F">
        <w:rPr>
          <w:rFonts w:cs="Arial"/>
          <w:i/>
          <w:sz w:val="16"/>
          <w:szCs w:val="16"/>
        </w:rPr>
        <w:t xml:space="preserve"> Velásquez Paiz, </w:t>
      </w:r>
      <w:r w:rsidRPr="00EF190F">
        <w:rPr>
          <w:rFonts w:cs="Arial"/>
          <w:sz w:val="16"/>
          <w:szCs w:val="16"/>
        </w:rPr>
        <w:t xml:space="preserve">en contra de Guatemala, la Corte constató que la falta de investigación de la violencia que sufrieron las víctimas de dichos casos se debió a la utilización, por parte de los operadores de justicia, de estereotipos discriminatorios. </w:t>
      </w:r>
      <w:r w:rsidRPr="00EF190F">
        <w:rPr>
          <w:rFonts w:cs="Arial"/>
          <w:i/>
          <w:sz w:val="16"/>
          <w:szCs w:val="16"/>
        </w:rPr>
        <w:t>Cfr</w:t>
      </w:r>
      <w:r w:rsidRPr="00EF190F">
        <w:rPr>
          <w:rFonts w:cs="Arial"/>
          <w:sz w:val="16"/>
          <w:szCs w:val="16"/>
        </w:rPr>
        <w:t xml:space="preserve">. </w:t>
      </w:r>
      <w:r w:rsidRPr="00EF190F">
        <w:rPr>
          <w:i/>
          <w:sz w:val="16"/>
          <w:szCs w:val="16"/>
          <w:lang w:val="es-ES"/>
        </w:rPr>
        <w:t>Caso Fernández Ortega y otros Vs. México</w:t>
      </w:r>
      <w:r w:rsidRPr="00EF190F">
        <w:rPr>
          <w:sz w:val="16"/>
          <w:szCs w:val="16"/>
          <w:lang w:val="es-ES"/>
        </w:rPr>
        <w:t xml:space="preserve">, párr. 201; </w:t>
      </w:r>
      <w:r w:rsidRPr="00EF190F">
        <w:rPr>
          <w:rStyle w:val="Strong"/>
          <w:b w:val="0"/>
          <w:i/>
          <w:sz w:val="16"/>
          <w:szCs w:val="16"/>
          <w:shd w:val="clear" w:color="auto" w:fill="FFFFFF"/>
          <w:lang w:val="es-ES"/>
        </w:rPr>
        <w:t>Caso Rosendo Cantú y otra Vs. México</w:t>
      </w:r>
      <w:r w:rsidRPr="00EF190F">
        <w:rPr>
          <w:rStyle w:val="Strong"/>
          <w:b w:val="0"/>
          <w:sz w:val="16"/>
          <w:szCs w:val="16"/>
          <w:shd w:val="clear" w:color="auto" w:fill="FFFFFF"/>
          <w:lang w:val="es-ES"/>
        </w:rPr>
        <w:t>, párr. 185;</w:t>
      </w:r>
      <w:r w:rsidRPr="00EF190F">
        <w:rPr>
          <w:rStyle w:val="Strong"/>
          <w:sz w:val="16"/>
          <w:szCs w:val="16"/>
          <w:shd w:val="clear" w:color="auto" w:fill="FFFFFF"/>
          <w:lang w:val="es-ES"/>
        </w:rPr>
        <w:t xml:space="preserve"> </w:t>
      </w:r>
      <w:r w:rsidRPr="00EF190F">
        <w:rPr>
          <w:i/>
          <w:sz w:val="16"/>
          <w:szCs w:val="16"/>
          <w:lang w:val="es-ES"/>
        </w:rPr>
        <w:t>Caso Tiu Tojín Vs. Guatemala. Fondo, Reparaciones y Costas</w:t>
      </w:r>
      <w:r w:rsidRPr="00EF190F">
        <w:rPr>
          <w:sz w:val="16"/>
          <w:szCs w:val="16"/>
          <w:lang w:val="es-ES"/>
        </w:rPr>
        <w:t>. Sentencia de 26 de noviembre de 2008. Serie C No. 190, párr. 100;</w:t>
      </w:r>
      <w:r w:rsidRPr="00EF190F">
        <w:rPr>
          <w:rStyle w:val="Strong"/>
          <w:sz w:val="16"/>
          <w:szCs w:val="16"/>
          <w:shd w:val="clear" w:color="auto" w:fill="FFFFFF"/>
          <w:lang w:val="es-ES"/>
        </w:rPr>
        <w:t xml:space="preserve"> </w:t>
      </w:r>
      <w:r w:rsidRPr="00EF190F">
        <w:rPr>
          <w:i/>
          <w:sz w:val="16"/>
          <w:szCs w:val="16"/>
          <w:lang w:val="es-ES"/>
        </w:rPr>
        <w:t>Caso Espinoza Gonzáles Vs. Perú</w:t>
      </w:r>
      <w:r w:rsidRPr="00EF190F">
        <w:rPr>
          <w:sz w:val="16"/>
          <w:szCs w:val="16"/>
          <w:lang w:val="es-ES"/>
        </w:rPr>
        <w:t xml:space="preserve">, párrs. 272 y 278; </w:t>
      </w:r>
      <w:r w:rsidRPr="00EF190F">
        <w:rPr>
          <w:rStyle w:val="Strong"/>
          <w:b w:val="0"/>
          <w:i/>
          <w:color w:val="000000"/>
          <w:sz w:val="16"/>
          <w:szCs w:val="16"/>
          <w:shd w:val="clear" w:color="auto" w:fill="FFFFFF"/>
        </w:rPr>
        <w:t>Caso Veliz Franco y otros Vs. Guatemala. Excepciones Preliminares, Fondo, Reparaciones y Costas</w:t>
      </w:r>
      <w:r w:rsidRPr="00EF190F">
        <w:rPr>
          <w:rStyle w:val="Strong"/>
          <w:b w:val="0"/>
          <w:color w:val="000000"/>
          <w:sz w:val="16"/>
          <w:szCs w:val="16"/>
          <w:shd w:val="clear" w:color="auto" w:fill="FFFFFF"/>
        </w:rPr>
        <w:t xml:space="preserve">. Sentencia de 19 de mayo de 2014. Serie C No. 277, párrs. 212 y 213, y </w:t>
      </w:r>
      <w:r w:rsidRPr="00EF190F">
        <w:rPr>
          <w:i/>
          <w:sz w:val="16"/>
          <w:szCs w:val="16"/>
          <w:lang w:val="es-ES"/>
        </w:rPr>
        <w:t>Caso Velásquez Paiz y otros Vs. Guatemala</w:t>
      </w:r>
      <w:r w:rsidRPr="00EF190F">
        <w:rPr>
          <w:sz w:val="16"/>
          <w:szCs w:val="16"/>
          <w:lang w:val="es-ES"/>
        </w:rPr>
        <w:t xml:space="preserve">, párrs. </w:t>
      </w:r>
      <w:r w:rsidRPr="00EF190F">
        <w:rPr>
          <w:rStyle w:val="Strong"/>
          <w:b w:val="0"/>
          <w:sz w:val="16"/>
          <w:szCs w:val="16"/>
          <w:shd w:val="clear" w:color="auto" w:fill="FFFFFF"/>
        </w:rPr>
        <w:t>177, 183, 186 a 189</w:t>
      </w:r>
      <w:r w:rsidRPr="00EF190F">
        <w:rPr>
          <w:sz w:val="16"/>
          <w:szCs w:val="16"/>
          <w:lang w:val="es-ES"/>
        </w:rPr>
        <w:t>.</w:t>
      </w:r>
    </w:p>
  </w:footnote>
  <w:footnote w:id="321">
    <w:p w:rsidR="006A0E1C" w:rsidRPr="00EF190F" w:rsidRDefault="006A0E1C" w:rsidP="006A0E1C">
      <w:pPr>
        <w:tabs>
          <w:tab w:val="left" w:pos="360"/>
        </w:tabs>
        <w:autoSpaceDE w:val="0"/>
        <w:autoSpaceDN w:val="0"/>
        <w:spacing w:line="240" w:lineRule="auto"/>
        <w:ind w:right="4"/>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i/>
          <w:sz w:val="16"/>
          <w:szCs w:val="16"/>
          <w:lang w:val="es-PR"/>
        </w:rPr>
        <w:t>Cfr.</w:t>
      </w:r>
      <w:r w:rsidRPr="00EF190F">
        <w:rPr>
          <w:sz w:val="16"/>
          <w:szCs w:val="16"/>
          <w:lang w:val="es-PR"/>
        </w:rPr>
        <w:t xml:space="preserve"> </w:t>
      </w:r>
      <w:r w:rsidRPr="00EF190F">
        <w:rPr>
          <w:bCs/>
          <w:i/>
          <w:sz w:val="16"/>
          <w:szCs w:val="16"/>
          <w:lang w:val="es-ES_tradnl"/>
        </w:rPr>
        <w:t xml:space="preserve">Caso Hilaire, Constantine y Benjamin y otros Vs. Trinidad y Tobago. Fondo, Reparaciones y Costas. </w:t>
      </w:r>
      <w:r w:rsidRPr="00EF190F">
        <w:rPr>
          <w:bCs/>
          <w:sz w:val="16"/>
          <w:szCs w:val="16"/>
          <w:lang w:val="es-ES_tradnl"/>
        </w:rPr>
        <w:t>Sentencia de 21 de junio de 2002. Serie C No. 94, párr. 145</w:t>
      </w:r>
      <w:r w:rsidRPr="00EF190F">
        <w:rPr>
          <w:sz w:val="16"/>
          <w:szCs w:val="16"/>
          <w:lang w:val="es-PR"/>
        </w:rPr>
        <w:t xml:space="preserve">, y </w:t>
      </w:r>
      <w:r w:rsidRPr="00EF190F">
        <w:rPr>
          <w:i/>
          <w:sz w:val="16"/>
          <w:szCs w:val="16"/>
          <w:lang w:val="es-PR"/>
        </w:rPr>
        <w:t xml:space="preserve">Caso Tenorio Roca y otros Vs. Perú, </w:t>
      </w:r>
      <w:r w:rsidRPr="00EF190F">
        <w:rPr>
          <w:sz w:val="16"/>
          <w:szCs w:val="16"/>
          <w:lang w:val="es-PR"/>
        </w:rPr>
        <w:t>párr. 237.</w:t>
      </w:r>
    </w:p>
  </w:footnote>
  <w:footnote w:id="322">
    <w:p w:rsidR="006A0E1C" w:rsidRPr="00EF190F" w:rsidRDefault="006A0E1C" w:rsidP="006A0E1C">
      <w:pPr>
        <w:pStyle w:val="FootnoteText"/>
        <w:tabs>
          <w:tab w:val="left" w:pos="360"/>
        </w:tabs>
        <w:contextualSpacing/>
        <w:rPr>
          <w:rFonts w:cs="TimesNewRoman"/>
          <w:spacing w:val="-4"/>
          <w:sz w:val="16"/>
          <w:szCs w:val="16"/>
          <w:lang w:val="es-PR"/>
        </w:rPr>
      </w:pPr>
      <w:r w:rsidRPr="00EF190F">
        <w:rPr>
          <w:rStyle w:val="FootnoteReference"/>
          <w:sz w:val="16"/>
          <w:szCs w:val="16"/>
          <w:lang w:val="es-PR"/>
        </w:rPr>
        <w:footnoteRef/>
      </w:r>
      <w:r w:rsidRPr="00EF190F">
        <w:rPr>
          <w:spacing w:val="-4"/>
          <w:sz w:val="16"/>
          <w:szCs w:val="16"/>
          <w:lang w:val="es-PR"/>
        </w:rPr>
        <w:t xml:space="preserve"> </w:t>
      </w:r>
      <w:r w:rsidRPr="00EF190F">
        <w:rPr>
          <w:spacing w:val="-4"/>
          <w:sz w:val="16"/>
          <w:szCs w:val="16"/>
          <w:lang w:val="es-PR"/>
        </w:rPr>
        <w:tab/>
      </w:r>
      <w:r w:rsidRPr="00EF190F">
        <w:rPr>
          <w:i/>
          <w:spacing w:val="-4"/>
          <w:sz w:val="16"/>
          <w:szCs w:val="16"/>
          <w:lang w:val="es-PR"/>
        </w:rPr>
        <w:t>Cfr</w:t>
      </w:r>
      <w:r w:rsidRPr="00EF190F">
        <w:rPr>
          <w:spacing w:val="-4"/>
          <w:sz w:val="16"/>
          <w:szCs w:val="16"/>
          <w:lang w:val="es-PR"/>
        </w:rPr>
        <w:t xml:space="preserve">. </w:t>
      </w:r>
      <w:r w:rsidRPr="00EF190F">
        <w:rPr>
          <w:i/>
          <w:sz w:val="16"/>
          <w:szCs w:val="16"/>
          <w:lang w:val="es-ES"/>
        </w:rPr>
        <w:t xml:space="preserve">Caso Trujillo Oroza Vs. Bolivia. Reparaciones y Costas. </w:t>
      </w:r>
      <w:r w:rsidRPr="00EF190F">
        <w:rPr>
          <w:sz w:val="16"/>
          <w:szCs w:val="16"/>
          <w:lang w:val="es-ES"/>
        </w:rPr>
        <w:t>Sentencia de 27 de febrero de 2002</w:t>
      </w:r>
      <w:r w:rsidRPr="00EF190F">
        <w:rPr>
          <w:i/>
          <w:sz w:val="16"/>
          <w:szCs w:val="16"/>
          <w:lang w:val="es-ES"/>
        </w:rPr>
        <w:t xml:space="preserve">. </w:t>
      </w:r>
      <w:r w:rsidRPr="00EF190F">
        <w:rPr>
          <w:sz w:val="16"/>
          <w:szCs w:val="16"/>
          <w:lang w:val="es-ES"/>
        </w:rPr>
        <w:t>Serie C No. 92, párr.</w:t>
      </w:r>
      <w:r w:rsidRPr="00EF190F">
        <w:rPr>
          <w:sz w:val="16"/>
          <w:szCs w:val="16"/>
        </w:rPr>
        <w:t xml:space="preserve"> 100</w:t>
      </w:r>
      <w:r w:rsidRPr="00EF190F">
        <w:rPr>
          <w:spacing w:val="-4"/>
          <w:sz w:val="16"/>
          <w:szCs w:val="16"/>
          <w:lang w:val="es-PR"/>
        </w:rPr>
        <w:t xml:space="preserve">, y </w:t>
      </w:r>
      <w:r w:rsidRPr="00EF190F">
        <w:rPr>
          <w:i/>
          <w:sz w:val="16"/>
          <w:szCs w:val="16"/>
          <w:lang w:val="es-PR"/>
        </w:rPr>
        <w:t xml:space="preserve">Caso Tenorio Roca y otros Vs. Perú, </w:t>
      </w:r>
      <w:r w:rsidRPr="00EF190F">
        <w:rPr>
          <w:sz w:val="16"/>
          <w:szCs w:val="16"/>
          <w:lang w:val="es-PR"/>
        </w:rPr>
        <w:t>párr. 243</w:t>
      </w:r>
    </w:p>
  </w:footnote>
  <w:footnote w:id="323">
    <w:p w:rsidR="006A0E1C" w:rsidRPr="00EF190F" w:rsidRDefault="006A0E1C" w:rsidP="006A0E1C">
      <w:pPr>
        <w:pStyle w:val="FootnoteText"/>
        <w:tabs>
          <w:tab w:val="left" w:pos="360"/>
        </w:tabs>
        <w:contextualSpacing/>
        <w:rPr>
          <w:spacing w:val="-4"/>
          <w:sz w:val="16"/>
          <w:szCs w:val="16"/>
          <w:lang w:val="es-PR" w:bidi="en-US"/>
        </w:rPr>
      </w:pPr>
      <w:r w:rsidRPr="00EF190F">
        <w:rPr>
          <w:rStyle w:val="FootnoteReference"/>
          <w:sz w:val="16"/>
          <w:szCs w:val="16"/>
          <w:lang w:val="es-PR"/>
        </w:rPr>
        <w:footnoteRef/>
      </w:r>
      <w:r w:rsidRPr="00EF190F">
        <w:rPr>
          <w:spacing w:val="-4"/>
          <w:sz w:val="16"/>
          <w:szCs w:val="16"/>
          <w:lang w:val="es-PR"/>
        </w:rPr>
        <w:t xml:space="preserve"> </w:t>
      </w:r>
      <w:r w:rsidRPr="00EF190F">
        <w:rPr>
          <w:spacing w:val="-4"/>
          <w:sz w:val="16"/>
          <w:szCs w:val="16"/>
          <w:lang w:val="es-PR"/>
        </w:rPr>
        <w:tab/>
      </w:r>
      <w:r w:rsidRPr="00EF190F">
        <w:rPr>
          <w:i/>
          <w:spacing w:val="-4"/>
          <w:sz w:val="16"/>
          <w:szCs w:val="16"/>
          <w:lang w:val="es-PR"/>
        </w:rPr>
        <w:t>Cfr.</w:t>
      </w:r>
      <w:r w:rsidRPr="00EF190F">
        <w:rPr>
          <w:spacing w:val="-4"/>
          <w:sz w:val="16"/>
          <w:szCs w:val="16"/>
          <w:lang w:val="es-PR"/>
        </w:rPr>
        <w:t xml:space="preserve"> Ver </w:t>
      </w:r>
      <w:r w:rsidRPr="00EF190F">
        <w:rPr>
          <w:i/>
          <w:spacing w:val="-4"/>
          <w:sz w:val="16"/>
          <w:szCs w:val="16"/>
          <w:lang w:val="es-PR"/>
        </w:rPr>
        <w:t>inter alia</w:t>
      </w:r>
      <w:r w:rsidRPr="00EF190F">
        <w:rPr>
          <w:spacing w:val="-4"/>
          <w:sz w:val="16"/>
          <w:szCs w:val="16"/>
          <w:lang w:val="es-PR"/>
        </w:rPr>
        <w:t>,</w:t>
      </w:r>
      <w:r w:rsidRPr="00EF190F">
        <w:rPr>
          <w:i/>
          <w:spacing w:val="-4"/>
          <w:sz w:val="16"/>
          <w:szCs w:val="16"/>
          <w:lang w:val="es-PR"/>
        </w:rPr>
        <w:t xml:space="preserve"> </w:t>
      </w:r>
      <w:r w:rsidRPr="00EF190F">
        <w:rPr>
          <w:rFonts w:eastAsia="Calibri"/>
          <w:bCs/>
          <w:i/>
          <w:iCs/>
          <w:spacing w:val="-4"/>
          <w:sz w:val="16"/>
          <w:szCs w:val="16"/>
          <w:lang w:val="es-PR"/>
        </w:rPr>
        <w:t>Caso Velásquez Rodríguez Vs. Honduras. Fondo</w:t>
      </w:r>
      <w:r w:rsidRPr="00EF190F">
        <w:rPr>
          <w:rFonts w:eastAsia="Calibri"/>
          <w:bCs/>
          <w:spacing w:val="-4"/>
          <w:sz w:val="16"/>
          <w:szCs w:val="16"/>
          <w:lang w:val="es-PR"/>
        </w:rPr>
        <w:t xml:space="preserve">, </w:t>
      </w:r>
      <w:r w:rsidRPr="00EF190F">
        <w:rPr>
          <w:spacing w:val="-4"/>
          <w:sz w:val="16"/>
          <w:szCs w:val="16"/>
          <w:lang w:val="es-PR"/>
        </w:rPr>
        <w:t xml:space="preserve">párr. 181; </w:t>
      </w:r>
      <w:r w:rsidRPr="00EF190F">
        <w:rPr>
          <w:i/>
          <w:spacing w:val="-4"/>
          <w:sz w:val="16"/>
          <w:szCs w:val="16"/>
          <w:lang w:val="es-PR"/>
        </w:rPr>
        <w:t xml:space="preserve">Caso Bámaca Velásquez Vs. Guatemala. Fondo. </w:t>
      </w:r>
      <w:r w:rsidRPr="00EF190F">
        <w:rPr>
          <w:spacing w:val="-4"/>
          <w:sz w:val="16"/>
          <w:szCs w:val="16"/>
          <w:lang w:val="es-PR"/>
        </w:rPr>
        <w:t xml:space="preserve">Sentencia de 25 de noviembre de 2000. Serie C No. 70, párr. 201; </w:t>
      </w:r>
      <w:r w:rsidRPr="00EF190F">
        <w:rPr>
          <w:rStyle w:val="Strong"/>
          <w:b w:val="0"/>
          <w:i/>
          <w:color w:val="000000"/>
          <w:sz w:val="16"/>
          <w:szCs w:val="16"/>
          <w:shd w:val="clear" w:color="auto" w:fill="FFFFFF"/>
        </w:rPr>
        <w:t>Caso Barrios Altos Vs. Perú. Fondo</w:t>
      </w:r>
      <w:r w:rsidRPr="00EF190F">
        <w:rPr>
          <w:rStyle w:val="Strong"/>
          <w:b w:val="0"/>
          <w:color w:val="000000"/>
          <w:sz w:val="16"/>
          <w:szCs w:val="16"/>
          <w:shd w:val="clear" w:color="auto" w:fill="FFFFFF"/>
        </w:rPr>
        <w:t>. Sentencia de 14 de marzo de 2001. Serie C No. 75</w:t>
      </w:r>
      <w:r w:rsidRPr="00EF190F">
        <w:rPr>
          <w:spacing w:val="-4"/>
          <w:sz w:val="16"/>
          <w:szCs w:val="16"/>
          <w:lang w:val="es-PR"/>
        </w:rPr>
        <w:t xml:space="preserve">, párr. 48; </w:t>
      </w:r>
      <w:r w:rsidRPr="00EF190F">
        <w:rPr>
          <w:i/>
          <w:spacing w:val="-4"/>
          <w:sz w:val="16"/>
          <w:szCs w:val="16"/>
          <w:lang w:val="es-PR"/>
        </w:rPr>
        <w:t xml:space="preserve">Caso Almonacid Arellano y otros Vs. Chile, </w:t>
      </w:r>
      <w:r w:rsidRPr="00EF190F">
        <w:rPr>
          <w:spacing w:val="-4"/>
          <w:sz w:val="16"/>
          <w:szCs w:val="16"/>
          <w:lang w:val="es-PR"/>
        </w:rPr>
        <w:t xml:space="preserve">párr. 148; </w:t>
      </w:r>
      <w:r w:rsidRPr="00EF190F">
        <w:rPr>
          <w:rStyle w:val="Strong"/>
          <w:b w:val="0"/>
          <w:i/>
          <w:sz w:val="16"/>
          <w:szCs w:val="16"/>
          <w:shd w:val="clear" w:color="auto" w:fill="FFFFFF"/>
          <w:lang w:val="es-PR"/>
        </w:rPr>
        <w:t>Caso La Cantuta Vs. Perú. Fondo, Reparaciones y Costas.</w:t>
      </w:r>
      <w:r w:rsidRPr="00EF190F">
        <w:rPr>
          <w:rStyle w:val="Strong"/>
          <w:b w:val="0"/>
          <w:sz w:val="16"/>
          <w:szCs w:val="16"/>
          <w:shd w:val="clear" w:color="auto" w:fill="FFFFFF"/>
          <w:lang w:val="es-PR"/>
        </w:rPr>
        <w:t xml:space="preserve"> Sentencia de 29 de noviembre de 20056. Serie C No. 162</w:t>
      </w:r>
      <w:r w:rsidRPr="00EF190F">
        <w:rPr>
          <w:spacing w:val="-4"/>
          <w:sz w:val="16"/>
          <w:szCs w:val="16"/>
          <w:lang w:val="es-PR"/>
        </w:rPr>
        <w:t xml:space="preserve">, párr. 222; </w:t>
      </w:r>
      <w:r w:rsidRPr="00EF190F">
        <w:rPr>
          <w:i/>
          <w:sz w:val="16"/>
          <w:szCs w:val="16"/>
          <w:lang w:val="es-PR"/>
        </w:rPr>
        <w:t>Caso Heliodoro Portugal Vs. Panamá.</w:t>
      </w:r>
      <w:r w:rsidRPr="00EF190F">
        <w:rPr>
          <w:i/>
          <w:spacing w:val="-4"/>
          <w:sz w:val="16"/>
          <w:szCs w:val="16"/>
          <w:lang w:val="es-PR"/>
        </w:rPr>
        <w:t xml:space="preserve"> Excepciones Preliminares, Fondo, Reparaciones y Costas. </w:t>
      </w:r>
      <w:r w:rsidRPr="00EF190F">
        <w:rPr>
          <w:spacing w:val="-4"/>
          <w:sz w:val="16"/>
          <w:szCs w:val="16"/>
          <w:lang w:val="es-PR"/>
        </w:rPr>
        <w:t>Sentencia de 12 de agosto de 2008. Serie C No. 186</w:t>
      </w:r>
      <w:r w:rsidRPr="00EF190F">
        <w:rPr>
          <w:spacing w:val="-4"/>
          <w:sz w:val="16"/>
          <w:szCs w:val="16"/>
          <w:lang w:val="es-PR" w:bidi="en-US"/>
        </w:rPr>
        <w:t xml:space="preserve">, </w:t>
      </w:r>
      <w:r w:rsidRPr="00EF190F">
        <w:rPr>
          <w:spacing w:val="-4"/>
          <w:sz w:val="16"/>
          <w:szCs w:val="16"/>
          <w:lang w:val="es-PR"/>
        </w:rPr>
        <w:t xml:space="preserve">párrs. 243 y 244, y </w:t>
      </w:r>
      <w:r w:rsidRPr="00EF190F">
        <w:rPr>
          <w:rStyle w:val="Strong"/>
          <w:b w:val="0"/>
          <w:i/>
          <w:color w:val="000000"/>
          <w:sz w:val="16"/>
          <w:szCs w:val="16"/>
          <w:shd w:val="clear" w:color="auto" w:fill="FFFFFF"/>
        </w:rPr>
        <w:t>Caso Kawas Fernández Vs. Honduras. Fondo, Reparaciones y Costas</w:t>
      </w:r>
      <w:r w:rsidRPr="00EF190F">
        <w:rPr>
          <w:rStyle w:val="Strong"/>
          <w:b w:val="0"/>
          <w:color w:val="000000"/>
          <w:sz w:val="16"/>
          <w:szCs w:val="16"/>
          <w:shd w:val="clear" w:color="auto" w:fill="FFFFFF"/>
        </w:rPr>
        <w:t>. Sentencia de 3 de abril de 2009. Serie C No. 196</w:t>
      </w:r>
      <w:r w:rsidRPr="00EF190F">
        <w:rPr>
          <w:spacing w:val="-4"/>
          <w:sz w:val="16"/>
          <w:szCs w:val="16"/>
          <w:lang w:val="es-PR"/>
        </w:rPr>
        <w:t>, párr. 117</w:t>
      </w:r>
      <w:r w:rsidRPr="00EF190F">
        <w:rPr>
          <w:spacing w:val="-4"/>
          <w:sz w:val="16"/>
          <w:szCs w:val="16"/>
          <w:lang w:val="es-PR" w:bidi="en-US"/>
        </w:rPr>
        <w:t xml:space="preserve">. </w:t>
      </w:r>
    </w:p>
  </w:footnote>
  <w:footnote w:id="324">
    <w:p w:rsidR="006A0E1C" w:rsidRPr="00EF190F" w:rsidRDefault="006A0E1C" w:rsidP="006A0E1C">
      <w:pPr>
        <w:pStyle w:val="FootnoteText"/>
        <w:tabs>
          <w:tab w:val="left" w:pos="360"/>
          <w:tab w:val="left" w:pos="720"/>
        </w:tabs>
        <w:contextualSpacing/>
        <w:rPr>
          <w:spacing w:val="-4"/>
          <w:sz w:val="16"/>
          <w:szCs w:val="16"/>
          <w:lang w:val="es-PR"/>
        </w:rPr>
      </w:pPr>
      <w:r w:rsidRPr="00EF190F">
        <w:rPr>
          <w:rStyle w:val="FootnoteReference"/>
          <w:sz w:val="16"/>
          <w:szCs w:val="16"/>
          <w:lang w:val="es-PR"/>
        </w:rPr>
        <w:footnoteRef/>
      </w:r>
      <w:r w:rsidRPr="00EF190F">
        <w:rPr>
          <w:spacing w:val="-4"/>
          <w:sz w:val="16"/>
          <w:szCs w:val="16"/>
          <w:lang w:val="es-PR"/>
        </w:rPr>
        <w:t xml:space="preserve"> </w:t>
      </w:r>
      <w:r w:rsidRPr="00EF190F">
        <w:rPr>
          <w:spacing w:val="-4"/>
          <w:sz w:val="16"/>
          <w:szCs w:val="16"/>
          <w:lang w:val="es-PR"/>
        </w:rPr>
        <w:tab/>
        <w:t xml:space="preserve">En este sentido, en su estudio sobre el derecho a conocer la verdad, el Alto Comisionado de las Naciones Unidas para los Derechos Humanos recogió que distintas declaraciones e instrumentos internacionales han reconocido el derecho a conocer la verdad vinculado con el derecho a obtener y solicitar información, el derecho a la justicia, el deber de combatir la impunidad frente a las violaciones de derechos humanos, el derecho a un recurso judicial efectivo y el derecho a la vida privada y familiar. Además, en relación con los familiares de las víctimas, ha sido vinculado con el derecho a la integridad de los familiares de la víctima (salud mental), el derecho a obtener una reparación en casos de graves violaciones a los derechos humanos, el derecho a no ser objeto de tortura ni malos tratos y, en ciertas circunstancias, el derecho de las niñas y los niños a recibir una protección especial. </w:t>
      </w:r>
      <w:r w:rsidRPr="00EF190F">
        <w:rPr>
          <w:i/>
          <w:spacing w:val="-4"/>
          <w:sz w:val="16"/>
          <w:szCs w:val="16"/>
          <w:lang w:val="es-PR"/>
        </w:rPr>
        <w:t xml:space="preserve">Cfr. </w:t>
      </w:r>
      <w:r w:rsidRPr="00EF190F">
        <w:rPr>
          <w:rFonts w:eastAsia="Calibri" w:cs="Arial"/>
          <w:spacing w:val="-4"/>
          <w:sz w:val="16"/>
          <w:szCs w:val="16"/>
          <w:lang w:val="es-PR"/>
        </w:rPr>
        <w:t xml:space="preserve">Informe de la Oficina del Alto Comisionado de las Naciones Unidas para los Derechos Humanos. </w:t>
      </w:r>
      <w:r w:rsidRPr="00EF190F">
        <w:rPr>
          <w:rStyle w:val="Emphasis"/>
          <w:rFonts w:eastAsia="Calibri" w:cs="Arial"/>
          <w:b w:val="0"/>
          <w:spacing w:val="-4"/>
          <w:sz w:val="16"/>
          <w:szCs w:val="16"/>
          <w:lang w:val="es-PR"/>
        </w:rPr>
        <w:t>Estudio sobre el derecho a la verdad</w:t>
      </w:r>
      <w:r w:rsidRPr="00EF190F">
        <w:rPr>
          <w:rFonts w:eastAsia="Calibri" w:cs="Arial"/>
          <w:spacing w:val="-4"/>
          <w:sz w:val="16"/>
          <w:szCs w:val="16"/>
          <w:lang w:val="es-PR"/>
        </w:rPr>
        <w:t>, U.N. Doc. E/CN.4/2006/91 de 9 de enero de 2006</w:t>
      </w:r>
      <w:r w:rsidRPr="00EF190F">
        <w:rPr>
          <w:spacing w:val="-4"/>
          <w:sz w:val="16"/>
          <w:szCs w:val="16"/>
          <w:lang w:val="es-PR"/>
        </w:rPr>
        <w:t>.</w:t>
      </w:r>
    </w:p>
  </w:footnote>
  <w:footnote w:id="325">
    <w:p w:rsidR="006A0E1C" w:rsidRPr="00EF190F" w:rsidRDefault="006A0E1C" w:rsidP="006A0E1C">
      <w:pPr>
        <w:tabs>
          <w:tab w:val="left" w:pos="360"/>
        </w:tabs>
        <w:autoSpaceDE w:val="0"/>
        <w:autoSpaceDN w:val="0"/>
        <w:spacing w:line="240" w:lineRule="auto"/>
        <w:ind w:right="-138"/>
        <w:rPr>
          <w:sz w:val="16"/>
          <w:szCs w:val="16"/>
          <w:lang w:val="es-PR"/>
        </w:rPr>
      </w:pPr>
      <w:r w:rsidRPr="00EF190F">
        <w:rPr>
          <w:rStyle w:val="FootnoteReference"/>
          <w:sz w:val="16"/>
          <w:szCs w:val="16"/>
        </w:rPr>
        <w:footnoteRef/>
      </w:r>
      <w:r w:rsidRPr="00EF190F">
        <w:rPr>
          <w:sz w:val="16"/>
          <w:szCs w:val="16"/>
          <w:lang w:val="es-PR"/>
        </w:rPr>
        <w:t xml:space="preserve"> </w:t>
      </w:r>
      <w:r w:rsidRPr="00EF190F">
        <w:rPr>
          <w:sz w:val="16"/>
          <w:szCs w:val="16"/>
          <w:lang w:val="es-PR"/>
        </w:rPr>
        <w:tab/>
      </w:r>
      <w:r w:rsidRPr="00EF190F">
        <w:rPr>
          <w:i/>
          <w:sz w:val="16"/>
          <w:szCs w:val="16"/>
          <w:lang w:val="es-PR"/>
        </w:rPr>
        <w:t>12 Casos Guatemaltecos.</w:t>
      </w:r>
      <w:r w:rsidRPr="00EF190F">
        <w:rPr>
          <w:sz w:val="16"/>
          <w:szCs w:val="16"/>
          <w:lang w:val="es-PR"/>
        </w:rPr>
        <w:t xml:space="preserve"> </w:t>
      </w:r>
      <w:r w:rsidRPr="00EF190F">
        <w:rPr>
          <w:i/>
          <w:sz w:val="16"/>
          <w:szCs w:val="16"/>
          <w:lang w:val="es-PR"/>
        </w:rPr>
        <w:t>Supervisión de Cumplimiento de Sentencia</w:t>
      </w:r>
      <w:r w:rsidRPr="00EF190F">
        <w:rPr>
          <w:sz w:val="16"/>
          <w:szCs w:val="16"/>
        </w:rPr>
        <w:t xml:space="preserve">. Resolución de la Corte Interamericana de Derechos Humanos de 24 de noviembre de 2015, considerando 125. </w:t>
      </w:r>
    </w:p>
  </w:footnote>
  <w:footnote w:id="326">
    <w:p w:rsidR="006A0E1C" w:rsidRPr="00EF190F" w:rsidRDefault="006A0E1C" w:rsidP="006A0E1C">
      <w:pPr>
        <w:pStyle w:val="FootnoteText"/>
        <w:tabs>
          <w:tab w:val="left" w:pos="360"/>
        </w:tabs>
        <w:contextualSpacing/>
        <w:rPr>
          <w:sz w:val="16"/>
          <w:szCs w:val="16"/>
          <w:lang w:val="es-CR"/>
        </w:rPr>
      </w:pPr>
      <w:r w:rsidRPr="00EF190F">
        <w:rPr>
          <w:rStyle w:val="FootnoteReference"/>
          <w:rFonts w:eastAsia="Calibri"/>
          <w:spacing w:val="-4"/>
          <w:sz w:val="16"/>
          <w:szCs w:val="16"/>
        </w:rPr>
        <w:footnoteRef/>
      </w:r>
      <w:r w:rsidRPr="00EF190F">
        <w:rPr>
          <w:sz w:val="16"/>
          <w:szCs w:val="16"/>
        </w:rPr>
        <w:tab/>
      </w:r>
      <w:r w:rsidRPr="00EF190F">
        <w:rPr>
          <w:sz w:val="16"/>
          <w:szCs w:val="16"/>
          <w:lang w:val="es-CR"/>
        </w:rPr>
        <w:t>El artículo 63.1 de la Convención establece: “Cuando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327">
    <w:p w:rsidR="006A0E1C" w:rsidRPr="00EF190F" w:rsidRDefault="006A0E1C" w:rsidP="006A0E1C">
      <w:pPr>
        <w:pStyle w:val="FootnoteText"/>
        <w:tabs>
          <w:tab w:val="left" w:pos="360"/>
        </w:tabs>
        <w:contextualSpacing/>
        <w:rPr>
          <w:sz w:val="16"/>
          <w:szCs w:val="16"/>
        </w:rPr>
      </w:pPr>
      <w:r w:rsidRPr="00EF190F">
        <w:rPr>
          <w:rStyle w:val="FootnoteReference"/>
          <w:rFonts w:eastAsia="Calibri"/>
          <w:spacing w:val="-4"/>
          <w:sz w:val="16"/>
          <w:szCs w:val="16"/>
        </w:rPr>
        <w:footnoteRef/>
      </w:r>
      <w:r w:rsidRPr="00EF190F">
        <w:rPr>
          <w:sz w:val="16"/>
          <w:szCs w:val="16"/>
        </w:rPr>
        <w:tab/>
      </w:r>
      <w:r w:rsidRPr="00EF190F">
        <w:rPr>
          <w:i/>
          <w:sz w:val="16"/>
          <w:szCs w:val="16"/>
        </w:rPr>
        <w:t>Cfr. Caso Velásquez Rodríguez Vs. Honduras. Reparaciones y Costas</w:t>
      </w:r>
      <w:r w:rsidRPr="00EF190F">
        <w:rPr>
          <w:sz w:val="16"/>
          <w:szCs w:val="16"/>
        </w:rPr>
        <w:t>. Sentencia de 21 de julio de 1989. Serie C No. 7, párr. 25, y</w:t>
      </w:r>
      <w:r w:rsidRPr="00EF190F">
        <w:rPr>
          <w:b/>
          <w:sz w:val="16"/>
          <w:szCs w:val="16"/>
        </w:rPr>
        <w:t xml:space="preserve"> </w:t>
      </w:r>
      <w:r w:rsidRPr="00EF190F">
        <w:rPr>
          <w:rStyle w:val="Strong"/>
          <w:b w:val="0"/>
          <w:i/>
          <w:color w:val="000000"/>
          <w:sz w:val="16"/>
          <w:szCs w:val="16"/>
          <w:shd w:val="clear" w:color="auto" w:fill="FFFFFF"/>
        </w:rPr>
        <w:t>Caso Herrera Espinoza y otros Vs. Ecuador. Excepciones Preliminares, Fondo, Reparaciones y Costas</w:t>
      </w:r>
      <w:r w:rsidRPr="00EF190F">
        <w:rPr>
          <w:rStyle w:val="Strong"/>
          <w:b w:val="0"/>
          <w:color w:val="000000"/>
          <w:sz w:val="16"/>
          <w:szCs w:val="16"/>
          <w:shd w:val="clear" w:color="auto" w:fill="FFFFFF"/>
        </w:rPr>
        <w:t>. Sentencia de 1 de septiembre de 2016. Serie C No. 316, párr. 210.</w:t>
      </w:r>
    </w:p>
  </w:footnote>
  <w:footnote w:id="328">
    <w:p w:rsidR="006A0E1C" w:rsidRPr="00EF190F" w:rsidRDefault="006A0E1C" w:rsidP="006A0E1C">
      <w:pPr>
        <w:pStyle w:val="FootnoteText"/>
        <w:tabs>
          <w:tab w:val="left" w:pos="360"/>
        </w:tabs>
        <w:contextualSpacing/>
        <w:rPr>
          <w:sz w:val="16"/>
          <w:szCs w:val="16"/>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z w:val="16"/>
          <w:szCs w:val="16"/>
          <w:lang w:val="es-PR"/>
        </w:rPr>
        <w:tab/>
      </w:r>
      <w:r w:rsidRPr="00EF190F">
        <w:rPr>
          <w:i/>
          <w:sz w:val="16"/>
          <w:szCs w:val="16"/>
          <w:lang w:val="es-PR"/>
        </w:rPr>
        <w:t xml:space="preserve">Cfr. </w:t>
      </w:r>
      <w:r w:rsidRPr="00EF190F">
        <w:rPr>
          <w:rStyle w:val="FootnoteTextChar"/>
          <w:rFonts w:eastAsiaTheme="minorHAnsi" w:cstheme="minorHAnsi"/>
          <w:i/>
          <w:spacing w:val="-4"/>
          <w:sz w:val="16"/>
          <w:szCs w:val="16"/>
        </w:rPr>
        <w:t>Caso Ticona Estrada y otros Vs. Bolivia.</w:t>
      </w:r>
      <w:r w:rsidRPr="00EF190F">
        <w:rPr>
          <w:rStyle w:val="FootnoteTextChar"/>
          <w:rFonts w:eastAsiaTheme="minorHAnsi" w:cstheme="minorHAnsi"/>
          <w:spacing w:val="-4"/>
          <w:sz w:val="16"/>
          <w:szCs w:val="16"/>
        </w:rPr>
        <w:t xml:space="preserve"> </w:t>
      </w:r>
      <w:r w:rsidRPr="00EF190F">
        <w:rPr>
          <w:i/>
          <w:spacing w:val="-4"/>
          <w:sz w:val="16"/>
          <w:szCs w:val="16"/>
        </w:rPr>
        <w:t>Fondo, Reparaciones y Costas</w:t>
      </w:r>
      <w:r w:rsidRPr="00EF190F">
        <w:rPr>
          <w:spacing w:val="-4"/>
          <w:sz w:val="16"/>
          <w:szCs w:val="16"/>
        </w:rPr>
        <w:t>. Sentencia de 27 de noviembre de 2008. Serie C No. 191,</w:t>
      </w:r>
      <w:r w:rsidRPr="00EF190F">
        <w:rPr>
          <w:rStyle w:val="FootnoteTextChar"/>
          <w:rFonts w:eastAsiaTheme="minorHAnsi" w:cstheme="minorHAnsi"/>
          <w:spacing w:val="-4"/>
          <w:sz w:val="16"/>
          <w:szCs w:val="16"/>
        </w:rPr>
        <w:t xml:space="preserve"> párr. 110, y </w:t>
      </w:r>
      <w:r w:rsidRPr="00EF190F">
        <w:rPr>
          <w:rStyle w:val="Strong"/>
          <w:b w:val="0"/>
          <w:i/>
          <w:color w:val="000000"/>
          <w:sz w:val="16"/>
          <w:szCs w:val="16"/>
          <w:shd w:val="clear" w:color="auto" w:fill="FFFFFF"/>
        </w:rPr>
        <w:t>Caso Herrera Espinoza y otros Vs. Ecuador</w:t>
      </w:r>
      <w:r w:rsidRPr="00EF190F">
        <w:rPr>
          <w:rStyle w:val="Strong"/>
          <w:b w:val="0"/>
          <w:color w:val="000000"/>
          <w:sz w:val="16"/>
          <w:szCs w:val="16"/>
          <w:shd w:val="clear" w:color="auto" w:fill="FFFFFF"/>
        </w:rPr>
        <w:t>, párr. 211.</w:t>
      </w:r>
    </w:p>
  </w:footnote>
  <w:footnote w:id="329">
    <w:p w:rsidR="006A0E1C" w:rsidRPr="00EF190F" w:rsidRDefault="006A0E1C" w:rsidP="006A0E1C">
      <w:pPr>
        <w:pStyle w:val="FootnoteText"/>
        <w:tabs>
          <w:tab w:val="left" w:pos="360"/>
        </w:tabs>
        <w:contextualSpacing/>
        <w:rPr>
          <w:sz w:val="16"/>
          <w:szCs w:val="16"/>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z w:val="16"/>
          <w:szCs w:val="16"/>
          <w:lang w:val="es-PR"/>
        </w:rPr>
        <w:tab/>
      </w:r>
      <w:r w:rsidRPr="00EF190F">
        <w:rPr>
          <w:i/>
          <w:sz w:val="16"/>
          <w:szCs w:val="16"/>
          <w:lang w:val="es-PR"/>
        </w:rPr>
        <w:t>Cfr. Caso Velásquez Rodríguez Vs. Honduras. Reparaciones y Costas</w:t>
      </w:r>
      <w:r w:rsidRPr="00EF190F">
        <w:rPr>
          <w:sz w:val="16"/>
          <w:szCs w:val="16"/>
          <w:lang w:val="es-PR"/>
        </w:rPr>
        <w:t xml:space="preserve">, párrs. </w:t>
      </w:r>
      <w:r w:rsidRPr="00EF190F">
        <w:rPr>
          <w:sz w:val="16"/>
          <w:szCs w:val="16"/>
          <w:lang w:val="es-CR"/>
        </w:rPr>
        <w:t xml:space="preserve">25 a 27, y </w:t>
      </w:r>
      <w:r w:rsidRPr="00EF190F">
        <w:rPr>
          <w:rStyle w:val="Strong"/>
          <w:b w:val="0"/>
          <w:i/>
          <w:color w:val="000000"/>
          <w:sz w:val="16"/>
          <w:szCs w:val="16"/>
          <w:shd w:val="clear" w:color="auto" w:fill="FFFFFF"/>
        </w:rPr>
        <w:t>Caso Herrera Espinoza y otros Vs. Ecuador</w:t>
      </w:r>
      <w:r w:rsidRPr="00EF190F">
        <w:rPr>
          <w:rStyle w:val="Strong"/>
          <w:b w:val="0"/>
          <w:color w:val="000000"/>
          <w:sz w:val="16"/>
          <w:szCs w:val="16"/>
          <w:shd w:val="clear" w:color="auto" w:fill="FFFFFF"/>
        </w:rPr>
        <w:t>, párr. 213.</w:t>
      </w:r>
    </w:p>
  </w:footnote>
  <w:footnote w:id="330">
    <w:p w:rsidR="006A0E1C" w:rsidRPr="00EF190F" w:rsidRDefault="006A0E1C" w:rsidP="006A0E1C">
      <w:pPr>
        <w:pStyle w:val="FootnoteText"/>
        <w:tabs>
          <w:tab w:val="left" w:pos="360"/>
        </w:tabs>
        <w:rPr>
          <w:sz w:val="16"/>
          <w:szCs w:val="16"/>
        </w:rPr>
      </w:pPr>
      <w:r w:rsidRPr="00EF190F">
        <w:rPr>
          <w:rStyle w:val="FootnoteReference"/>
          <w:color w:val="000000"/>
          <w:sz w:val="16"/>
          <w:szCs w:val="16"/>
        </w:rPr>
        <w:footnoteRef/>
      </w:r>
      <w:r w:rsidRPr="00EF190F">
        <w:rPr>
          <w:sz w:val="16"/>
          <w:szCs w:val="16"/>
        </w:rPr>
        <w:tab/>
      </w:r>
      <w:r w:rsidRPr="00EF190F">
        <w:rPr>
          <w:i/>
          <w:sz w:val="16"/>
          <w:szCs w:val="16"/>
        </w:rPr>
        <w:t>Cfr.</w:t>
      </w:r>
      <w:r w:rsidRPr="00EF190F">
        <w:rPr>
          <w:b/>
          <w:i/>
          <w:sz w:val="16"/>
          <w:szCs w:val="16"/>
        </w:rPr>
        <w:t xml:space="preserve"> </w:t>
      </w:r>
      <w:r w:rsidRPr="00EF190F">
        <w:rPr>
          <w:rStyle w:val="Strong"/>
          <w:b w:val="0"/>
          <w:i/>
          <w:color w:val="000000"/>
          <w:sz w:val="16"/>
          <w:szCs w:val="16"/>
          <w:shd w:val="clear" w:color="auto" w:fill="FFFFFF"/>
        </w:rPr>
        <w:t>Caso de la Masacre de Las Dos Erres Vs. Guatemala</w:t>
      </w:r>
      <w:r w:rsidRPr="00EF190F">
        <w:rPr>
          <w:i/>
          <w:sz w:val="16"/>
          <w:szCs w:val="16"/>
        </w:rPr>
        <w:t>,</w:t>
      </w:r>
      <w:r w:rsidRPr="00EF190F">
        <w:rPr>
          <w:sz w:val="16"/>
          <w:szCs w:val="16"/>
        </w:rPr>
        <w:t xml:space="preserve"> párr. 226, y</w:t>
      </w:r>
      <w:r w:rsidRPr="00EF190F">
        <w:rPr>
          <w:i/>
          <w:sz w:val="16"/>
          <w:szCs w:val="16"/>
        </w:rPr>
        <w:t xml:space="preserve"> Caso Masacres De El Mozote y Lugares Aledaños Vs. El Salvador</w:t>
      </w:r>
      <w:r w:rsidRPr="00EF190F">
        <w:rPr>
          <w:sz w:val="16"/>
          <w:szCs w:val="16"/>
        </w:rPr>
        <w:t>, párr. 305.</w:t>
      </w:r>
    </w:p>
  </w:footnote>
  <w:footnote w:id="331">
    <w:p w:rsidR="006A0E1C" w:rsidRPr="00EF190F" w:rsidRDefault="006A0E1C" w:rsidP="006A0E1C">
      <w:pPr>
        <w:pStyle w:val="FootnoteText"/>
        <w:ind w:right="-58"/>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Cfr. Caso de la Masacre de la Rochela Vs. Colombia</w:t>
      </w:r>
      <w:r w:rsidRPr="00EF190F">
        <w:rPr>
          <w:sz w:val="16"/>
          <w:szCs w:val="16"/>
        </w:rPr>
        <w:t xml:space="preserve">. </w:t>
      </w:r>
      <w:r w:rsidRPr="00EF190F">
        <w:rPr>
          <w:i/>
          <w:sz w:val="16"/>
          <w:szCs w:val="16"/>
        </w:rPr>
        <w:t xml:space="preserve">Fondo, Reparaciones y Costas. </w:t>
      </w:r>
      <w:r w:rsidRPr="00EF190F">
        <w:rPr>
          <w:sz w:val="16"/>
          <w:szCs w:val="16"/>
        </w:rPr>
        <w:t xml:space="preserve">Sentencia de 11 de mayo de 2007. Serie C No. 163, párr. 233, y </w:t>
      </w:r>
      <w:r w:rsidRPr="00EF190F">
        <w:rPr>
          <w:rStyle w:val="Strong"/>
          <w:b w:val="0"/>
          <w:i/>
          <w:color w:val="000000"/>
          <w:sz w:val="16"/>
          <w:szCs w:val="16"/>
          <w:shd w:val="clear" w:color="auto" w:fill="FFFFFF"/>
        </w:rPr>
        <w:t>Caso Herrera Espinoza y otros Vs. Ecuador</w:t>
      </w:r>
      <w:r w:rsidRPr="00EF190F">
        <w:rPr>
          <w:rStyle w:val="Strong"/>
          <w:b w:val="0"/>
          <w:color w:val="000000"/>
          <w:sz w:val="16"/>
          <w:szCs w:val="16"/>
          <w:shd w:val="clear" w:color="auto" w:fill="FFFFFF"/>
        </w:rPr>
        <w:t>, párr. 212.</w:t>
      </w:r>
    </w:p>
  </w:footnote>
  <w:footnote w:id="332">
    <w:p w:rsidR="006A0E1C" w:rsidRPr="00EF190F" w:rsidRDefault="006A0E1C" w:rsidP="006A0E1C">
      <w:pPr>
        <w:pStyle w:val="FootnoteText"/>
        <w:tabs>
          <w:tab w:val="left" w:pos="360"/>
        </w:tabs>
        <w:contextualSpacing/>
        <w:rPr>
          <w:rFonts w:eastAsia="Calibri" w:cs="Calibri"/>
          <w:sz w:val="16"/>
          <w:szCs w:val="16"/>
          <w:lang w:val="es-CR" w:eastAsia="en-US"/>
        </w:rPr>
      </w:pPr>
      <w:r w:rsidRPr="00EF190F">
        <w:rPr>
          <w:rStyle w:val="FootnoteReference"/>
          <w:sz w:val="16"/>
          <w:szCs w:val="16"/>
        </w:rPr>
        <w:footnoteRef/>
      </w:r>
      <w:r w:rsidRPr="00EF190F">
        <w:rPr>
          <w:sz w:val="16"/>
          <w:szCs w:val="16"/>
        </w:rPr>
        <w:t xml:space="preserve"> </w:t>
      </w:r>
      <w:r w:rsidRPr="00EF190F">
        <w:rPr>
          <w:sz w:val="16"/>
          <w:szCs w:val="16"/>
          <w:lang w:val="es-PR"/>
        </w:rPr>
        <w:tab/>
        <w:t xml:space="preserve">Indicaron que los montos de las indemnizaciones “no constituyen un resarcimiento que compense justa y dignamente el daño moral” causado </w:t>
      </w:r>
      <w:r w:rsidRPr="00EF190F">
        <w:rPr>
          <w:rFonts w:eastAsia="Calibri" w:cs="Calibri"/>
          <w:sz w:val="16"/>
          <w:szCs w:val="16"/>
          <w:lang w:val="es-CR" w:eastAsia="en-US"/>
        </w:rPr>
        <w:t>realmente a sus comunidades</w:t>
      </w:r>
      <w:r w:rsidRPr="00EF190F">
        <w:rPr>
          <w:sz w:val="16"/>
          <w:szCs w:val="16"/>
          <w:lang w:val="es-PR"/>
        </w:rPr>
        <w:t xml:space="preserve">; que el proceso para el pago es lento; que hay </w:t>
      </w:r>
      <w:r w:rsidRPr="00EF190F">
        <w:rPr>
          <w:rFonts w:eastAsia="Calibri" w:cs="Calibri"/>
          <w:sz w:val="16"/>
          <w:szCs w:val="16"/>
          <w:lang w:val="es-CR" w:eastAsia="en-US"/>
        </w:rPr>
        <w:t>confusión familiar sobre quién recibe el pago y quién no, lo que genera conflicto internamente entre los grupos</w:t>
      </w:r>
      <w:r w:rsidRPr="00EF190F">
        <w:rPr>
          <w:sz w:val="16"/>
          <w:szCs w:val="16"/>
          <w:lang w:val="es-PR"/>
        </w:rPr>
        <w:t xml:space="preserve"> </w:t>
      </w:r>
      <w:r w:rsidRPr="00EF190F">
        <w:rPr>
          <w:rFonts w:eastAsia="Calibri" w:cs="Calibri"/>
          <w:sz w:val="16"/>
          <w:szCs w:val="16"/>
          <w:lang w:val="es-CR" w:eastAsia="en-US"/>
        </w:rPr>
        <w:t xml:space="preserve">familiares; que se excluye como beneficiarios a los hijos e hijas cuyos padres o madres sufrieron los hechos violatorios; que produjo molestia, “heridas y divisionismo” en las comunidades afectadas el hecho de que integrantes de las PAC recibieron un pago por sus servicios –muchas veces criminales− antes de haber indemnizado a las víctimas; </w:t>
      </w:r>
      <w:r w:rsidRPr="00EF190F">
        <w:rPr>
          <w:sz w:val="16"/>
          <w:szCs w:val="16"/>
          <w:lang w:val="es-PR"/>
        </w:rPr>
        <w:t xml:space="preserve">que víctimas de graves violaciones de sus derechos fueron excluidas del programa por haber pertenecido a las PAC, pese a que la pertenencia a estas en muchos casos era obligatoria; que las “viviendas mejoradas” que se comenzaron a construir en el año 2010 no son culturalmente adecuadas; que los materiales para su construcción fue entregado en la carretera más próxima a las comunidades, generando gastos de transporte, y que algunas familias cuentan con el material, ya deteriorado, sin que hayan construido su hogar debido a que están integradas por mujeres y personas de edad avanzada. </w:t>
      </w:r>
    </w:p>
  </w:footnote>
  <w:footnote w:id="333">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sz w:val="16"/>
          <w:szCs w:val="16"/>
          <w:lang w:val="es-CR"/>
        </w:rPr>
        <w:t xml:space="preserve">Convenios y finiquitos de “Pago de Resarcimiento Económico” (expediente de prueba </w:t>
      </w:r>
      <w:r w:rsidRPr="00EF190F">
        <w:rPr>
          <w:sz w:val="16"/>
          <w:szCs w:val="16"/>
        </w:rPr>
        <w:t xml:space="preserve">folios 10194 y 10198, entre otros). Dichos finiquitos indican que las personas que reciben los pagos eximen de toda responsabilidad al PNR y al Estado por las demandas que pudieran plantear otras personas con igual o mejor derecho de ser beneficiarias, lo cual no es equivalente a eximir al Estado de toda responsabilidad por los hechos del caso. </w:t>
      </w:r>
    </w:p>
  </w:footnote>
  <w:footnote w:id="334">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Convenios y finiquitos de “Pago de Resarcimiento Económico” </w:t>
      </w:r>
      <w:r w:rsidRPr="00EF190F">
        <w:rPr>
          <w:sz w:val="16"/>
          <w:szCs w:val="16"/>
          <w:lang w:val="es-CR"/>
        </w:rPr>
        <w:t>(expediente de prueba</w:t>
      </w:r>
      <w:r w:rsidRPr="00EF190F">
        <w:rPr>
          <w:sz w:val="16"/>
          <w:szCs w:val="16"/>
        </w:rPr>
        <w:t xml:space="preserve"> folios, 10224 y 10588, entre otros).</w:t>
      </w:r>
    </w:p>
  </w:footnote>
  <w:footnote w:id="335">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Con la excepción de la entrega de una vivienda a Juana García Depaz y a Rosa García de Paz, respectivamente, así como el dictamen favorable de seis viviendas a favor de los beneficiarios de las siguientes personas: </w:t>
      </w:r>
      <w:r w:rsidRPr="00EF190F">
        <w:rPr>
          <w:color w:val="1E1E1E"/>
          <w:sz w:val="16"/>
          <w:szCs w:val="16"/>
          <w:lang w:val="es-CR"/>
        </w:rPr>
        <w:t>C</w:t>
      </w:r>
      <w:r w:rsidRPr="00EF190F">
        <w:rPr>
          <w:color w:val="373838"/>
          <w:sz w:val="16"/>
          <w:szCs w:val="16"/>
          <w:lang w:val="es-CR"/>
        </w:rPr>
        <w:t>l</w:t>
      </w:r>
      <w:r w:rsidRPr="00EF190F">
        <w:rPr>
          <w:color w:val="1E1E1E"/>
          <w:sz w:val="16"/>
          <w:szCs w:val="16"/>
          <w:lang w:val="es-CR"/>
        </w:rPr>
        <w:t>emente Juáre</w:t>
      </w:r>
      <w:r w:rsidRPr="00EF190F">
        <w:rPr>
          <w:color w:val="373838"/>
          <w:sz w:val="16"/>
          <w:szCs w:val="16"/>
          <w:lang w:val="es-CR"/>
        </w:rPr>
        <w:t xml:space="preserve">z </w:t>
      </w:r>
      <w:r w:rsidRPr="00EF190F">
        <w:rPr>
          <w:color w:val="1E1E1E"/>
          <w:sz w:val="16"/>
          <w:szCs w:val="16"/>
          <w:lang w:val="es-CR"/>
        </w:rPr>
        <w:t>l</w:t>
      </w:r>
      <w:r w:rsidRPr="00EF190F">
        <w:rPr>
          <w:color w:val="373838"/>
          <w:sz w:val="16"/>
          <w:szCs w:val="16"/>
          <w:lang w:val="es-CR"/>
        </w:rPr>
        <w:t>x</w:t>
      </w:r>
      <w:r w:rsidRPr="00EF190F">
        <w:rPr>
          <w:color w:val="1E1E1E"/>
          <w:sz w:val="16"/>
          <w:szCs w:val="16"/>
          <w:lang w:val="es-CR"/>
        </w:rPr>
        <w:t>pancoc, Gregorio Valey, E</w:t>
      </w:r>
      <w:r w:rsidRPr="00EF190F">
        <w:rPr>
          <w:color w:val="373838"/>
          <w:sz w:val="16"/>
          <w:szCs w:val="16"/>
          <w:lang w:val="es-CR"/>
        </w:rPr>
        <w:t>us</w:t>
      </w:r>
      <w:r w:rsidRPr="00EF190F">
        <w:rPr>
          <w:color w:val="1E1E1E"/>
          <w:sz w:val="16"/>
          <w:szCs w:val="16"/>
          <w:lang w:val="es-CR"/>
        </w:rPr>
        <w:t xml:space="preserve">ebio Tahuico Timoteo Sic Cujá, Roberto Galileo Chén, </w:t>
      </w:r>
      <w:r w:rsidRPr="00EF190F">
        <w:rPr>
          <w:color w:val="1E1E1E"/>
          <w:sz w:val="16"/>
          <w:szCs w:val="16"/>
        </w:rPr>
        <w:t>Su</w:t>
      </w:r>
      <w:r w:rsidRPr="00EF190F">
        <w:rPr>
          <w:color w:val="373838"/>
          <w:sz w:val="16"/>
          <w:szCs w:val="16"/>
        </w:rPr>
        <w:t>s</w:t>
      </w:r>
      <w:r w:rsidRPr="00EF190F">
        <w:rPr>
          <w:color w:val="1E1E1E"/>
          <w:sz w:val="16"/>
          <w:szCs w:val="16"/>
        </w:rPr>
        <w:t>ana Valey Osorio</w:t>
      </w:r>
      <w:r w:rsidRPr="00EF190F">
        <w:rPr>
          <w:sz w:val="16"/>
          <w:szCs w:val="16"/>
        </w:rPr>
        <w:t xml:space="preserve"> y </w:t>
      </w:r>
      <w:r w:rsidRPr="00EF190F">
        <w:rPr>
          <w:color w:val="292A29"/>
          <w:sz w:val="16"/>
          <w:szCs w:val="16"/>
        </w:rPr>
        <w:t xml:space="preserve">Gabino </w:t>
      </w:r>
      <w:r w:rsidRPr="00EF190F">
        <w:rPr>
          <w:color w:val="1A1A1A"/>
          <w:sz w:val="16"/>
          <w:szCs w:val="16"/>
        </w:rPr>
        <w:t>Román</w:t>
      </w:r>
      <w:r w:rsidRPr="00EF190F">
        <w:rPr>
          <w:sz w:val="16"/>
          <w:szCs w:val="16"/>
        </w:rPr>
        <w:t xml:space="preserve"> (</w:t>
      </w:r>
      <w:r w:rsidRPr="00EF190F">
        <w:rPr>
          <w:sz w:val="16"/>
          <w:szCs w:val="16"/>
          <w:lang w:val="es-CR"/>
        </w:rPr>
        <w:t>expediente de prueba</w:t>
      </w:r>
      <w:r w:rsidRPr="00EF190F">
        <w:rPr>
          <w:sz w:val="16"/>
          <w:szCs w:val="16"/>
        </w:rPr>
        <w:t>, folios 9903 a 9907, 10596 a 10605).</w:t>
      </w:r>
    </w:p>
  </w:footnote>
  <w:footnote w:id="336">
    <w:p w:rsidR="006A0E1C" w:rsidRPr="00EF190F" w:rsidRDefault="006A0E1C" w:rsidP="006A0E1C">
      <w:pPr>
        <w:widowControl/>
        <w:tabs>
          <w:tab w:val="left" w:pos="360"/>
        </w:tabs>
        <w:autoSpaceDE w:val="0"/>
        <w:autoSpaceDN w:val="0"/>
        <w:spacing w:line="240" w:lineRule="auto"/>
        <w:textAlignment w:val="auto"/>
        <w:rPr>
          <w:rFonts w:eastAsia="Calibri"/>
          <w:sz w:val="16"/>
          <w:szCs w:val="16"/>
          <w:lang w:eastAsia="en-US"/>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Cfr.</w:t>
      </w:r>
      <w:r w:rsidRPr="00EF190F">
        <w:rPr>
          <w:sz w:val="16"/>
          <w:szCs w:val="16"/>
        </w:rPr>
        <w:t xml:space="preserve"> </w:t>
      </w:r>
      <w:r w:rsidRPr="00EF190F">
        <w:rPr>
          <w:rFonts w:eastAsia="Calibri"/>
          <w:sz w:val="16"/>
          <w:szCs w:val="16"/>
          <w:lang w:eastAsia="en-US"/>
        </w:rPr>
        <w:t>Copia de las actas de los pagos realizados a miembros de la aldea Chichupac por parte del Programa Nacional de Resarcimiento</w:t>
      </w:r>
      <w:r w:rsidRPr="00EF190F" w:rsidDel="003D16E8">
        <w:rPr>
          <w:sz w:val="16"/>
          <w:szCs w:val="16"/>
        </w:rPr>
        <w:t xml:space="preserve"> </w:t>
      </w:r>
      <w:r w:rsidRPr="00EF190F">
        <w:rPr>
          <w:sz w:val="16"/>
          <w:szCs w:val="16"/>
        </w:rPr>
        <w:t xml:space="preserve">(expediente de prueba, folios 10193 a 10804). </w:t>
      </w:r>
    </w:p>
  </w:footnote>
  <w:footnote w:id="337">
    <w:p w:rsidR="006A0E1C" w:rsidRPr="00EF190F" w:rsidRDefault="006A0E1C" w:rsidP="006A0E1C">
      <w:pPr>
        <w:pStyle w:val="FootnoteText"/>
        <w:tabs>
          <w:tab w:val="left" w:pos="360"/>
        </w:tabs>
        <w:rPr>
          <w:sz w:val="16"/>
          <w:szCs w:val="16"/>
          <w:lang w:val="es-GT"/>
        </w:rPr>
      </w:pPr>
      <w:r w:rsidRPr="00EF190F">
        <w:rPr>
          <w:rStyle w:val="FootnoteReference"/>
          <w:sz w:val="16"/>
          <w:szCs w:val="16"/>
        </w:rPr>
        <w:footnoteRef/>
      </w:r>
      <w:r w:rsidRPr="00EF190F">
        <w:rPr>
          <w:sz w:val="16"/>
          <w:szCs w:val="16"/>
        </w:rPr>
        <w:t xml:space="preserve">  </w:t>
      </w:r>
      <w:r w:rsidRPr="00EF190F">
        <w:rPr>
          <w:sz w:val="16"/>
          <w:szCs w:val="16"/>
        </w:rPr>
        <w:tab/>
        <w:t xml:space="preserve">Al respecto, la Corte advierte que </w:t>
      </w:r>
      <w:r w:rsidRPr="00EF190F">
        <w:rPr>
          <w:sz w:val="16"/>
          <w:szCs w:val="16"/>
          <w:lang w:val="es-GT"/>
        </w:rPr>
        <w:t>el Manual de Criterios Básicos para la Aplicación de las Medidas de Resarcimiento otorgadas por el PNR fue aprobado recién el 7 de enero de 2015, es decir, con posterioridad a la fecha en que fueron expedidos los finiquitos remitidos (expediente de prueba, folios 9952 a 9954).</w:t>
      </w:r>
    </w:p>
  </w:footnote>
  <w:footnote w:id="338">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ab/>
        <w:t xml:space="preserve">En este sentido, en el caso </w:t>
      </w:r>
      <w:r w:rsidRPr="00EF190F">
        <w:rPr>
          <w:i/>
          <w:sz w:val="16"/>
          <w:szCs w:val="16"/>
        </w:rPr>
        <w:t>Masacres de Río Negro Vs. Guatemala</w:t>
      </w:r>
      <w:r w:rsidRPr="00EF190F">
        <w:rPr>
          <w:rFonts w:cs="Helvetica"/>
          <w:sz w:val="16"/>
          <w:szCs w:val="16"/>
        </w:rPr>
        <w:t>,</w:t>
      </w:r>
      <w:r w:rsidRPr="00EF190F">
        <w:rPr>
          <w:sz w:val="16"/>
          <w:szCs w:val="16"/>
        </w:rPr>
        <w:t xml:space="preserve"> este Tribunal observó que en un dictamen del PNR relacionado con dicho caso se establecía “un monto máximo de resarcimiento económico de cuarenta y cuatro mil quetzales en los casos en que el núcleo familiar tenga más de una víctima fatal de ejecución extrajudicial, desaparición forzada o muerte en masacre; este monto también se otorgará a las personas sobrevivientes de torturas o violación sexual cuando además de ellas mismas tengan otra u otras víctimas fatales en un mismo núcleo familiar”. </w:t>
      </w:r>
      <w:r w:rsidRPr="00EF190F">
        <w:rPr>
          <w:i/>
          <w:sz w:val="16"/>
          <w:szCs w:val="16"/>
        </w:rPr>
        <w:t xml:space="preserve">Cfr. Caso Masacres de </w:t>
      </w:r>
      <w:r w:rsidRPr="00EF190F">
        <w:rPr>
          <w:i/>
          <w:sz w:val="16"/>
          <w:szCs w:val="16"/>
          <w:lang w:val="es-CR"/>
        </w:rPr>
        <w:t>Río Negro Vs. Guatemala,</w:t>
      </w:r>
      <w:r w:rsidRPr="00EF190F">
        <w:rPr>
          <w:sz w:val="16"/>
          <w:szCs w:val="16"/>
          <w:lang w:val="es-CR"/>
        </w:rPr>
        <w:t xml:space="preserve"> </w:t>
      </w:r>
      <w:r w:rsidRPr="00EF190F">
        <w:rPr>
          <w:rFonts w:cs="Helvetica"/>
          <w:sz w:val="16"/>
          <w:szCs w:val="16"/>
        </w:rPr>
        <w:t>párr. 302.</w:t>
      </w:r>
    </w:p>
  </w:footnote>
  <w:footnote w:id="339">
    <w:p w:rsidR="006A0E1C" w:rsidRPr="00EF190F" w:rsidRDefault="006A0E1C" w:rsidP="006A0E1C">
      <w:pPr>
        <w:pStyle w:val="FootnoteText"/>
        <w:tabs>
          <w:tab w:val="left" w:pos="360"/>
        </w:tabs>
        <w:contextualSpacing/>
        <w:rPr>
          <w:sz w:val="16"/>
          <w:szCs w:val="16"/>
          <w:lang w:val="es-GT"/>
        </w:rPr>
      </w:pPr>
      <w:r w:rsidRPr="00EF190F">
        <w:rPr>
          <w:rStyle w:val="FootnoteReference"/>
          <w:sz w:val="16"/>
          <w:szCs w:val="16"/>
        </w:rPr>
        <w:footnoteRef/>
      </w:r>
      <w:r w:rsidRPr="00EF190F">
        <w:rPr>
          <w:sz w:val="16"/>
          <w:szCs w:val="16"/>
        </w:rPr>
        <w:t xml:space="preserve"> </w:t>
      </w:r>
      <w:r w:rsidRPr="00EF190F">
        <w:rPr>
          <w:sz w:val="16"/>
          <w:szCs w:val="16"/>
          <w:lang w:val="es-GT"/>
        </w:rPr>
        <w:tab/>
      </w:r>
      <w:r w:rsidRPr="00EF190F">
        <w:rPr>
          <w:i/>
          <w:sz w:val="16"/>
          <w:szCs w:val="16"/>
          <w:lang w:val="es-CR"/>
        </w:rPr>
        <w:t xml:space="preserve">Cfr. Resolución de Supervisión de Cumplimiento de 12 Casos Guatemaltecos, </w:t>
      </w:r>
      <w:r w:rsidRPr="00EF190F">
        <w:rPr>
          <w:sz w:val="16"/>
          <w:szCs w:val="16"/>
          <w:lang w:val="es-CR"/>
        </w:rPr>
        <w:t>considerando 167;</w:t>
      </w:r>
      <w:r w:rsidRPr="00EF190F">
        <w:rPr>
          <w:i/>
          <w:sz w:val="16"/>
          <w:szCs w:val="16"/>
          <w:lang w:val="es-CR"/>
        </w:rPr>
        <w:t xml:space="preserve"> </w:t>
      </w:r>
      <w:r w:rsidRPr="00EF190F">
        <w:rPr>
          <w:rStyle w:val="Strong"/>
          <w:b w:val="0"/>
          <w:i/>
          <w:color w:val="000000"/>
          <w:sz w:val="16"/>
          <w:szCs w:val="16"/>
          <w:shd w:val="clear" w:color="auto" w:fill="FFFFFF"/>
          <w:lang w:val="es-CR"/>
        </w:rPr>
        <w:t xml:space="preserve">Caso de la Masacre de las Dos Erres Vs. Guatemala, </w:t>
      </w:r>
      <w:r w:rsidRPr="00EF190F">
        <w:rPr>
          <w:rStyle w:val="Strong"/>
          <w:b w:val="0"/>
          <w:color w:val="000000"/>
          <w:sz w:val="16"/>
          <w:szCs w:val="16"/>
          <w:shd w:val="clear" w:color="auto" w:fill="FFFFFF"/>
          <w:lang w:val="es-CR"/>
        </w:rPr>
        <w:t xml:space="preserve">párr. 233; </w:t>
      </w:r>
      <w:r w:rsidRPr="00EF190F">
        <w:rPr>
          <w:rStyle w:val="Strong"/>
          <w:b w:val="0"/>
          <w:i/>
          <w:color w:val="000000"/>
          <w:sz w:val="16"/>
          <w:szCs w:val="16"/>
          <w:shd w:val="clear" w:color="auto" w:fill="FFFFFF"/>
          <w:lang w:val="es-CR"/>
        </w:rPr>
        <w:t xml:space="preserve">Caso Masacres de Río Negro Vs. Guatemala, </w:t>
      </w:r>
      <w:r w:rsidRPr="00EF190F">
        <w:rPr>
          <w:rStyle w:val="Strong"/>
          <w:b w:val="0"/>
          <w:color w:val="000000"/>
          <w:sz w:val="16"/>
          <w:szCs w:val="16"/>
          <w:shd w:val="clear" w:color="auto" w:fill="FFFFFF"/>
          <w:lang w:val="es-CR"/>
        </w:rPr>
        <w:t>párr. 257;</w:t>
      </w:r>
      <w:r w:rsidRPr="00EF190F">
        <w:rPr>
          <w:rStyle w:val="FootnoteReference"/>
          <w:b/>
          <w:color w:val="000000"/>
          <w:sz w:val="16"/>
          <w:szCs w:val="16"/>
          <w:shd w:val="clear" w:color="auto" w:fill="FFFFFF"/>
          <w:lang w:val="es-CR"/>
        </w:rPr>
        <w:t xml:space="preserve"> </w:t>
      </w:r>
      <w:r w:rsidRPr="00EF190F">
        <w:rPr>
          <w:rStyle w:val="Strong"/>
          <w:b w:val="0"/>
          <w:i/>
          <w:color w:val="000000"/>
          <w:sz w:val="16"/>
          <w:szCs w:val="16"/>
          <w:shd w:val="clear" w:color="auto" w:fill="FFFFFF"/>
          <w:lang w:val="es-CR"/>
        </w:rPr>
        <w:t>Caso Gudiel Álvarez y otros ("Diario Militar") Vs. Guatemala</w:t>
      </w:r>
      <w:r w:rsidRPr="00EF190F">
        <w:rPr>
          <w:rStyle w:val="Strong"/>
          <w:b w:val="0"/>
          <w:color w:val="000000"/>
          <w:sz w:val="16"/>
          <w:szCs w:val="16"/>
          <w:shd w:val="clear" w:color="auto" w:fill="FFFFFF"/>
          <w:lang w:val="es-CR"/>
        </w:rPr>
        <w:t xml:space="preserve">, párr. 327; </w:t>
      </w:r>
      <w:r w:rsidRPr="00EF190F">
        <w:rPr>
          <w:rStyle w:val="Strong"/>
          <w:b w:val="0"/>
          <w:i/>
          <w:color w:val="000000"/>
          <w:sz w:val="16"/>
          <w:szCs w:val="16"/>
          <w:shd w:val="clear" w:color="auto" w:fill="FFFFFF"/>
          <w:lang w:val="es-CR"/>
        </w:rPr>
        <w:t>Caso García y Familiares Vs. Guatemala</w:t>
      </w:r>
      <w:r w:rsidRPr="00EF190F">
        <w:rPr>
          <w:rStyle w:val="Strong"/>
          <w:b w:val="0"/>
          <w:color w:val="000000"/>
          <w:sz w:val="16"/>
          <w:szCs w:val="16"/>
          <w:shd w:val="clear" w:color="auto" w:fill="FFFFFF"/>
          <w:lang w:val="es-CR"/>
        </w:rPr>
        <w:t>, párr. 196, y</w:t>
      </w:r>
      <w:r w:rsidRPr="00EF190F">
        <w:rPr>
          <w:b/>
          <w:i/>
          <w:sz w:val="16"/>
          <w:szCs w:val="16"/>
          <w:lang w:val="es-CR"/>
        </w:rPr>
        <w:t xml:space="preserve"> </w:t>
      </w:r>
      <w:r w:rsidRPr="00EF190F">
        <w:rPr>
          <w:rStyle w:val="Strong"/>
          <w:b w:val="0"/>
          <w:i/>
          <w:color w:val="000000"/>
          <w:sz w:val="16"/>
          <w:szCs w:val="16"/>
          <w:shd w:val="clear" w:color="auto" w:fill="FFFFFF"/>
          <w:lang w:val="es-CR"/>
        </w:rPr>
        <w:t>Caso Defensor de Derechos Humanos y otros Vs. Guatemala</w:t>
      </w:r>
      <w:r w:rsidRPr="00EF190F">
        <w:rPr>
          <w:rStyle w:val="Strong"/>
          <w:b w:val="0"/>
          <w:color w:val="000000"/>
          <w:sz w:val="16"/>
          <w:szCs w:val="16"/>
          <w:shd w:val="clear" w:color="auto" w:fill="FFFFFF"/>
          <w:lang w:val="es-CR"/>
        </w:rPr>
        <w:t>, párr. 252.</w:t>
      </w:r>
    </w:p>
  </w:footnote>
  <w:footnote w:id="340">
    <w:p w:rsidR="006A0E1C" w:rsidRPr="00EF190F" w:rsidRDefault="006A0E1C" w:rsidP="006A0E1C">
      <w:pPr>
        <w:tabs>
          <w:tab w:val="left" w:pos="360"/>
        </w:tabs>
        <w:autoSpaceDE w:val="0"/>
        <w:autoSpaceDN w:val="0"/>
        <w:spacing w:line="240" w:lineRule="auto"/>
        <w:contextualSpacing/>
        <w:rPr>
          <w:sz w:val="16"/>
          <w:szCs w:val="16"/>
        </w:rPr>
      </w:pPr>
      <w:r w:rsidRPr="00EF190F">
        <w:rPr>
          <w:rStyle w:val="FootnoteReference"/>
          <w:sz w:val="16"/>
          <w:szCs w:val="16"/>
        </w:rPr>
        <w:footnoteRef/>
      </w:r>
      <w:r w:rsidRPr="00EF190F">
        <w:rPr>
          <w:sz w:val="16"/>
          <w:szCs w:val="16"/>
        </w:rPr>
        <w:tab/>
      </w:r>
      <w:r w:rsidRPr="00EF190F">
        <w:rPr>
          <w:i/>
          <w:iCs/>
          <w:sz w:val="16"/>
          <w:szCs w:val="16"/>
        </w:rPr>
        <w:t xml:space="preserve">Cfr. </w:t>
      </w:r>
      <w:r w:rsidRPr="00EF190F">
        <w:rPr>
          <w:i/>
          <w:sz w:val="16"/>
          <w:szCs w:val="16"/>
        </w:rPr>
        <w:t xml:space="preserve">Caso del Caracazo Vs. Venezuela. Reparaciones y Costas. </w:t>
      </w:r>
      <w:r w:rsidRPr="00EF190F">
        <w:rPr>
          <w:sz w:val="16"/>
          <w:szCs w:val="16"/>
        </w:rPr>
        <w:t>Sentencia de 29 de agosto de 2002. Serie C No. 95</w:t>
      </w:r>
      <w:r w:rsidRPr="00EF190F">
        <w:rPr>
          <w:i/>
          <w:sz w:val="16"/>
          <w:szCs w:val="16"/>
        </w:rPr>
        <w:t xml:space="preserve">, </w:t>
      </w:r>
      <w:r w:rsidRPr="00EF190F">
        <w:rPr>
          <w:sz w:val="16"/>
          <w:szCs w:val="16"/>
          <w:lang w:val="es-PR"/>
        </w:rPr>
        <w:t>párr. 118,</w:t>
      </w:r>
      <w:r w:rsidRPr="00EF190F">
        <w:rPr>
          <w:sz w:val="16"/>
          <w:szCs w:val="16"/>
        </w:rPr>
        <w:t xml:space="preserve"> y </w:t>
      </w:r>
      <w:r w:rsidRPr="00EF190F">
        <w:rPr>
          <w:rStyle w:val="Strong"/>
          <w:b w:val="0"/>
          <w:i/>
          <w:sz w:val="16"/>
          <w:szCs w:val="16"/>
          <w:shd w:val="clear" w:color="auto" w:fill="FFFFFF"/>
        </w:rPr>
        <w:t>Caso Tenorio Roca y Otros Vs. Perú</w:t>
      </w:r>
      <w:r w:rsidRPr="00EF190F">
        <w:rPr>
          <w:rStyle w:val="Strong"/>
          <w:b w:val="0"/>
          <w:sz w:val="16"/>
          <w:szCs w:val="16"/>
          <w:shd w:val="clear" w:color="auto" w:fill="FFFFFF"/>
        </w:rPr>
        <w:t>, párr. 269</w:t>
      </w:r>
      <w:r w:rsidRPr="00EF190F">
        <w:rPr>
          <w:sz w:val="16"/>
          <w:szCs w:val="16"/>
        </w:rPr>
        <w:t>.</w:t>
      </w:r>
    </w:p>
  </w:footnote>
  <w:footnote w:id="341">
    <w:p w:rsidR="006A0E1C" w:rsidRPr="00EF190F" w:rsidRDefault="006A0E1C" w:rsidP="006A0E1C">
      <w:pPr>
        <w:pStyle w:val="FootnoteText"/>
        <w:tabs>
          <w:tab w:val="left" w:pos="360"/>
        </w:tabs>
        <w:contextualSpacing/>
        <w:rPr>
          <w:sz w:val="16"/>
          <w:szCs w:val="16"/>
        </w:rPr>
      </w:pPr>
      <w:r w:rsidRPr="00EF190F">
        <w:rPr>
          <w:rStyle w:val="FootnoteReference"/>
          <w:color w:val="000000"/>
          <w:sz w:val="16"/>
          <w:szCs w:val="16"/>
        </w:rPr>
        <w:footnoteRef/>
      </w:r>
      <w:r w:rsidRPr="00EF190F">
        <w:rPr>
          <w:sz w:val="16"/>
          <w:szCs w:val="16"/>
        </w:rPr>
        <w:tab/>
      </w:r>
      <w:r w:rsidRPr="00EF190F">
        <w:rPr>
          <w:i/>
          <w:sz w:val="16"/>
          <w:szCs w:val="16"/>
        </w:rPr>
        <w:t xml:space="preserve">Cfr. Caso </w:t>
      </w:r>
      <w:r w:rsidRPr="00EF190F">
        <w:rPr>
          <w:i/>
          <w:iCs/>
          <w:sz w:val="16"/>
          <w:szCs w:val="16"/>
        </w:rPr>
        <w:t>De L</w:t>
      </w:r>
      <w:r w:rsidRPr="00EF190F">
        <w:rPr>
          <w:i/>
          <w:sz w:val="16"/>
          <w:szCs w:val="16"/>
        </w:rPr>
        <w:t>a Masacre de Las Dos Erres Vs. Guatemala</w:t>
      </w:r>
      <w:r w:rsidRPr="00EF190F">
        <w:rPr>
          <w:iCs/>
          <w:sz w:val="16"/>
          <w:szCs w:val="16"/>
        </w:rPr>
        <w:t>,</w:t>
      </w:r>
      <w:r w:rsidRPr="00EF190F">
        <w:rPr>
          <w:i/>
          <w:iCs/>
          <w:sz w:val="16"/>
          <w:szCs w:val="16"/>
        </w:rPr>
        <w:t xml:space="preserve"> </w:t>
      </w:r>
      <w:r w:rsidRPr="00EF190F">
        <w:rPr>
          <w:iCs/>
          <w:sz w:val="16"/>
          <w:szCs w:val="16"/>
        </w:rPr>
        <w:t xml:space="preserve">párr. 232, </w:t>
      </w:r>
      <w:r w:rsidRPr="00EF190F">
        <w:rPr>
          <w:sz w:val="16"/>
          <w:szCs w:val="16"/>
        </w:rPr>
        <w:t xml:space="preserve">y </w:t>
      </w:r>
      <w:r w:rsidRPr="00EF190F">
        <w:rPr>
          <w:i/>
          <w:sz w:val="16"/>
          <w:szCs w:val="16"/>
        </w:rPr>
        <w:t>Caso Masacres de Rio Negro Vs. Guatemala</w:t>
      </w:r>
      <w:r w:rsidRPr="00EF190F">
        <w:rPr>
          <w:sz w:val="16"/>
          <w:szCs w:val="16"/>
        </w:rPr>
        <w:t>, párr. 259.</w:t>
      </w:r>
    </w:p>
  </w:footnote>
  <w:footnote w:id="342">
    <w:p w:rsidR="006A0E1C" w:rsidRPr="00EF190F" w:rsidRDefault="006A0E1C" w:rsidP="006A0E1C">
      <w:pPr>
        <w:pStyle w:val="FootnoteText"/>
        <w:tabs>
          <w:tab w:val="left" w:pos="360"/>
        </w:tabs>
        <w:contextualSpacing/>
        <w:rPr>
          <w:sz w:val="16"/>
          <w:szCs w:val="16"/>
          <w:lang w:val="es-MX"/>
        </w:rPr>
      </w:pPr>
      <w:r w:rsidRPr="00EF190F">
        <w:rPr>
          <w:rStyle w:val="FootnoteReference"/>
          <w:sz w:val="16"/>
          <w:szCs w:val="16"/>
        </w:rPr>
        <w:footnoteRef/>
      </w:r>
      <w:r w:rsidRPr="00EF190F">
        <w:rPr>
          <w:sz w:val="16"/>
          <w:szCs w:val="16"/>
        </w:rPr>
        <w:t xml:space="preserve"> </w:t>
      </w:r>
      <w:r w:rsidRPr="00EF190F">
        <w:rPr>
          <w:sz w:val="16"/>
          <w:szCs w:val="16"/>
          <w:lang w:val="es-MX"/>
        </w:rPr>
        <w:tab/>
      </w:r>
      <w:r w:rsidRPr="00EF190F">
        <w:rPr>
          <w:i/>
          <w:sz w:val="16"/>
          <w:szCs w:val="16"/>
          <w:lang w:val="es-MX"/>
        </w:rPr>
        <w:t>Cfr.</w:t>
      </w:r>
      <w:r w:rsidRPr="00EF190F">
        <w:rPr>
          <w:sz w:val="16"/>
          <w:szCs w:val="16"/>
          <w:lang w:val="es-MX"/>
        </w:rPr>
        <w:t xml:space="preserve"> </w:t>
      </w:r>
      <w:r w:rsidRPr="00EF190F">
        <w:rPr>
          <w:i/>
          <w:sz w:val="16"/>
          <w:szCs w:val="16"/>
        </w:rPr>
        <w:t>Caso de la “Panel Blanca” (Paniagua Morales y otros) Vs. Guatemala. Fondo</w:t>
      </w:r>
      <w:r w:rsidRPr="00EF190F">
        <w:rPr>
          <w:sz w:val="16"/>
          <w:szCs w:val="16"/>
        </w:rPr>
        <w:t xml:space="preserve">. Sentencia de 8 de marzo de 1998. Serie C No. 37, párr. 173, y </w:t>
      </w:r>
      <w:r w:rsidRPr="00EF190F">
        <w:rPr>
          <w:i/>
          <w:sz w:val="16"/>
          <w:szCs w:val="16"/>
        </w:rPr>
        <w:t>Caso Masacres de Río Negro Vs. Guatemala</w:t>
      </w:r>
      <w:r w:rsidRPr="00EF190F">
        <w:rPr>
          <w:sz w:val="16"/>
          <w:szCs w:val="16"/>
        </w:rPr>
        <w:t>, párr. 261.</w:t>
      </w:r>
    </w:p>
  </w:footnote>
  <w:footnote w:id="343">
    <w:p w:rsidR="006A0E1C" w:rsidRPr="00EF190F" w:rsidRDefault="006A0E1C" w:rsidP="006A0E1C">
      <w:pPr>
        <w:pStyle w:val="FootnoteText"/>
        <w:tabs>
          <w:tab w:val="left" w:pos="360"/>
        </w:tabs>
        <w:contextualSpacing/>
        <w:rPr>
          <w:sz w:val="16"/>
          <w:szCs w:val="16"/>
        </w:rPr>
      </w:pPr>
      <w:r w:rsidRPr="00EF190F">
        <w:rPr>
          <w:rStyle w:val="FootnoteReference"/>
          <w:color w:val="000000"/>
          <w:sz w:val="16"/>
          <w:szCs w:val="16"/>
        </w:rPr>
        <w:footnoteRef/>
      </w:r>
      <w:r w:rsidRPr="00EF190F">
        <w:rPr>
          <w:sz w:val="16"/>
          <w:szCs w:val="16"/>
        </w:rPr>
        <w:tab/>
      </w:r>
      <w:r w:rsidRPr="00EF190F">
        <w:rPr>
          <w:i/>
          <w:sz w:val="16"/>
          <w:szCs w:val="16"/>
        </w:rPr>
        <w:t>Cfr. Caso Velásquez Rodríguez Vs. Honduras</w:t>
      </w:r>
      <w:r w:rsidRPr="00EF190F">
        <w:rPr>
          <w:sz w:val="16"/>
          <w:szCs w:val="16"/>
        </w:rPr>
        <w:t>.</w:t>
      </w:r>
      <w:r w:rsidRPr="00EF190F">
        <w:rPr>
          <w:i/>
          <w:sz w:val="16"/>
          <w:szCs w:val="16"/>
        </w:rPr>
        <w:t xml:space="preserve"> Fondo</w:t>
      </w:r>
      <w:r w:rsidRPr="00EF190F">
        <w:rPr>
          <w:sz w:val="16"/>
          <w:szCs w:val="16"/>
        </w:rPr>
        <w:t>,</w:t>
      </w:r>
      <w:r w:rsidRPr="00EF190F">
        <w:rPr>
          <w:i/>
          <w:sz w:val="16"/>
          <w:szCs w:val="16"/>
        </w:rPr>
        <w:t xml:space="preserve"> </w:t>
      </w:r>
      <w:r w:rsidRPr="00EF190F">
        <w:rPr>
          <w:sz w:val="16"/>
          <w:szCs w:val="16"/>
        </w:rPr>
        <w:t xml:space="preserve">párr. 166, y </w:t>
      </w:r>
      <w:r w:rsidRPr="00EF190F">
        <w:rPr>
          <w:i/>
          <w:sz w:val="16"/>
          <w:szCs w:val="16"/>
        </w:rPr>
        <w:t>Caso Masacres de Río Negro Vs. Guatemala</w:t>
      </w:r>
      <w:r w:rsidRPr="00EF190F">
        <w:rPr>
          <w:sz w:val="16"/>
          <w:szCs w:val="16"/>
        </w:rPr>
        <w:t>, párr. 261.</w:t>
      </w:r>
    </w:p>
  </w:footnote>
  <w:footnote w:id="344">
    <w:p w:rsidR="006A0E1C" w:rsidRPr="00EF190F" w:rsidRDefault="006A0E1C" w:rsidP="006A0E1C">
      <w:pPr>
        <w:tabs>
          <w:tab w:val="left" w:pos="360"/>
        </w:tabs>
        <w:spacing w:line="240" w:lineRule="auto"/>
        <w:contextualSpacing/>
        <w:rPr>
          <w:sz w:val="16"/>
          <w:szCs w:val="16"/>
        </w:rPr>
      </w:pPr>
      <w:r w:rsidRPr="00EF190F">
        <w:rPr>
          <w:rStyle w:val="FootnoteReference"/>
          <w:sz w:val="16"/>
          <w:szCs w:val="16"/>
        </w:rPr>
        <w:footnoteRef/>
      </w:r>
      <w:r w:rsidRPr="00EF190F">
        <w:rPr>
          <w:sz w:val="16"/>
          <w:szCs w:val="16"/>
          <w:lang w:val="es-CL"/>
        </w:rPr>
        <w:tab/>
      </w:r>
      <w:r w:rsidRPr="00EF190F">
        <w:rPr>
          <w:i/>
          <w:sz w:val="16"/>
          <w:szCs w:val="16"/>
          <w:lang w:val="es-CL"/>
        </w:rPr>
        <w:t xml:space="preserve">Cfr. </w:t>
      </w:r>
      <w:r w:rsidRPr="00EF190F">
        <w:rPr>
          <w:i/>
          <w:sz w:val="16"/>
          <w:szCs w:val="16"/>
        </w:rPr>
        <w:t xml:space="preserve">Caso Almonacid Arellano y otros Vs. Chile, </w:t>
      </w:r>
      <w:r w:rsidRPr="00EF190F">
        <w:rPr>
          <w:iCs/>
          <w:sz w:val="16"/>
          <w:szCs w:val="16"/>
        </w:rPr>
        <w:t xml:space="preserve">párr. 124, </w:t>
      </w:r>
      <w:r w:rsidRPr="00EF190F">
        <w:rPr>
          <w:color w:val="000000"/>
          <w:sz w:val="16"/>
          <w:szCs w:val="16"/>
        </w:rPr>
        <w:t xml:space="preserve">y </w:t>
      </w:r>
      <w:r w:rsidRPr="00EF190F">
        <w:rPr>
          <w:i/>
          <w:sz w:val="16"/>
          <w:szCs w:val="16"/>
        </w:rPr>
        <w:t>Caso Masacres de Río Negro</w:t>
      </w:r>
      <w:r w:rsidRPr="00EF190F">
        <w:rPr>
          <w:sz w:val="16"/>
          <w:szCs w:val="16"/>
        </w:rPr>
        <w:t xml:space="preserve"> </w:t>
      </w:r>
      <w:r w:rsidRPr="00EF190F">
        <w:rPr>
          <w:i/>
          <w:sz w:val="16"/>
          <w:szCs w:val="16"/>
        </w:rPr>
        <w:t>Vs. Guatemala</w:t>
      </w:r>
      <w:r w:rsidRPr="00EF190F">
        <w:rPr>
          <w:sz w:val="16"/>
          <w:szCs w:val="16"/>
        </w:rPr>
        <w:t>, párr. 262.</w:t>
      </w:r>
    </w:p>
  </w:footnote>
  <w:footnote w:id="345">
    <w:p w:rsidR="006A0E1C" w:rsidRPr="00EF190F" w:rsidRDefault="006A0E1C" w:rsidP="006A0E1C">
      <w:pPr>
        <w:pStyle w:val="EndnoteText"/>
        <w:widowControl w:val="0"/>
        <w:tabs>
          <w:tab w:val="left" w:pos="-709"/>
          <w:tab w:val="left" w:pos="0"/>
          <w:tab w:val="left" w:pos="360"/>
          <w:tab w:val="left" w:pos="1440"/>
          <w:tab w:val="left" w:pos="2880"/>
          <w:tab w:val="left" w:pos="3600"/>
          <w:tab w:val="left" w:pos="4320"/>
          <w:tab w:val="left" w:pos="5760"/>
          <w:tab w:val="left" w:pos="6480"/>
          <w:tab w:val="left" w:pos="7200"/>
          <w:tab w:val="left" w:pos="7920"/>
        </w:tabs>
        <w:autoSpaceDE w:val="0"/>
        <w:autoSpaceDN w:val="0"/>
        <w:adjustRightInd w:val="0"/>
        <w:contextualSpacing/>
        <w:jc w:val="both"/>
        <w:rPr>
          <w:rFonts w:ascii="Verdana" w:hAnsi="Verdana" w:cs="Verdana"/>
          <w:sz w:val="16"/>
          <w:szCs w:val="16"/>
          <w:lang w:val="es-CR"/>
        </w:rPr>
      </w:pPr>
      <w:r w:rsidRPr="00EF190F">
        <w:rPr>
          <w:rStyle w:val="FootnoteReference"/>
          <w:rFonts w:ascii="Verdana" w:hAnsi="Verdana"/>
          <w:sz w:val="16"/>
          <w:szCs w:val="16"/>
        </w:rPr>
        <w:footnoteRef/>
      </w:r>
      <w:r w:rsidRPr="00EF190F">
        <w:rPr>
          <w:rFonts w:ascii="Verdana" w:hAnsi="Verdana"/>
          <w:sz w:val="16"/>
          <w:szCs w:val="16"/>
          <w:lang w:val="es-GT"/>
        </w:rPr>
        <w:t xml:space="preserve"> </w:t>
      </w:r>
      <w:r w:rsidRPr="00EF190F">
        <w:rPr>
          <w:rFonts w:ascii="Verdana" w:hAnsi="Verdana"/>
          <w:sz w:val="16"/>
          <w:szCs w:val="16"/>
          <w:lang w:val="es-GT"/>
        </w:rPr>
        <w:tab/>
      </w:r>
      <w:r w:rsidRPr="00EF190F">
        <w:rPr>
          <w:rFonts w:ascii="Verdana" w:eastAsia="MS Mincho" w:hAnsi="Verdana"/>
          <w:sz w:val="16"/>
          <w:szCs w:val="16"/>
          <w:lang w:val="es-CR"/>
        </w:rPr>
        <w:t xml:space="preserve">De forma extemporánea, en la audiencia pública solicitaron a la Corte establecer </w:t>
      </w:r>
      <w:r w:rsidRPr="00EF190F">
        <w:rPr>
          <w:rFonts w:ascii="Verdana" w:hAnsi="Verdana"/>
          <w:sz w:val="16"/>
          <w:szCs w:val="16"/>
          <w:lang w:val="es-GT"/>
        </w:rPr>
        <w:t>la obligación del Estado de buscar, identificar y determinar la forma de muerte y entregar a los familiares de las víctimas de desaparición forzada los restos que se vayan localizando e identificando.</w:t>
      </w:r>
      <w:r w:rsidRPr="00EF190F">
        <w:rPr>
          <w:rFonts w:ascii="Verdana" w:eastAsia="MS Mincho" w:hAnsi="Verdana"/>
          <w:sz w:val="16"/>
          <w:szCs w:val="16"/>
          <w:lang w:val="es-CR"/>
        </w:rPr>
        <w:t xml:space="preserve"> En</w:t>
      </w:r>
      <w:r w:rsidRPr="00EF190F">
        <w:rPr>
          <w:rFonts w:ascii="Verdana" w:eastAsia="MS Mincho" w:hAnsi="Verdana"/>
          <w:b/>
          <w:sz w:val="16"/>
          <w:szCs w:val="16"/>
          <w:lang w:val="es-CR"/>
        </w:rPr>
        <w:t xml:space="preserve"> </w:t>
      </w:r>
      <w:r w:rsidRPr="00EF190F">
        <w:rPr>
          <w:rFonts w:ascii="Verdana" w:eastAsia="MS Mincho" w:hAnsi="Verdana"/>
          <w:sz w:val="16"/>
          <w:szCs w:val="16"/>
          <w:lang w:val="es-CR"/>
        </w:rPr>
        <w:t xml:space="preserve">sus alegatos finales escritos, solicitaron que se ordene al Estado conducir </w:t>
      </w:r>
      <w:r w:rsidRPr="00EF190F">
        <w:rPr>
          <w:rFonts w:ascii="Verdana" w:hAnsi="Verdana" w:cs="Verdana"/>
          <w:sz w:val="16"/>
          <w:szCs w:val="16"/>
          <w:lang w:val="es-CR"/>
        </w:rPr>
        <w:t xml:space="preserve">una investigación seria, encaminada a determinar el paradero de las víctimas desaparecidas y encontrar los restos mortales de las personas ejecutadas, así como proceder a su adecuada y certera identificación y entrega a sus familiares.  </w:t>
      </w:r>
    </w:p>
  </w:footnote>
  <w:footnote w:id="346">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sz w:val="16"/>
          <w:szCs w:val="16"/>
          <w:lang w:val="es-CR"/>
        </w:rPr>
        <w:t xml:space="preserve">Según el Estado, el convenio tiene el </w:t>
      </w:r>
      <w:r w:rsidRPr="00EF190F">
        <w:rPr>
          <w:rFonts w:eastAsia="MS Mincho" w:cs="Times"/>
          <w:sz w:val="16"/>
          <w:szCs w:val="16"/>
          <w:lang w:val="es-CR"/>
        </w:rPr>
        <w:t>objetivo</w:t>
      </w:r>
      <w:r w:rsidRPr="00EF190F">
        <w:rPr>
          <w:sz w:val="16"/>
          <w:szCs w:val="16"/>
          <w:lang w:val="es-CR"/>
        </w:rPr>
        <w:t xml:space="preserve"> de “establecer lineamientos generales de cooperación entre ambas instituciones; mantener comunicación por las diferentes vías a efecto de coordinar acciones tendientes a optimizar la calidad pericial mediante la complementariedad de conocimientos, experiencias, y asesoría mutua en cuanto a nuevas tecnologías, métodos y estándares internacionales; así como el desarrollo de proyectos de interés común”.</w:t>
      </w:r>
    </w:p>
  </w:footnote>
  <w:footnote w:id="347">
    <w:p w:rsidR="006A0E1C" w:rsidRPr="00EF190F" w:rsidRDefault="006A0E1C" w:rsidP="006A0E1C">
      <w:pPr>
        <w:pStyle w:val="FootnoteText"/>
        <w:tabs>
          <w:tab w:val="left" w:pos="360"/>
        </w:tabs>
        <w:contextualSpacing/>
        <w:rPr>
          <w:sz w:val="16"/>
          <w:szCs w:val="16"/>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z w:val="16"/>
          <w:szCs w:val="16"/>
          <w:lang w:val="es-PR"/>
        </w:rPr>
        <w:tab/>
      </w:r>
      <w:r w:rsidRPr="00EF190F">
        <w:rPr>
          <w:i/>
          <w:iCs/>
          <w:sz w:val="16"/>
          <w:szCs w:val="16"/>
          <w:lang w:val="es-PR"/>
        </w:rPr>
        <w:t xml:space="preserve">Cfr. </w:t>
      </w:r>
      <w:r w:rsidRPr="00EF190F">
        <w:rPr>
          <w:i/>
          <w:sz w:val="16"/>
          <w:szCs w:val="16"/>
          <w:lang w:val="es-PR"/>
        </w:rPr>
        <w:t>Caso Neira Alegría y otros Vs. Perú. Reparaciones y Costas</w:t>
      </w:r>
      <w:r w:rsidRPr="00EF190F">
        <w:rPr>
          <w:sz w:val="16"/>
          <w:szCs w:val="16"/>
          <w:lang w:val="es-PR"/>
        </w:rPr>
        <w:t xml:space="preserve">. Sentencia de 19 de septiembre de 1996. Serie C No. 29, párr. 69, y </w:t>
      </w:r>
      <w:r w:rsidRPr="00EF190F">
        <w:rPr>
          <w:i/>
          <w:sz w:val="16"/>
          <w:szCs w:val="16"/>
          <w:lang w:val="es-PR"/>
        </w:rPr>
        <w:t>Caso Comunidad Campesina de Santa Bárbara Vs. Perú</w:t>
      </w:r>
      <w:r w:rsidRPr="00EF190F">
        <w:rPr>
          <w:sz w:val="16"/>
          <w:szCs w:val="16"/>
          <w:lang w:val="es-PR"/>
        </w:rPr>
        <w:t>,</w:t>
      </w:r>
      <w:r w:rsidRPr="00EF190F">
        <w:rPr>
          <w:i/>
          <w:sz w:val="16"/>
          <w:szCs w:val="16"/>
          <w:lang w:val="es-PR"/>
        </w:rPr>
        <w:t xml:space="preserve"> </w:t>
      </w:r>
      <w:r w:rsidRPr="00EF190F">
        <w:rPr>
          <w:sz w:val="16"/>
          <w:szCs w:val="16"/>
          <w:lang w:val="es-PR"/>
        </w:rPr>
        <w:t>párr. 295.</w:t>
      </w:r>
    </w:p>
  </w:footnote>
  <w:footnote w:id="348">
    <w:p w:rsidR="006A0E1C" w:rsidRPr="00EF190F" w:rsidRDefault="006A0E1C" w:rsidP="006A0E1C">
      <w:pPr>
        <w:pStyle w:val="FootnoteText"/>
        <w:tabs>
          <w:tab w:val="left" w:pos="360"/>
        </w:tabs>
        <w:contextualSpacing/>
        <w:rPr>
          <w:sz w:val="16"/>
          <w:szCs w:val="16"/>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z w:val="16"/>
          <w:szCs w:val="16"/>
          <w:lang w:val="es-PR"/>
        </w:rPr>
        <w:tab/>
      </w:r>
      <w:r w:rsidRPr="00EF190F">
        <w:rPr>
          <w:i/>
          <w:iCs/>
          <w:sz w:val="16"/>
          <w:szCs w:val="16"/>
          <w:lang w:val="es-PR"/>
        </w:rPr>
        <w:t xml:space="preserve">Cfr. </w:t>
      </w:r>
      <w:r w:rsidRPr="00EF190F">
        <w:rPr>
          <w:i/>
          <w:sz w:val="16"/>
          <w:szCs w:val="16"/>
          <w:lang w:val="es-PR"/>
        </w:rPr>
        <w:t>Caso Ticona Estrada y otros Vs. Bolivia</w:t>
      </w:r>
      <w:r w:rsidRPr="00EF190F">
        <w:rPr>
          <w:bCs/>
          <w:sz w:val="16"/>
          <w:szCs w:val="16"/>
          <w:lang w:val="es-PR"/>
        </w:rPr>
        <w:t>,</w:t>
      </w:r>
      <w:r w:rsidRPr="00EF190F">
        <w:rPr>
          <w:bCs/>
          <w:i/>
          <w:sz w:val="16"/>
          <w:szCs w:val="16"/>
          <w:lang w:val="es-PR"/>
        </w:rPr>
        <w:t xml:space="preserve"> </w:t>
      </w:r>
      <w:r w:rsidRPr="00EF190F">
        <w:rPr>
          <w:sz w:val="16"/>
          <w:szCs w:val="16"/>
          <w:lang w:val="es-PR"/>
        </w:rPr>
        <w:t xml:space="preserve">párr. 155, y </w:t>
      </w:r>
      <w:r w:rsidRPr="00EF190F">
        <w:rPr>
          <w:i/>
          <w:sz w:val="16"/>
          <w:szCs w:val="16"/>
          <w:lang w:val="es-PR"/>
        </w:rPr>
        <w:t>Caso Comunidad Campesina de Santa Bárbara Vs. Perú</w:t>
      </w:r>
      <w:r w:rsidRPr="00EF190F">
        <w:rPr>
          <w:sz w:val="16"/>
          <w:szCs w:val="16"/>
          <w:lang w:val="es-PR"/>
        </w:rPr>
        <w:t>,</w:t>
      </w:r>
      <w:r w:rsidRPr="00EF190F">
        <w:rPr>
          <w:i/>
          <w:sz w:val="16"/>
          <w:szCs w:val="16"/>
          <w:lang w:val="es-PR"/>
        </w:rPr>
        <w:t xml:space="preserve"> </w:t>
      </w:r>
      <w:r w:rsidRPr="00EF190F">
        <w:rPr>
          <w:sz w:val="16"/>
          <w:szCs w:val="16"/>
          <w:lang w:val="es-PR"/>
        </w:rPr>
        <w:t>párr. 295.</w:t>
      </w:r>
    </w:p>
  </w:footnote>
  <w:footnote w:id="349">
    <w:p w:rsidR="006A0E1C" w:rsidRPr="00EF190F" w:rsidRDefault="006A0E1C" w:rsidP="006A0E1C">
      <w:pPr>
        <w:pStyle w:val="FootnoteText"/>
        <w:tabs>
          <w:tab w:val="left" w:pos="360"/>
        </w:tabs>
        <w:contextualSpacing/>
        <w:rPr>
          <w:sz w:val="16"/>
          <w:szCs w:val="16"/>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z w:val="16"/>
          <w:szCs w:val="16"/>
          <w:lang w:val="es-PR"/>
        </w:rPr>
        <w:tab/>
      </w:r>
      <w:r w:rsidRPr="00EF190F">
        <w:rPr>
          <w:i/>
          <w:iCs/>
          <w:sz w:val="16"/>
          <w:szCs w:val="16"/>
          <w:lang w:val="es-PR"/>
        </w:rPr>
        <w:t xml:space="preserve">Cfr. </w:t>
      </w:r>
      <w:r w:rsidRPr="00EF190F">
        <w:rPr>
          <w:i/>
          <w:sz w:val="16"/>
          <w:szCs w:val="16"/>
          <w:lang w:val="es-PR"/>
        </w:rPr>
        <w:t>Caso Masacre de las Dos Erres Vs. Guatemala</w:t>
      </w:r>
      <w:r w:rsidRPr="00EF190F">
        <w:rPr>
          <w:bCs/>
          <w:sz w:val="16"/>
          <w:szCs w:val="16"/>
          <w:lang w:val="es-PR"/>
        </w:rPr>
        <w:t>,</w:t>
      </w:r>
      <w:r w:rsidRPr="00EF190F">
        <w:rPr>
          <w:bCs/>
          <w:i/>
          <w:sz w:val="16"/>
          <w:szCs w:val="16"/>
          <w:lang w:val="es-PR"/>
        </w:rPr>
        <w:t xml:space="preserve"> </w:t>
      </w:r>
      <w:r w:rsidRPr="00EF190F">
        <w:rPr>
          <w:sz w:val="16"/>
          <w:szCs w:val="16"/>
          <w:lang w:val="es-PR"/>
        </w:rPr>
        <w:t xml:space="preserve">párr. 245, y </w:t>
      </w:r>
      <w:r w:rsidRPr="00EF190F">
        <w:rPr>
          <w:i/>
          <w:sz w:val="16"/>
          <w:szCs w:val="16"/>
          <w:lang w:val="es-PR"/>
        </w:rPr>
        <w:t>Caso Comunidad Campesina de Santa Bárbara Vs. Perú</w:t>
      </w:r>
      <w:r w:rsidRPr="00EF190F">
        <w:rPr>
          <w:sz w:val="16"/>
          <w:szCs w:val="16"/>
          <w:lang w:val="es-PR"/>
        </w:rPr>
        <w:t>, párr. 295.</w:t>
      </w:r>
    </w:p>
  </w:footnote>
  <w:footnote w:id="350">
    <w:p w:rsidR="006A0E1C" w:rsidRPr="00EF190F" w:rsidRDefault="006A0E1C" w:rsidP="006A0E1C">
      <w:pPr>
        <w:pStyle w:val="FootnoteText"/>
        <w:tabs>
          <w:tab w:val="left" w:pos="360"/>
        </w:tabs>
        <w:contextualSpacing/>
        <w:rPr>
          <w:sz w:val="16"/>
          <w:szCs w:val="16"/>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z w:val="16"/>
          <w:szCs w:val="16"/>
          <w:lang w:val="es-PR"/>
        </w:rPr>
        <w:tab/>
        <w:t xml:space="preserve">Tales como las establecidas en el Manual de Naciones Unidas sobre la Prevención e Investigación Efectiva de Ejecuciones Extrajudiciales, Arbitrarias y Sumarias. </w:t>
      </w:r>
    </w:p>
  </w:footnote>
  <w:footnote w:id="351">
    <w:p w:rsidR="006A0E1C" w:rsidRPr="00EF190F" w:rsidRDefault="006A0E1C" w:rsidP="006A0E1C">
      <w:pPr>
        <w:pStyle w:val="FootnoteText"/>
        <w:tabs>
          <w:tab w:val="left" w:pos="360"/>
        </w:tabs>
        <w:contextualSpacing/>
        <w:rPr>
          <w:sz w:val="16"/>
          <w:szCs w:val="16"/>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z w:val="16"/>
          <w:szCs w:val="16"/>
          <w:lang w:val="es-PR"/>
        </w:rPr>
        <w:tab/>
      </w:r>
      <w:r w:rsidRPr="00EF190F">
        <w:rPr>
          <w:i/>
          <w:sz w:val="16"/>
          <w:szCs w:val="16"/>
          <w:lang w:val="es-PR"/>
        </w:rPr>
        <w:t>Cfr. Caso Anzualdo Castro Vs. Perú</w:t>
      </w:r>
      <w:r w:rsidRPr="00EF190F">
        <w:rPr>
          <w:sz w:val="16"/>
          <w:szCs w:val="16"/>
          <w:lang w:val="es-PR"/>
        </w:rPr>
        <w:t>,</w:t>
      </w:r>
      <w:r w:rsidRPr="00EF190F">
        <w:rPr>
          <w:i/>
          <w:sz w:val="16"/>
          <w:szCs w:val="16"/>
          <w:lang w:val="es-PR"/>
        </w:rPr>
        <w:t xml:space="preserve"> </w:t>
      </w:r>
      <w:r w:rsidRPr="00EF190F">
        <w:rPr>
          <w:sz w:val="16"/>
          <w:szCs w:val="16"/>
          <w:lang w:val="es-PR"/>
        </w:rPr>
        <w:t xml:space="preserve">párr. 185, y </w:t>
      </w:r>
      <w:r w:rsidRPr="00EF190F">
        <w:rPr>
          <w:i/>
          <w:sz w:val="16"/>
          <w:szCs w:val="16"/>
          <w:lang w:val="es-PR"/>
        </w:rPr>
        <w:t>Caso Comunidad Campesina de Santa Bárbara Vs. Perú</w:t>
      </w:r>
      <w:r w:rsidRPr="00EF190F">
        <w:rPr>
          <w:sz w:val="16"/>
          <w:szCs w:val="16"/>
          <w:lang w:val="es-PR"/>
        </w:rPr>
        <w:t>,</w:t>
      </w:r>
      <w:r w:rsidRPr="00EF190F">
        <w:rPr>
          <w:i/>
          <w:sz w:val="16"/>
          <w:szCs w:val="16"/>
          <w:lang w:val="es-PR"/>
        </w:rPr>
        <w:t xml:space="preserve"> </w:t>
      </w:r>
      <w:r w:rsidRPr="00EF190F">
        <w:rPr>
          <w:sz w:val="16"/>
          <w:szCs w:val="16"/>
          <w:lang w:val="es-PR"/>
        </w:rPr>
        <w:t>párr. 297</w:t>
      </w:r>
      <w:r w:rsidRPr="00EF190F">
        <w:rPr>
          <w:rStyle w:val="Strong"/>
          <w:b w:val="0"/>
          <w:spacing w:val="-4"/>
          <w:sz w:val="16"/>
          <w:szCs w:val="16"/>
          <w:shd w:val="clear" w:color="auto" w:fill="FFFFFF"/>
          <w:lang w:val="es-PR"/>
        </w:rPr>
        <w:t>.</w:t>
      </w:r>
    </w:p>
  </w:footnote>
  <w:footnote w:id="352">
    <w:p w:rsidR="006A0E1C" w:rsidRPr="00EF190F" w:rsidRDefault="006A0E1C" w:rsidP="006A0E1C">
      <w:pPr>
        <w:pStyle w:val="FootnoteText"/>
        <w:tabs>
          <w:tab w:val="left" w:pos="360"/>
        </w:tabs>
        <w:contextualSpacing/>
        <w:rPr>
          <w:sz w:val="16"/>
          <w:szCs w:val="16"/>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z w:val="16"/>
          <w:szCs w:val="16"/>
          <w:lang w:val="es-PR"/>
        </w:rPr>
        <w:tab/>
      </w:r>
      <w:r w:rsidRPr="00EF190F">
        <w:rPr>
          <w:i/>
          <w:sz w:val="16"/>
          <w:szCs w:val="16"/>
          <w:lang w:val="es-PR"/>
        </w:rPr>
        <w:t>Cfr. Caso González y otras (“Campo Algodonero”) Vs. México</w:t>
      </w:r>
      <w:r w:rsidRPr="00EF190F">
        <w:rPr>
          <w:sz w:val="16"/>
          <w:szCs w:val="16"/>
          <w:lang w:val="es-PR"/>
        </w:rPr>
        <w:t>,</w:t>
      </w:r>
      <w:r w:rsidRPr="00EF190F">
        <w:rPr>
          <w:i/>
          <w:sz w:val="16"/>
          <w:szCs w:val="16"/>
          <w:lang w:val="es-PR"/>
        </w:rPr>
        <w:t xml:space="preserve"> </w:t>
      </w:r>
      <w:r w:rsidRPr="00EF190F">
        <w:rPr>
          <w:sz w:val="16"/>
          <w:szCs w:val="16"/>
          <w:lang w:val="es-PR"/>
        </w:rPr>
        <w:t xml:space="preserve">párr. 318, y </w:t>
      </w:r>
      <w:r w:rsidRPr="00EF190F">
        <w:rPr>
          <w:i/>
          <w:sz w:val="16"/>
          <w:szCs w:val="16"/>
          <w:lang w:val="es-PR"/>
        </w:rPr>
        <w:t>Caso Comunidad Campesina de Santa Bárbara Vs. Perú</w:t>
      </w:r>
      <w:r w:rsidRPr="00EF190F">
        <w:rPr>
          <w:sz w:val="16"/>
          <w:szCs w:val="16"/>
          <w:lang w:val="es-PR"/>
        </w:rPr>
        <w:t>,</w:t>
      </w:r>
      <w:r w:rsidRPr="00EF190F">
        <w:rPr>
          <w:i/>
          <w:sz w:val="16"/>
          <w:szCs w:val="16"/>
          <w:lang w:val="es-PR"/>
        </w:rPr>
        <w:t xml:space="preserve"> </w:t>
      </w:r>
      <w:r w:rsidRPr="00EF190F">
        <w:rPr>
          <w:sz w:val="16"/>
          <w:szCs w:val="16"/>
          <w:lang w:val="es-PR"/>
        </w:rPr>
        <w:t>párr. 297.</w:t>
      </w:r>
    </w:p>
  </w:footnote>
  <w:footnote w:id="353">
    <w:p w:rsidR="006A0E1C" w:rsidRPr="00EF190F" w:rsidRDefault="006A0E1C" w:rsidP="006A0E1C">
      <w:pPr>
        <w:pStyle w:val="FootnoteText"/>
        <w:tabs>
          <w:tab w:val="left" w:pos="360"/>
        </w:tabs>
        <w:contextualSpacing/>
        <w:rPr>
          <w:rFonts w:eastAsia="Calibri"/>
          <w:sz w:val="16"/>
          <w:szCs w:val="16"/>
          <w:lang w:val="es-PR"/>
        </w:rPr>
      </w:pPr>
      <w:r w:rsidRPr="00EF190F">
        <w:rPr>
          <w:rStyle w:val="FootnoteReference"/>
          <w:rFonts w:eastAsia="Calibri"/>
          <w:sz w:val="16"/>
          <w:szCs w:val="16"/>
          <w:lang w:val="es-PR"/>
        </w:rPr>
        <w:footnoteRef/>
      </w:r>
      <w:r w:rsidRPr="00EF190F">
        <w:rPr>
          <w:rFonts w:eastAsia="Calibri"/>
          <w:sz w:val="16"/>
          <w:szCs w:val="16"/>
          <w:lang w:val="es-PR"/>
        </w:rPr>
        <w:t xml:space="preserve"> </w:t>
      </w:r>
      <w:r w:rsidRPr="00EF190F">
        <w:rPr>
          <w:rFonts w:eastAsia="Calibri"/>
          <w:sz w:val="16"/>
          <w:szCs w:val="16"/>
          <w:lang w:val="es-PR"/>
        </w:rPr>
        <w:tab/>
      </w:r>
      <w:r w:rsidRPr="00EF190F">
        <w:rPr>
          <w:sz w:val="16"/>
          <w:szCs w:val="16"/>
          <w:lang w:val="es-PR"/>
        </w:rPr>
        <w:t>Manual sobre la Prevención e Investigación Efectiva de Ejecuciones Extrajudiciales, Arbitrarias y Sumarias de Naciones Unidas (Protocolo de Minnesota). UN DOC E/ST/CSDHA/.12 (1991).</w:t>
      </w:r>
    </w:p>
  </w:footnote>
  <w:footnote w:id="354">
    <w:p w:rsidR="006A0E1C" w:rsidRPr="00EF190F" w:rsidRDefault="006A0E1C" w:rsidP="006A0E1C">
      <w:pPr>
        <w:pStyle w:val="FootnoteText"/>
        <w:tabs>
          <w:tab w:val="left" w:pos="360"/>
        </w:tabs>
        <w:contextualSpacing/>
        <w:rPr>
          <w:sz w:val="16"/>
          <w:szCs w:val="16"/>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z w:val="16"/>
          <w:szCs w:val="16"/>
          <w:lang w:val="es-PR"/>
        </w:rPr>
        <w:tab/>
        <w:t xml:space="preserve">El Comité Internacional de la Cruz Roja ha reconocido como medios científicos: a) la comparación de radiografías dentales </w:t>
      </w:r>
      <w:r w:rsidRPr="00EF190F">
        <w:rPr>
          <w:i/>
          <w:sz w:val="16"/>
          <w:szCs w:val="16"/>
          <w:lang w:val="es-PR"/>
        </w:rPr>
        <w:t xml:space="preserve">post mortem </w:t>
      </w:r>
      <w:r w:rsidRPr="00EF190F">
        <w:rPr>
          <w:sz w:val="16"/>
          <w:szCs w:val="16"/>
          <w:lang w:val="es-PR"/>
        </w:rPr>
        <w:t xml:space="preserve">y </w:t>
      </w:r>
      <w:r w:rsidRPr="00EF190F">
        <w:rPr>
          <w:i/>
          <w:sz w:val="16"/>
          <w:szCs w:val="16"/>
          <w:lang w:val="es-PR"/>
        </w:rPr>
        <w:t>ante mortem</w:t>
      </w:r>
      <w:r w:rsidRPr="00EF190F">
        <w:rPr>
          <w:sz w:val="16"/>
          <w:szCs w:val="16"/>
          <w:lang w:val="es-PR"/>
        </w:rPr>
        <w:t xml:space="preserve">; b) la comparación de huellas digitales </w:t>
      </w:r>
      <w:r w:rsidRPr="00EF190F">
        <w:rPr>
          <w:i/>
          <w:sz w:val="16"/>
          <w:szCs w:val="16"/>
          <w:lang w:val="es-PR"/>
        </w:rPr>
        <w:t xml:space="preserve">post mortem </w:t>
      </w:r>
      <w:r w:rsidRPr="00EF190F">
        <w:rPr>
          <w:sz w:val="16"/>
          <w:szCs w:val="16"/>
          <w:lang w:val="es-PR"/>
        </w:rPr>
        <w:t xml:space="preserve">y </w:t>
      </w:r>
      <w:r w:rsidRPr="00EF190F">
        <w:rPr>
          <w:i/>
          <w:sz w:val="16"/>
          <w:szCs w:val="16"/>
          <w:lang w:val="es-PR"/>
        </w:rPr>
        <w:t>ante mortem</w:t>
      </w:r>
      <w:r w:rsidRPr="00EF190F">
        <w:rPr>
          <w:sz w:val="16"/>
          <w:szCs w:val="16"/>
          <w:lang w:val="es-PR"/>
        </w:rPr>
        <w:t xml:space="preserve">; c) la comparación de muestras de ADN de los restos humanos con muestras de referencia, y d) la comparación de otros identificadores únicos, como rasgos físicos o médicos, con inclusión de radiografías del esqueleto y de prótesis quirúrgicas o implantes numerados. Asimismo, ha indicado que cada uno de dichos medios “que integran el proceso de recolección de datos </w:t>
      </w:r>
      <w:r w:rsidRPr="00EF190F">
        <w:rPr>
          <w:i/>
          <w:sz w:val="16"/>
          <w:szCs w:val="16"/>
          <w:lang w:val="es-PR"/>
        </w:rPr>
        <w:t xml:space="preserve">ante mortem </w:t>
      </w:r>
      <w:r w:rsidRPr="00EF190F">
        <w:rPr>
          <w:sz w:val="16"/>
          <w:szCs w:val="16"/>
          <w:lang w:val="es-PR"/>
        </w:rPr>
        <w:t>y</w:t>
      </w:r>
      <w:r w:rsidRPr="00EF190F">
        <w:rPr>
          <w:i/>
          <w:sz w:val="16"/>
          <w:szCs w:val="16"/>
          <w:lang w:val="es-PR"/>
        </w:rPr>
        <w:t xml:space="preserve"> post mortem</w:t>
      </w:r>
      <w:r w:rsidRPr="00EF190F">
        <w:rPr>
          <w:sz w:val="16"/>
          <w:szCs w:val="16"/>
          <w:lang w:val="es-PR"/>
        </w:rPr>
        <w:t xml:space="preserve">, permite efectuar una identificación con alto nivel de certidumbre, la cual, en la mayoría de los contextos jurídicos, se consideraría una identificación fuera de toda duda razonable”. </w:t>
      </w:r>
      <w:r w:rsidRPr="00EF190F">
        <w:rPr>
          <w:i/>
          <w:sz w:val="16"/>
          <w:szCs w:val="16"/>
          <w:lang w:val="es-PR"/>
        </w:rPr>
        <w:t>Cfr</w:t>
      </w:r>
      <w:r w:rsidRPr="00EF190F">
        <w:rPr>
          <w:sz w:val="16"/>
          <w:szCs w:val="16"/>
          <w:lang w:val="es-PR"/>
        </w:rPr>
        <w:t xml:space="preserve">. CICR. Personas desaparecidas, análisis forense de ADN e identificación de restos humanos: Guía sobre prácticas idóneas en caso de conflicto armado y de otras situaciones de violencia armada. (2ª Ed.), 2009, p. 12. Disponible en: http://www.icrc.org/spa/assets/files/other/icrc_003_4010.pdf </w:t>
      </w:r>
    </w:p>
  </w:footnote>
  <w:footnote w:id="355">
    <w:p w:rsidR="006A0E1C" w:rsidRPr="00EF190F" w:rsidRDefault="006A0E1C" w:rsidP="006A0E1C">
      <w:pPr>
        <w:pStyle w:val="FootnoteText"/>
        <w:tabs>
          <w:tab w:val="left" w:pos="360"/>
        </w:tabs>
        <w:contextualSpacing/>
        <w:rPr>
          <w:sz w:val="16"/>
          <w:szCs w:val="16"/>
          <w:lang w:val="es-PR"/>
        </w:rPr>
      </w:pPr>
      <w:r w:rsidRPr="00EF190F">
        <w:rPr>
          <w:rStyle w:val="FootnoteReference"/>
          <w:rFonts w:eastAsia="Calibri"/>
          <w:sz w:val="16"/>
          <w:szCs w:val="16"/>
          <w:lang w:val="es-PR"/>
        </w:rPr>
        <w:footnoteRef/>
      </w:r>
      <w:r w:rsidRPr="00EF190F">
        <w:rPr>
          <w:sz w:val="16"/>
          <w:szCs w:val="16"/>
          <w:lang w:val="es-PR"/>
        </w:rPr>
        <w:t xml:space="preserve"> </w:t>
      </w:r>
      <w:r w:rsidRPr="00EF190F">
        <w:rPr>
          <w:sz w:val="16"/>
          <w:szCs w:val="16"/>
          <w:lang w:val="es-PR"/>
        </w:rPr>
        <w:tab/>
      </w:r>
      <w:r w:rsidRPr="00EF190F">
        <w:rPr>
          <w:i/>
          <w:sz w:val="16"/>
          <w:szCs w:val="16"/>
          <w:lang w:val="es-PR"/>
        </w:rPr>
        <w:t>Cfr. Caso Gómez Palomino Vs. Perú</w:t>
      </w:r>
      <w:r w:rsidRPr="00EF190F">
        <w:rPr>
          <w:sz w:val="16"/>
          <w:szCs w:val="16"/>
          <w:lang w:val="es-PR"/>
        </w:rPr>
        <w:t xml:space="preserve">. Supervisión de Cumplimiento. Sentencia de 13 de febrero de 2013, considerando 10, y </w:t>
      </w:r>
      <w:r w:rsidRPr="00EF190F">
        <w:rPr>
          <w:i/>
          <w:sz w:val="16"/>
          <w:szCs w:val="16"/>
          <w:lang w:val="es-PR"/>
        </w:rPr>
        <w:t>Caso Comunidad Campesina de</w:t>
      </w:r>
      <w:r w:rsidRPr="00EF190F">
        <w:rPr>
          <w:sz w:val="16"/>
          <w:szCs w:val="16"/>
          <w:lang w:val="es-PR"/>
        </w:rPr>
        <w:t xml:space="preserve"> </w:t>
      </w:r>
      <w:r w:rsidRPr="00EF190F">
        <w:rPr>
          <w:i/>
          <w:sz w:val="16"/>
          <w:szCs w:val="16"/>
          <w:lang w:val="es-PR"/>
        </w:rPr>
        <w:t>Santa Bárbara Vs. Perú</w:t>
      </w:r>
      <w:r w:rsidRPr="00EF190F">
        <w:rPr>
          <w:sz w:val="16"/>
          <w:szCs w:val="16"/>
          <w:lang w:val="es-PR"/>
        </w:rPr>
        <w:t>, párr. 297. Citando: CICR. Personas Desaparecidas, análisis forense de ADN e identificación de restos humanos: Guía sobre prácticas idóneas en caso de conflicto armado y de otras situaciones de violencia armada. (2ª Ed.), 2009, p. 10.</w:t>
      </w:r>
    </w:p>
  </w:footnote>
  <w:footnote w:id="356">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Cfr. Caso Gudiel Álvarez y Otros (“Diario Militar”) Vs. Guatemala</w:t>
      </w:r>
      <w:r w:rsidRPr="00EF190F">
        <w:rPr>
          <w:sz w:val="16"/>
          <w:szCs w:val="16"/>
        </w:rPr>
        <w:t xml:space="preserve">, párr. 335, y </w:t>
      </w:r>
      <w:r w:rsidRPr="00EF190F">
        <w:rPr>
          <w:i/>
          <w:sz w:val="16"/>
          <w:szCs w:val="16"/>
        </w:rPr>
        <w:t>Caso García y Familiares Vs. Guatemala</w:t>
      </w:r>
      <w:r w:rsidRPr="00EF190F">
        <w:rPr>
          <w:sz w:val="16"/>
          <w:szCs w:val="16"/>
        </w:rPr>
        <w:t>, párr. 221.</w:t>
      </w:r>
    </w:p>
  </w:footnote>
  <w:footnote w:id="357">
    <w:p w:rsidR="006A0E1C" w:rsidRPr="00EF190F" w:rsidRDefault="006A0E1C" w:rsidP="006A0E1C">
      <w:pPr>
        <w:pStyle w:val="FootnoteText"/>
        <w:contextualSpacing/>
        <w:rPr>
          <w:b/>
          <w:sz w:val="16"/>
          <w:szCs w:val="16"/>
        </w:rPr>
      </w:pPr>
      <w:r w:rsidRPr="00EF190F">
        <w:rPr>
          <w:rStyle w:val="FootnoteReference"/>
          <w:sz w:val="16"/>
          <w:szCs w:val="16"/>
        </w:rPr>
        <w:footnoteRef/>
      </w:r>
      <w:r w:rsidRPr="00EF190F">
        <w:rPr>
          <w:sz w:val="16"/>
          <w:szCs w:val="16"/>
        </w:rPr>
        <w:t xml:space="preserve"> </w:t>
      </w:r>
      <w:r w:rsidRPr="00EF190F">
        <w:rPr>
          <w:sz w:val="16"/>
          <w:szCs w:val="16"/>
        </w:rPr>
        <w:tab/>
        <w:t>En sus alegatos finales escritos, es decir, de forma extemporánea, los representantes solicitaron, a favor de la comunidad de Chichupac y comunidades vecinas, el fortalecimiento de la infraestructura e implementación de servicios básicos y programas sociales. También, solicitaron proyectos productivos y, como proyecto educativo, dotar becas de estudios para estudiantes del nivel diversificado y universitario. Asimismo, solicitaron la construcción de alrededor de 250 viviendas en la aldea Chichupac y comunidades vecinas, y que el Estado resuelva los casos relacionados con la apropiación de tierras ocurridas durante y después del conflicto armado interno de las víctimas Gregoria Valey Yxtecoc, Demetrio Cahuec Jerónimo, Teodoro González Xitumul (esposo de la señora Tomasa Alvarado Xitumul), así como de otras víctimas, y que dé solución a los descendientes de estas víctimas.</w:t>
      </w:r>
    </w:p>
  </w:footnote>
  <w:footnote w:id="358">
    <w:p w:rsidR="006A0E1C" w:rsidRPr="00EF190F" w:rsidRDefault="006A0E1C" w:rsidP="006A0E1C">
      <w:pPr>
        <w:pStyle w:val="FootnoteText"/>
        <w:tabs>
          <w:tab w:val="left" w:pos="360"/>
        </w:tabs>
        <w:contextualSpacing/>
        <w:rPr>
          <w:sz w:val="16"/>
          <w:szCs w:val="16"/>
          <w:lang w:val="es-PR"/>
        </w:rPr>
      </w:pPr>
      <w:r w:rsidRPr="00EF190F">
        <w:rPr>
          <w:rStyle w:val="FootnoteReference"/>
          <w:sz w:val="16"/>
          <w:szCs w:val="16"/>
        </w:rPr>
        <w:footnoteRef/>
      </w:r>
      <w:r w:rsidRPr="00EF190F">
        <w:rPr>
          <w:sz w:val="16"/>
          <w:szCs w:val="16"/>
        </w:rPr>
        <w:t xml:space="preserve"> </w:t>
      </w:r>
      <w:r w:rsidRPr="00EF190F">
        <w:rPr>
          <w:sz w:val="16"/>
          <w:szCs w:val="16"/>
          <w:lang w:val="es-PR"/>
        </w:rPr>
        <w:tab/>
        <w:t>Artículo 2 bis., Acuerdo Gubernativo 539-2013 (expediente de prueba, folio 9927).</w:t>
      </w:r>
    </w:p>
  </w:footnote>
  <w:footnote w:id="359">
    <w:p w:rsidR="006A0E1C" w:rsidRPr="00EF190F" w:rsidRDefault="006A0E1C" w:rsidP="006A0E1C">
      <w:pPr>
        <w:pStyle w:val="FootnoteText"/>
        <w:tabs>
          <w:tab w:val="left" w:pos="360"/>
        </w:tabs>
        <w:contextualSpacing/>
        <w:rPr>
          <w:rFonts w:cs="Verdana"/>
          <w:bCs/>
          <w:sz w:val="16"/>
          <w:szCs w:val="16"/>
          <w:lang w:val="es-PR"/>
        </w:rPr>
      </w:pPr>
      <w:r w:rsidRPr="00EF190F">
        <w:rPr>
          <w:rStyle w:val="FootnoteReference"/>
          <w:rFonts w:eastAsia="Calibri"/>
          <w:sz w:val="16"/>
          <w:szCs w:val="16"/>
          <w:lang w:val="es-PR"/>
        </w:rPr>
        <w:footnoteRef/>
      </w:r>
      <w:r w:rsidRPr="00EF190F">
        <w:rPr>
          <w:rFonts w:cs="Verdana"/>
          <w:bCs/>
          <w:sz w:val="16"/>
          <w:szCs w:val="16"/>
          <w:lang w:val="es-PR"/>
        </w:rPr>
        <w:tab/>
      </w:r>
      <w:r w:rsidRPr="00EF190F">
        <w:rPr>
          <w:i/>
          <w:sz w:val="16"/>
          <w:szCs w:val="16"/>
          <w:lang w:val="es-PR"/>
        </w:rPr>
        <w:t xml:space="preserve">Cfr. Caso </w:t>
      </w:r>
      <w:r w:rsidRPr="00EF190F">
        <w:rPr>
          <w:sz w:val="16"/>
          <w:szCs w:val="16"/>
          <w:lang w:val="es-PR"/>
        </w:rPr>
        <w:t>Masacre de</w:t>
      </w:r>
      <w:r w:rsidRPr="00EF190F" w:rsidDel="006F11F9">
        <w:rPr>
          <w:sz w:val="16"/>
          <w:szCs w:val="16"/>
          <w:lang w:val="es-PR"/>
        </w:rPr>
        <w:t xml:space="preserve"> </w:t>
      </w:r>
      <w:r w:rsidRPr="00EF190F">
        <w:rPr>
          <w:i/>
          <w:sz w:val="16"/>
          <w:szCs w:val="16"/>
          <w:lang w:val="es-PR"/>
        </w:rPr>
        <w:t>Las Dos Erres Vs. Guatemala</w:t>
      </w:r>
      <w:r w:rsidRPr="00EF190F">
        <w:rPr>
          <w:sz w:val="16"/>
          <w:szCs w:val="16"/>
          <w:lang w:val="es-PR"/>
        </w:rPr>
        <w:t>,</w:t>
      </w:r>
      <w:r w:rsidRPr="00EF190F">
        <w:rPr>
          <w:i/>
          <w:sz w:val="16"/>
          <w:szCs w:val="16"/>
          <w:lang w:val="es-PR"/>
        </w:rPr>
        <w:t xml:space="preserve"> </w:t>
      </w:r>
      <w:r w:rsidRPr="00EF190F">
        <w:rPr>
          <w:sz w:val="16"/>
          <w:szCs w:val="16"/>
          <w:lang w:val="es-PR"/>
        </w:rPr>
        <w:t xml:space="preserve">párr. 270 y </w:t>
      </w:r>
      <w:r w:rsidRPr="00EF190F">
        <w:rPr>
          <w:rStyle w:val="Strong"/>
          <w:b w:val="0"/>
          <w:i/>
          <w:color w:val="000000"/>
          <w:sz w:val="16"/>
          <w:szCs w:val="16"/>
          <w:shd w:val="clear" w:color="auto" w:fill="FFFFFF"/>
        </w:rPr>
        <w:t>Caso Tenorio Roca y otros Vs. Perú</w:t>
      </w:r>
      <w:r w:rsidRPr="00EF190F">
        <w:rPr>
          <w:sz w:val="16"/>
          <w:szCs w:val="16"/>
          <w:lang w:val="es-PR"/>
        </w:rPr>
        <w:t>,</w:t>
      </w:r>
      <w:r w:rsidRPr="00EF190F">
        <w:rPr>
          <w:bCs/>
          <w:sz w:val="16"/>
          <w:szCs w:val="16"/>
          <w:lang w:val="es-PR"/>
        </w:rPr>
        <w:t xml:space="preserve"> párr. 284.</w:t>
      </w:r>
    </w:p>
  </w:footnote>
  <w:footnote w:id="360">
    <w:p w:rsidR="006A0E1C" w:rsidRPr="00EF190F" w:rsidRDefault="006A0E1C" w:rsidP="006A0E1C">
      <w:pPr>
        <w:tabs>
          <w:tab w:val="left" w:pos="360"/>
        </w:tabs>
        <w:spacing w:line="240" w:lineRule="auto"/>
        <w:contextualSpacing/>
        <w:rPr>
          <w:sz w:val="16"/>
          <w:szCs w:val="16"/>
          <w:lang w:val="es-PE"/>
        </w:rPr>
      </w:pPr>
      <w:r w:rsidRPr="00EF190F">
        <w:rPr>
          <w:rStyle w:val="FootnoteReference"/>
          <w:sz w:val="16"/>
          <w:szCs w:val="16"/>
        </w:rPr>
        <w:footnoteRef/>
      </w:r>
      <w:r w:rsidRPr="00EF190F">
        <w:rPr>
          <w:sz w:val="16"/>
          <w:szCs w:val="16"/>
          <w:lang w:val="es-PR"/>
        </w:rPr>
        <w:tab/>
      </w:r>
      <w:r w:rsidRPr="00EF190F">
        <w:rPr>
          <w:i/>
          <w:sz w:val="16"/>
          <w:szCs w:val="16"/>
          <w:lang w:val="es-PR"/>
        </w:rPr>
        <w:t>Cfr. Caso Masacres de Río Negro Vs. Guatemala</w:t>
      </w:r>
      <w:r w:rsidRPr="00EF190F">
        <w:rPr>
          <w:sz w:val="16"/>
          <w:szCs w:val="16"/>
          <w:lang w:val="es-PR"/>
        </w:rPr>
        <w:t xml:space="preserve">, párr. </w:t>
      </w:r>
      <w:r w:rsidRPr="00EF190F">
        <w:rPr>
          <w:sz w:val="16"/>
          <w:szCs w:val="16"/>
        </w:rPr>
        <w:t xml:space="preserve">289. Véase, la Declaración de las Naciones Unidas sobre los Derechos de los Pueblos Indígenas, Artículo 24; </w:t>
      </w:r>
      <w:r w:rsidRPr="00EF190F">
        <w:rPr>
          <w:sz w:val="16"/>
          <w:szCs w:val="16"/>
          <w:lang w:val="es-PE"/>
        </w:rPr>
        <w:t xml:space="preserve">el Convenio sobre pueblos indígenas y tribales en países independientes, 1989 (núm. 169) de la OIT: Artículo 25; En la publicación </w:t>
      </w:r>
      <w:r w:rsidRPr="00EF190F">
        <w:rPr>
          <w:i/>
          <w:sz w:val="16"/>
          <w:szCs w:val="16"/>
          <w:lang w:val="es-PE"/>
        </w:rPr>
        <w:t>Convenio número 169 sobre pueblos indígenas y tribales: Un Manual</w:t>
      </w:r>
      <w:r w:rsidRPr="00EF190F">
        <w:rPr>
          <w:sz w:val="16"/>
          <w:szCs w:val="16"/>
          <w:lang w:val="es-PE"/>
        </w:rPr>
        <w:t xml:space="preserve"> (2003), p. 60, la OIT estableció directrices a las que deben adecuarse los programas de salud. Entre otros, dichos programas deben: i) basarse en la comunidad; ii) ser complementarios de las prácticas curativas tradicionales y comprenderlas; iii) contar con la participación activa de las comunidades; iv) formar a personal local para trabajar en los servicios sanitarios, y v) los gobiernos deberán proporcionar recursos en igualdad de condiciones con los otros ciudadanos.</w:t>
      </w:r>
    </w:p>
  </w:footnote>
  <w:footnote w:id="361">
    <w:p w:rsidR="006A0E1C" w:rsidRPr="00EF190F" w:rsidRDefault="006A0E1C" w:rsidP="006A0E1C">
      <w:pPr>
        <w:pStyle w:val="FootnoteText"/>
        <w:tabs>
          <w:tab w:val="left" w:pos="360"/>
        </w:tabs>
        <w:contextualSpacing/>
        <w:rPr>
          <w:sz w:val="16"/>
          <w:szCs w:val="16"/>
          <w:lang w:val="es-PR"/>
        </w:rPr>
      </w:pPr>
      <w:r w:rsidRPr="00EF190F">
        <w:rPr>
          <w:rStyle w:val="FootnoteReference"/>
          <w:sz w:val="16"/>
          <w:szCs w:val="16"/>
        </w:rPr>
        <w:footnoteRef/>
      </w:r>
      <w:r w:rsidRPr="00EF190F">
        <w:rPr>
          <w:sz w:val="16"/>
          <w:szCs w:val="16"/>
        </w:rPr>
        <w:t xml:space="preserve"> </w:t>
      </w:r>
      <w:r w:rsidRPr="00EF190F">
        <w:rPr>
          <w:sz w:val="16"/>
          <w:szCs w:val="16"/>
          <w:lang w:val="es-PR"/>
        </w:rPr>
        <w:tab/>
      </w:r>
      <w:r w:rsidRPr="00EF190F">
        <w:rPr>
          <w:sz w:val="16"/>
          <w:szCs w:val="16"/>
          <w:lang w:val="es-CR"/>
        </w:rPr>
        <w:t>En sus alegatos finales escritos, es decir, de forma extemporánea, los representantes</w:t>
      </w:r>
      <w:r w:rsidRPr="00EF190F">
        <w:rPr>
          <w:b/>
          <w:i/>
          <w:sz w:val="16"/>
          <w:szCs w:val="16"/>
          <w:lang w:val="es-CR"/>
        </w:rPr>
        <w:t xml:space="preserve"> </w:t>
      </w:r>
      <w:r w:rsidRPr="00EF190F">
        <w:rPr>
          <w:sz w:val="16"/>
          <w:szCs w:val="16"/>
          <w:lang w:val="es-CR"/>
        </w:rPr>
        <w:t>solicitaron que se ordene al Estado realizar un acto público de reconocimiento de responsabilidad.</w:t>
      </w:r>
    </w:p>
  </w:footnote>
  <w:footnote w:id="362">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lang w:val="es-PR"/>
        </w:rPr>
        <w:tab/>
      </w:r>
      <w:r w:rsidRPr="00EF190F">
        <w:rPr>
          <w:sz w:val="16"/>
          <w:szCs w:val="16"/>
        </w:rPr>
        <w:t xml:space="preserve">El Estado ha cumplido con esta medida de reparación, por ejemplo, en el </w:t>
      </w:r>
      <w:r w:rsidRPr="00EF190F">
        <w:rPr>
          <w:i/>
          <w:sz w:val="16"/>
          <w:szCs w:val="16"/>
        </w:rPr>
        <w:t xml:space="preserve">Caso Bámaca Velásquez Vs. Guatemala. </w:t>
      </w:r>
      <w:r w:rsidRPr="00EF190F">
        <w:rPr>
          <w:sz w:val="16"/>
          <w:szCs w:val="16"/>
        </w:rPr>
        <w:t xml:space="preserve">Resolución de Supervisión de Cumplimiento de Sentencia de 10 de julio de 2007, considerando 7, y el </w:t>
      </w:r>
      <w:r w:rsidRPr="00EF190F">
        <w:rPr>
          <w:i/>
          <w:sz w:val="16"/>
          <w:szCs w:val="16"/>
        </w:rPr>
        <w:t xml:space="preserve">Caso de la Masacre de Las Dos Erres Vs. Guatemala. </w:t>
      </w:r>
      <w:r w:rsidRPr="00EF190F">
        <w:rPr>
          <w:sz w:val="16"/>
          <w:szCs w:val="16"/>
        </w:rPr>
        <w:t xml:space="preserve">Resolución de Supervisión de Cumplimiento de Sentencia de 4 de septiembre de 2012, considerando 16. </w:t>
      </w:r>
    </w:p>
  </w:footnote>
  <w:footnote w:id="363">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lang w:val="es-PR"/>
        </w:rPr>
        <w:tab/>
      </w:r>
      <w:r w:rsidRPr="00EF190F">
        <w:rPr>
          <w:sz w:val="16"/>
          <w:szCs w:val="16"/>
        </w:rPr>
        <w:t xml:space="preserve">El Estado ha cumplido con esta medida de reparación, por ejemplo, en el </w:t>
      </w:r>
      <w:r w:rsidRPr="00EF190F">
        <w:rPr>
          <w:i/>
          <w:sz w:val="16"/>
          <w:szCs w:val="16"/>
        </w:rPr>
        <w:t xml:space="preserve">Caso de la Masacre de Las Dos Erres Vs. Guatemala. </w:t>
      </w:r>
      <w:r w:rsidRPr="00EF190F">
        <w:rPr>
          <w:sz w:val="16"/>
          <w:szCs w:val="16"/>
        </w:rPr>
        <w:t xml:space="preserve">Resolución de Supervisión Cumplimiento de Sentencia de 6 de julio de 2011, punto declarativo 1, y </w:t>
      </w:r>
      <w:r>
        <w:rPr>
          <w:i/>
          <w:sz w:val="16"/>
          <w:szCs w:val="16"/>
        </w:rPr>
        <w:t>Caso Ve</w:t>
      </w:r>
      <w:r w:rsidRPr="00EF190F">
        <w:rPr>
          <w:i/>
          <w:sz w:val="16"/>
          <w:szCs w:val="16"/>
        </w:rPr>
        <w:t xml:space="preserve">liz Franco y otros Vs. Guatemala. </w:t>
      </w:r>
      <w:r w:rsidRPr="00EF190F">
        <w:rPr>
          <w:sz w:val="16"/>
          <w:szCs w:val="16"/>
        </w:rPr>
        <w:t>Resolución de Supervisión de Cumplimiento de Sentencia de 3 de mayo de 2016, punto resolutivo 1.</w:t>
      </w:r>
    </w:p>
  </w:footnote>
  <w:footnote w:id="364">
    <w:p w:rsidR="006A0E1C" w:rsidRPr="00EF190F" w:rsidRDefault="006A0E1C" w:rsidP="006A0E1C">
      <w:pPr>
        <w:pStyle w:val="FootnoteText"/>
        <w:tabs>
          <w:tab w:val="left" w:pos="360"/>
        </w:tabs>
        <w:contextualSpacing/>
        <w:rPr>
          <w:sz w:val="16"/>
          <w:szCs w:val="16"/>
          <w:lang w:val="es-PR"/>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 xml:space="preserve">Cfr. Caso Masacres de Río Negro Vs. </w:t>
      </w:r>
      <w:r w:rsidRPr="00EF190F">
        <w:rPr>
          <w:i/>
          <w:sz w:val="16"/>
          <w:szCs w:val="16"/>
          <w:lang w:val="es-PR"/>
        </w:rPr>
        <w:t>Guatemala</w:t>
      </w:r>
      <w:r w:rsidRPr="00EF190F">
        <w:rPr>
          <w:sz w:val="16"/>
          <w:szCs w:val="16"/>
          <w:lang w:val="es-PR"/>
        </w:rPr>
        <w:t xml:space="preserve">, párr. </w:t>
      </w:r>
      <w:r w:rsidRPr="00EF190F">
        <w:rPr>
          <w:sz w:val="16"/>
          <w:szCs w:val="16"/>
        </w:rPr>
        <w:t>274.</w:t>
      </w:r>
    </w:p>
  </w:footnote>
  <w:footnote w:id="365">
    <w:p w:rsidR="006A0E1C" w:rsidRPr="00EF190F" w:rsidRDefault="006A0E1C" w:rsidP="006A0E1C">
      <w:pPr>
        <w:pStyle w:val="FootnoteText"/>
        <w:tabs>
          <w:tab w:val="left" w:pos="360"/>
        </w:tabs>
        <w:contextualSpacing/>
        <w:rPr>
          <w:sz w:val="16"/>
          <w:szCs w:val="16"/>
          <w:lang w:val="es-PR"/>
        </w:rPr>
      </w:pPr>
      <w:r w:rsidRPr="00EF190F">
        <w:rPr>
          <w:rStyle w:val="FootnoteReference"/>
          <w:sz w:val="16"/>
          <w:szCs w:val="16"/>
        </w:rPr>
        <w:footnoteRef/>
      </w:r>
      <w:r w:rsidRPr="00EF190F">
        <w:rPr>
          <w:sz w:val="16"/>
          <w:szCs w:val="16"/>
        </w:rPr>
        <w:t xml:space="preserve"> </w:t>
      </w:r>
      <w:r w:rsidRPr="00EF190F">
        <w:rPr>
          <w:sz w:val="16"/>
          <w:szCs w:val="16"/>
          <w:lang w:val="es-PR"/>
        </w:rPr>
        <w:tab/>
      </w:r>
      <w:r w:rsidRPr="00EF190F">
        <w:rPr>
          <w:rFonts w:eastAsia="MS Mincho"/>
          <w:sz w:val="16"/>
          <w:szCs w:val="16"/>
          <w:lang w:val="es-CR"/>
        </w:rPr>
        <w:t xml:space="preserve">En sus alegatos finales escritos, los representantes solicitaron de manera extemporánea que la Corte ordene al Estado </w:t>
      </w:r>
      <w:r w:rsidRPr="00EF190F">
        <w:rPr>
          <w:rFonts w:eastAsia="Calibri" w:cs="Verdana"/>
          <w:sz w:val="16"/>
          <w:szCs w:val="16"/>
          <w:lang w:val="es-CR"/>
        </w:rPr>
        <w:t xml:space="preserve">fortalecer sus capacidades institucionales mediante </w:t>
      </w:r>
      <w:r w:rsidRPr="00EF190F">
        <w:rPr>
          <w:rFonts w:eastAsia="Calibri"/>
          <w:sz w:val="16"/>
          <w:szCs w:val="16"/>
          <w:lang w:val="es-CR"/>
        </w:rPr>
        <w:t>la</w:t>
      </w:r>
      <w:r w:rsidRPr="00EF190F">
        <w:rPr>
          <w:rFonts w:eastAsia="Calibri" w:cs="Verdana"/>
          <w:sz w:val="16"/>
          <w:szCs w:val="16"/>
          <w:lang w:val="es-CR"/>
        </w:rPr>
        <w:t xml:space="preserve"> capacitación de personal de las fuerzas armadas.</w:t>
      </w:r>
      <w:r w:rsidRPr="00EF190F">
        <w:rPr>
          <w:rFonts w:eastAsia="MS Mincho"/>
          <w:sz w:val="16"/>
          <w:szCs w:val="16"/>
          <w:lang w:val="es-CR"/>
        </w:rPr>
        <w:t xml:space="preserve"> </w:t>
      </w:r>
    </w:p>
  </w:footnote>
  <w:footnote w:id="366">
    <w:p w:rsidR="006A0E1C" w:rsidRPr="00EF190F" w:rsidRDefault="006A0E1C" w:rsidP="006A0E1C">
      <w:pPr>
        <w:tabs>
          <w:tab w:val="left" w:pos="360"/>
        </w:tabs>
        <w:spacing w:line="240" w:lineRule="auto"/>
        <w:contextualSpacing/>
        <w:rPr>
          <w:sz w:val="16"/>
          <w:szCs w:val="16"/>
        </w:rPr>
      </w:pPr>
      <w:r w:rsidRPr="00EF190F">
        <w:rPr>
          <w:rStyle w:val="FootnoteReference"/>
          <w:sz w:val="16"/>
          <w:szCs w:val="16"/>
        </w:rPr>
        <w:footnoteRef/>
      </w:r>
      <w:r w:rsidRPr="00EF190F">
        <w:rPr>
          <w:sz w:val="16"/>
          <w:szCs w:val="16"/>
          <w:lang w:val="es-ES"/>
        </w:rPr>
        <w:tab/>
      </w:r>
      <w:r w:rsidRPr="00EF190F">
        <w:rPr>
          <w:i/>
          <w:sz w:val="16"/>
          <w:szCs w:val="16"/>
        </w:rPr>
        <w:t>Cfr.</w:t>
      </w:r>
      <w:r w:rsidRPr="00EF190F">
        <w:rPr>
          <w:b/>
          <w:sz w:val="16"/>
          <w:szCs w:val="16"/>
        </w:rPr>
        <w:t xml:space="preserve"> </w:t>
      </w:r>
      <w:r w:rsidRPr="00EF190F">
        <w:rPr>
          <w:bCs/>
          <w:i/>
          <w:color w:val="000000"/>
          <w:sz w:val="16"/>
          <w:szCs w:val="16"/>
        </w:rPr>
        <w:t>Caso Goiburú y otros Vs. Paraguay.</w:t>
      </w:r>
      <w:r w:rsidRPr="00EF190F">
        <w:rPr>
          <w:i/>
          <w:color w:val="000000"/>
          <w:sz w:val="16"/>
          <w:szCs w:val="16"/>
        </w:rPr>
        <w:t xml:space="preserve"> Supervisión de Cumplimiento de Sentencia</w:t>
      </w:r>
      <w:r w:rsidRPr="00EF190F">
        <w:rPr>
          <w:color w:val="000000"/>
          <w:sz w:val="16"/>
          <w:szCs w:val="16"/>
        </w:rPr>
        <w:t xml:space="preserve">. Resolución de la Corte Interamericana de Derechos Humanos de 19 de noviembre de 2009, Considerando No. 49, y </w:t>
      </w:r>
      <w:r w:rsidRPr="00EF190F">
        <w:rPr>
          <w:i/>
          <w:sz w:val="16"/>
          <w:szCs w:val="16"/>
        </w:rPr>
        <w:t>Caso Masacres de El Mozote y Lugares Aledaños Vs. El Salvador</w:t>
      </w:r>
      <w:r w:rsidRPr="00EF190F">
        <w:rPr>
          <w:sz w:val="16"/>
          <w:szCs w:val="16"/>
        </w:rPr>
        <w:t>, párr. 368</w:t>
      </w:r>
      <w:r w:rsidRPr="00EF190F">
        <w:rPr>
          <w:color w:val="000000"/>
          <w:sz w:val="16"/>
          <w:szCs w:val="16"/>
        </w:rPr>
        <w:t>.</w:t>
      </w:r>
    </w:p>
  </w:footnote>
  <w:footnote w:id="367">
    <w:p w:rsidR="006A0E1C" w:rsidRPr="00EF190F" w:rsidRDefault="006A0E1C" w:rsidP="006A0E1C">
      <w:pPr>
        <w:pStyle w:val="FootnoteText"/>
        <w:tabs>
          <w:tab w:val="left" w:pos="360"/>
        </w:tabs>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rFonts w:eastAsia="MS Mincho"/>
          <w:sz w:val="16"/>
          <w:szCs w:val="16"/>
          <w:lang w:val="es-CR"/>
        </w:rPr>
        <w:t xml:space="preserve">En sus alegatos finales escritos, los representantes solicitaron de manera extemporánea que la Corte ordene al Estado </w:t>
      </w:r>
      <w:r w:rsidRPr="00EF190F">
        <w:rPr>
          <w:rFonts w:eastAsia="Calibri" w:cs="Verdana"/>
          <w:sz w:val="16"/>
          <w:szCs w:val="16"/>
          <w:lang w:val="es-CR"/>
        </w:rPr>
        <w:t xml:space="preserve">fortalecer sus capacidades institucionales mediante </w:t>
      </w:r>
      <w:r w:rsidRPr="00EF190F">
        <w:rPr>
          <w:rFonts w:eastAsia="Calibri"/>
          <w:sz w:val="16"/>
          <w:szCs w:val="16"/>
          <w:lang w:val="es-CR"/>
        </w:rPr>
        <w:t>la</w:t>
      </w:r>
      <w:r w:rsidRPr="00EF190F">
        <w:rPr>
          <w:rFonts w:eastAsia="Calibri" w:cs="Verdana"/>
          <w:sz w:val="16"/>
          <w:szCs w:val="16"/>
          <w:lang w:val="es-CR"/>
        </w:rPr>
        <w:t xml:space="preserve"> capacitación de jueces y fiscales.</w:t>
      </w:r>
    </w:p>
  </w:footnote>
  <w:footnote w:id="368">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 xml:space="preserve">La Corte nota que el enlace al sitio </w:t>
      </w:r>
      <w:r w:rsidRPr="00EF190F">
        <w:rPr>
          <w:i/>
          <w:sz w:val="16"/>
          <w:szCs w:val="16"/>
        </w:rPr>
        <w:t>web</w:t>
      </w:r>
      <w:r w:rsidRPr="00EF190F">
        <w:rPr>
          <w:sz w:val="16"/>
          <w:szCs w:val="16"/>
        </w:rPr>
        <w:t xml:space="preserve"> “capacitación.mp.gob.gt”, citado por el Estado, no está habilitado. Por otra parte, el Estado no presentó el documento “Memoria de Labores OJ 2012-2013” que también fue citado. </w:t>
      </w:r>
    </w:p>
  </w:footnote>
  <w:footnote w:id="369">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lang w:val="es-CR"/>
        </w:rPr>
        <w:t xml:space="preserve">Resolución de Supervisión de Cumplimiento de 12 Casos Guatemaltecos, </w:t>
      </w:r>
      <w:r w:rsidRPr="00EF190F">
        <w:rPr>
          <w:sz w:val="16"/>
          <w:szCs w:val="16"/>
        </w:rPr>
        <w:t>considerandos 32, 168 y nota al pie 183.</w:t>
      </w:r>
    </w:p>
  </w:footnote>
  <w:footnote w:id="370">
    <w:p w:rsidR="006A0E1C" w:rsidRPr="00EF190F" w:rsidRDefault="006A0E1C" w:rsidP="006A0E1C">
      <w:pPr>
        <w:pStyle w:val="FootnoteText"/>
        <w:rPr>
          <w:sz w:val="16"/>
          <w:szCs w:val="16"/>
        </w:rPr>
      </w:pPr>
      <w:r w:rsidRPr="00EF190F">
        <w:rPr>
          <w:rStyle w:val="FootnoteReference"/>
          <w:sz w:val="16"/>
          <w:szCs w:val="16"/>
        </w:rPr>
        <w:footnoteRef/>
      </w:r>
      <w:r w:rsidRPr="00EF190F">
        <w:rPr>
          <w:sz w:val="16"/>
          <w:szCs w:val="16"/>
        </w:rPr>
        <w:t xml:space="preserve"> El 13 de septiembre de 2007 la Asamblea General de la ONU aprobó la Declaración de las Naciones Unidas sobre los Derechos de los Pueblos Indígenas, con voto a favor de Guatemala. Esta establece en el artículo 15.2: “Los Estados adoptarán medidas eficaces, en consulta y cooperación con los pueblos indígenas interesados, para combatir los prejuicios y eliminar la discriminación y promover la tolerancia, la comprensión y las buenas relaciones entre los pueblos indígenas y todos los demás sectores de la sociedad”. Además, el Convenio No. 169 de la OIT sobre pueblos indígenas y tribales, ratificado por Guatemala el 5 de junio de 1996, en su artículo 31 establece: “Deberán adoptarse medidas de carácter educativo en todos los sectores de la comunidad nacional, y especialmente en los que estén en contacto más directo con los pueblos interesados, con objeto de eliminar los prejuicios que pudieran tener con respecto a esos pueblos. A tal fin, deberán hacerse esfuerzos por asegurar que los libros de historia y demás material didáctico ofrezcan una descripción equitativa, exacta e instructiva de las sociedades y culturas de los pueblos interesados.” Además, la Declaración Americana sobre los Derechos de los Pueblos Indígenas, aprobada en el 46 Periodo Ordinario de Sesiones de la Asamblea General de la Organización de los Estados Americanos, celebrada del 13 al 15 de junio de 2016 en República Dominicana, establece en su artículo XV.5: “Los Estados promoverán relaciones interculturales armónicas, asegurando en los sistemas educativos estatales currícula con contenidos que reflejen la naturaleza pluricultural y multilingüe</w:t>
      </w:r>
      <w:r w:rsidRPr="00EF190F">
        <w:rPr>
          <w:sz w:val="16"/>
          <w:szCs w:val="16"/>
          <w:lang w:val="es-MX"/>
        </w:rPr>
        <w:t xml:space="preserve"> de sus sociedades y que impulsen el respeto y el conocimiento de las diversas culturas indígenas. Los Estados, en conjunto con los pueblos indígenas, impulsarán la educación intercultural que refleje las cosmovisiones, historias, lenguas, conocimientos, valores, culturas, prácticas y formas de vida de dichos pueblos</w:t>
      </w:r>
      <w:r w:rsidRPr="00EF190F">
        <w:rPr>
          <w:sz w:val="16"/>
          <w:szCs w:val="16"/>
        </w:rPr>
        <w:t>”.</w:t>
      </w:r>
    </w:p>
  </w:footnote>
  <w:footnote w:id="371">
    <w:p w:rsidR="006A0E1C" w:rsidRPr="00EF190F" w:rsidRDefault="006A0E1C" w:rsidP="006A0E1C">
      <w:pPr>
        <w:tabs>
          <w:tab w:val="left" w:pos="360"/>
        </w:tabs>
        <w:spacing w:line="240" w:lineRule="auto"/>
        <w:contextualSpacing/>
        <w:rPr>
          <w:rFonts w:cs="Verdana"/>
          <w:bCs/>
          <w:sz w:val="16"/>
          <w:szCs w:val="16"/>
          <w:lang w:val="es-PR" w:bidi="en-US"/>
        </w:rPr>
      </w:pPr>
      <w:r w:rsidRPr="00EF190F">
        <w:rPr>
          <w:rStyle w:val="FootnoteReference"/>
          <w:sz w:val="16"/>
          <w:szCs w:val="16"/>
        </w:rPr>
        <w:footnoteRef/>
      </w:r>
      <w:r w:rsidRPr="00EF190F">
        <w:rPr>
          <w:sz w:val="16"/>
          <w:szCs w:val="16"/>
          <w:lang w:val="es-MX"/>
        </w:rPr>
        <w:t xml:space="preserve"> </w:t>
      </w:r>
      <w:r w:rsidRPr="00EF190F">
        <w:rPr>
          <w:sz w:val="16"/>
          <w:szCs w:val="16"/>
          <w:lang w:val="es-MX"/>
        </w:rPr>
        <w:tab/>
      </w:r>
      <w:r w:rsidRPr="00EF190F">
        <w:rPr>
          <w:i/>
          <w:sz w:val="16"/>
          <w:szCs w:val="16"/>
        </w:rPr>
        <w:t>Cfr.</w:t>
      </w:r>
      <w:r w:rsidRPr="00EF190F">
        <w:rPr>
          <w:b/>
          <w:sz w:val="16"/>
          <w:szCs w:val="16"/>
        </w:rPr>
        <w:t xml:space="preserve"> </w:t>
      </w:r>
      <w:r w:rsidRPr="00EF190F">
        <w:rPr>
          <w:bCs/>
          <w:i/>
          <w:color w:val="000000"/>
          <w:sz w:val="16"/>
          <w:szCs w:val="16"/>
        </w:rPr>
        <w:t>Caso</w:t>
      </w:r>
      <w:r w:rsidRPr="00EF190F">
        <w:rPr>
          <w:sz w:val="16"/>
          <w:szCs w:val="16"/>
        </w:rPr>
        <w:t xml:space="preserve"> </w:t>
      </w:r>
      <w:r w:rsidRPr="00EF190F">
        <w:rPr>
          <w:i/>
          <w:sz w:val="16"/>
          <w:szCs w:val="16"/>
        </w:rPr>
        <w:t>Bámaca Velásquez Vs. Guatemala.</w:t>
      </w:r>
      <w:r w:rsidRPr="00EF190F">
        <w:rPr>
          <w:sz w:val="16"/>
          <w:szCs w:val="16"/>
        </w:rPr>
        <w:t xml:space="preserve"> </w:t>
      </w:r>
      <w:r w:rsidRPr="00EF190F">
        <w:rPr>
          <w:i/>
          <w:sz w:val="16"/>
          <w:szCs w:val="16"/>
        </w:rPr>
        <w:t>Reparaciones</w:t>
      </w:r>
      <w:r w:rsidRPr="00EF190F">
        <w:rPr>
          <w:sz w:val="16"/>
          <w:szCs w:val="16"/>
        </w:rPr>
        <w:t xml:space="preserve"> </w:t>
      </w:r>
      <w:r w:rsidRPr="00EF190F">
        <w:rPr>
          <w:i/>
          <w:sz w:val="16"/>
          <w:szCs w:val="16"/>
        </w:rPr>
        <w:t>y Costas</w:t>
      </w:r>
      <w:r w:rsidRPr="00EF190F">
        <w:rPr>
          <w:sz w:val="16"/>
          <w:szCs w:val="16"/>
        </w:rPr>
        <w:t>. Sentencia de 22 de febrero de 2002. Serie C No. 91</w:t>
      </w:r>
      <w:r w:rsidRPr="00EF190F">
        <w:rPr>
          <w:rFonts w:cs="Verdana"/>
          <w:bCs/>
          <w:sz w:val="16"/>
          <w:szCs w:val="16"/>
          <w:lang w:val="es-ES"/>
        </w:rPr>
        <w:t>, párr. 43</w:t>
      </w:r>
      <w:r w:rsidRPr="00EF190F">
        <w:rPr>
          <w:color w:val="000000"/>
          <w:sz w:val="16"/>
          <w:szCs w:val="16"/>
        </w:rPr>
        <w:t xml:space="preserve">, y </w:t>
      </w:r>
      <w:r w:rsidRPr="00EF190F">
        <w:rPr>
          <w:rStyle w:val="Strong"/>
          <w:b w:val="0"/>
          <w:i/>
          <w:color w:val="000000"/>
          <w:sz w:val="16"/>
          <w:szCs w:val="16"/>
          <w:shd w:val="clear" w:color="auto" w:fill="FFFFFF"/>
        </w:rPr>
        <w:t>Caso Flor Freire Vs. Ecuador. Excepción Preliminar, Fondo, Reparaciones y Costas</w:t>
      </w:r>
      <w:r w:rsidRPr="00EF190F">
        <w:rPr>
          <w:rStyle w:val="Strong"/>
          <w:b w:val="0"/>
          <w:color w:val="000000"/>
          <w:sz w:val="16"/>
          <w:szCs w:val="16"/>
          <w:shd w:val="clear" w:color="auto" w:fill="FFFFFF"/>
        </w:rPr>
        <w:t>. Sentencia de 31 de agosto de 2016. Serie C No. 315, párr. 251</w:t>
      </w:r>
      <w:r w:rsidRPr="00EF190F">
        <w:rPr>
          <w:color w:val="000000"/>
          <w:sz w:val="16"/>
          <w:szCs w:val="16"/>
          <w:lang w:val="es-PR"/>
        </w:rPr>
        <w:t>.</w:t>
      </w:r>
    </w:p>
  </w:footnote>
  <w:footnote w:id="372">
    <w:p w:rsidR="006A0E1C" w:rsidRPr="00EF190F" w:rsidRDefault="006A0E1C" w:rsidP="006A0E1C">
      <w:pPr>
        <w:pStyle w:val="FootnoteText"/>
        <w:tabs>
          <w:tab w:val="left" w:pos="360"/>
        </w:tabs>
        <w:rPr>
          <w:sz w:val="16"/>
          <w:szCs w:val="16"/>
          <w:lang w:val="es-CR"/>
        </w:rPr>
      </w:pPr>
      <w:r w:rsidRPr="00EF190F">
        <w:rPr>
          <w:rStyle w:val="FootnoteReference"/>
          <w:sz w:val="16"/>
          <w:szCs w:val="16"/>
        </w:rPr>
        <w:footnoteRef/>
      </w:r>
      <w:r w:rsidRPr="00EF190F">
        <w:rPr>
          <w:sz w:val="16"/>
          <w:szCs w:val="16"/>
        </w:rPr>
        <w:t xml:space="preserve"> </w:t>
      </w:r>
      <w:r w:rsidRPr="00EF190F">
        <w:rPr>
          <w:sz w:val="16"/>
          <w:szCs w:val="16"/>
          <w:lang w:val="es-MX"/>
        </w:rPr>
        <w:tab/>
      </w:r>
      <w:r w:rsidRPr="00EF190F">
        <w:rPr>
          <w:i/>
          <w:sz w:val="16"/>
          <w:szCs w:val="16"/>
        </w:rPr>
        <w:t>Cfr.</w:t>
      </w:r>
      <w:r w:rsidRPr="00EF190F">
        <w:rPr>
          <w:b/>
          <w:sz w:val="16"/>
          <w:szCs w:val="16"/>
        </w:rPr>
        <w:t xml:space="preserve"> </w:t>
      </w:r>
      <w:r w:rsidRPr="00EF190F">
        <w:rPr>
          <w:i/>
          <w:sz w:val="16"/>
          <w:szCs w:val="16"/>
        </w:rPr>
        <w:t xml:space="preserve">Caso de los Niños de la Calle (Villagrán Morales y otros) Vs. Guatemala. Reparaciones y Costas. </w:t>
      </w:r>
      <w:r w:rsidRPr="00EF190F">
        <w:rPr>
          <w:sz w:val="16"/>
          <w:szCs w:val="16"/>
        </w:rPr>
        <w:t xml:space="preserve">Sentencia de 26 de mayo de 2001. Serie C No. 77, párr. 84, y </w:t>
      </w:r>
      <w:r w:rsidRPr="00EF190F">
        <w:rPr>
          <w:rStyle w:val="Strong"/>
          <w:b w:val="0"/>
          <w:i/>
          <w:color w:val="000000"/>
          <w:sz w:val="16"/>
          <w:szCs w:val="16"/>
          <w:shd w:val="clear" w:color="auto" w:fill="FFFFFF"/>
        </w:rPr>
        <w:t>Caso Flor Freire Vs. Ecuador</w:t>
      </w:r>
      <w:r w:rsidRPr="00EF190F">
        <w:rPr>
          <w:rStyle w:val="Strong"/>
          <w:b w:val="0"/>
          <w:color w:val="000000"/>
          <w:sz w:val="16"/>
          <w:szCs w:val="16"/>
          <w:shd w:val="clear" w:color="auto" w:fill="FFFFFF"/>
        </w:rPr>
        <w:t>, párr. 256.</w:t>
      </w:r>
    </w:p>
  </w:footnote>
  <w:footnote w:id="373">
    <w:p w:rsidR="006A0E1C" w:rsidRPr="00EF190F" w:rsidRDefault="006A0E1C" w:rsidP="006A0E1C">
      <w:pPr>
        <w:pStyle w:val="FootnoteText"/>
        <w:tabs>
          <w:tab w:val="left" w:pos="360"/>
        </w:tabs>
        <w:contextualSpacing/>
        <w:rPr>
          <w:sz w:val="16"/>
          <w:szCs w:val="16"/>
        </w:rPr>
      </w:pPr>
      <w:r w:rsidRPr="00EF190F">
        <w:rPr>
          <w:rStyle w:val="Caracteresdenotafinal"/>
          <w:sz w:val="16"/>
          <w:szCs w:val="16"/>
        </w:rPr>
        <w:footnoteRef/>
      </w:r>
      <w:r w:rsidRPr="00EF190F">
        <w:rPr>
          <w:sz w:val="16"/>
          <w:szCs w:val="16"/>
        </w:rPr>
        <w:tab/>
      </w:r>
      <w:r w:rsidRPr="00EF190F">
        <w:rPr>
          <w:i/>
          <w:sz w:val="16"/>
          <w:szCs w:val="16"/>
        </w:rPr>
        <w:t>Cfr.</w:t>
      </w:r>
      <w:r w:rsidRPr="00EF190F">
        <w:rPr>
          <w:sz w:val="16"/>
          <w:szCs w:val="16"/>
        </w:rPr>
        <w:t xml:space="preserve"> </w:t>
      </w:r>
      <w:r w:rsidRPr="00EF190F">
        <w:rPr>
          <w:i/>
          <w:sz w:val="16"/>
          <w:szCs w:val="16"/>
          <w:lang w:bidi="en-US"/>
        </w:rPr>
        <w:t>Caso Reverón Trujillo Vs. Venezuela. Excepción Preliminar, Fondo, Reparaciones y Costas.</w:t>
      </w:r>
      <w:r w:rsidRPr="00EF190F">
        <w:rPr>
          <w:sz w:val="16"/>
          <w:szCs w:val="16"/>
          <w:lang w:bidi="en-US"/>
        </w:rPr>
        <w:t xml:space="preserve"> Sentencia de 30 de junio de 2009. Serie C No. 197,</w:t>
      </w:r>
      <w:r w:rsidRPr="00EF190F">
        <w:rPr>
          <w:i/>
          <w:sz w:val="16"/>
          <w:szCs w:val="16"/>
          <w:lang w:bidi="en-US"/>
        </w:rPr>
        <w:t xml:space="preserve"> </w:t>
      </w:r>
      <w:r w:rsidRPr="00EF190F">
        <w:rPr>
          <w:sz w:val="16"/>
          <w:szCs w:val="16"/>
          <w:lang w:bidi="en-US"/>
        </w:rPr>
        <w:t xml:space="preserve">párr. 176, y </w:t>
      </w:r>
      <w:r w:rsidRPr="00EF190F">
        <w:rPr>
          <w:rStyle w:val="Strong"/>
          <w:b w:val="0"/>
          <w:i/>
          <w:color w:val="000000"/>
          <w:sz w:val="16"/>
          <w:szCs w:val="16"/>
          <w:shd w:val="clear" w:color="auto" w:fill="FFFFFF"/>
        </w:rPr>
        <w:t>Caso Maldonado Ordoñez Vs. Guatemala. Excepción Preliminar, Fondo, Reparaciones y Costas</w:t>
      </w:r>
      <w:r w:rsidRPr="00EF190F">
        <w:rPr>
          <w:rStyle w:val="Strong"/>
          <w:b w:val="0"/>
          <w:color w:val="000000"/>
          <w:sz w:val="16"/>
          <w:szCs w:val="16"/>
          <w:shd w:val="clear" w:color="auto" w:fill="FFFFFF"/>
        </w:rPr>
        <w:t>. Sentencia de 3 de mayo de 2016. Serie C No. 311</w:t>
      </w:r>
      <w:r w:rsidRPr="00EF190F">
        <w:rPr>
          <w:i/>
          <w:sz w:val="16"/>
          <w:szCs w:val="16"/>
        </w:rPr>
        <w:t xml:space="preserve">, </w:t>
      </w:r>
      <w:r w:rsidRPr="00EF190F">
        <w:rPr>
          <w:sz w:val="16"/>
          <w:szCs w:val="16"/>
        </w:rPr>
        <w:t>párr. 149.</w:t>
      </w:r>
    </w:p>
  </w:footnote>
  <w:footnote w:id="374">
    <w:p w:rsidR="006A0E1C" w:rsidRPr="00EF190F" w:rsidRDefault="006A0E1C" w:rsidP="006A0E1C">
      <w:pPr>
        <w:pStyle w:val="FootnoteText"/>
        <w:tabs>
          <w:tab w:val="left" w:pos="360"/>
        </w:tabs>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Informe Actuarial de Daños (expediente de prueba, folios 4305 a 4736).</w:t>
      </w:r>
    </w:p>
  </w:footnote>
  <w:footnote w:id="375">
    <w:p w:rsidR="006A0E1C" w:rsidRPr="00EF190F" w:rsidRDefault="006A0E1C" w:rsidP="006A0E1C">
      <w:pPr>
        <w:pStyle w:val="FootnoteText"/>
        <w:tabs>
          <w:tab w:val="left" w:pos="360"/>
        </w:tabs>
        <w:rPr>
          <w:sz w:val="16"/>
          <w:szCs w:val="16"/>
          <w:lang w:val="es-PR"/>
        </w:rPr>
      </w:pPr>
      <w:r w:rsidRPr="00EF190F">
        <w:rPr>
          <w:rStyle w:val="FootnoteReference"/>
          <w:sz w:val="16"/>
          <w:szCs w:val="16"/>
        </w:rPr>
        <w:footnoteRef/>
      </w:r>
      <w:r w:rsidRPr="00EF190F">
        <w:rPr>
          <w:sz w:val="16"/>
          <w:szCs w:val="16"/>
        </w:rPr>
        <w:t xml:space="preserve"> </w:t>
      </w:r>
      <w:r w:rsidRPr="00EF190F">
        <w:rPr>
          <w:sz w:val="16"/>
          <w:szCs w:val="16"/>
          <w:lang w:val="es-PR"/>
        </w:rPr>
        <w:tab/>
        <w:t xml:space="preserve">Lo anterior, con la excepción de que no se calculó lucro cesante a favor de las personas desaparecidas. </w:t>
      </w:r>
    </w:p>
  </w:footnote>
  <w:footnote w:id="376">
    <w:p w:rsidR="006A0E1C" w:rsidRPr="00EF190F" w:rsidRDefault="006A0E1C" w:rsidP="006A0E1C">
      <w:pPr>
        <w:widowControl/>
        <w:tabs>
          <w:tab w:val="left" w:pos="360"/>
        </w:tabs>
        <w:autoSpaceDE w:val="0"/>
        <w:autoSpaceDN w:val="0"/>
        <w:spacing w:line="240" w:lineRule="auto"/>
        <w:textAlignment w:val="auto"/>
        <w:rPr>
          <w:rFonts w:eastAsia="Calibri"/>
          <w:sz w:val="16"/>
          <w:szCs w:val="16"/>
          <w:lang w:eastAsia="en-US"/>
        </w:rPr>
      </w:pPr>
      <w:r w:rsidRPr="00EF190F">
        <w:rPr>
          <w:rStyle w:val="FootnoteReference"/>
          <w:sz w:val="16"/>
          <w:szCs w:val="16"/>
        </w:rPr>
        <w:footnoteRef/>
      </w:r>
      <w:r w:rsidRPr="00EF190F">
        <w:rPr>
          <w:sz w:val="16"/>
          <w:szCs w:val="16"/>
        </w:rPr>
        <w:t xml:space="preserve"> </w:t>
      </w:r>
      <w:r w:rsidRPr="00EF190F">
        <w:rPr>
          <w:sz w:val="16"/>
          <w:szCs w:val="16"/>
        </w:rPr>
        <w:tab/>
      </w:r>
      <w:r w:rsidRPr="00EF190F">
        <w:rPr>
          <w:i/>
          <w:sz w:val="16"/>
          <w:szCs w:val="16"/>
        </w:rPr>
        <w:t>Cfr.</w:t>
      </w:r>
      <w:r w:rsidRPr="00EF190F">
        <w:rPr>
          <w:sz w:val="16"/>
          <w:szCs w:val="16"/>
        </w:rPr>
        <w:t xml:space="preserve"> </w:t>
      </w:r>
      <w:r w:rsidRPr="00EF190F">
        <w:rPr>
          <w:rFonts w:eastAsia="Calibri"/>
          <w:sz w:val="16"/>
          <w:szCs w:val="16"/>
          <w:lang w:eastAsia="en-US"/>
        </w:rPr>
        <w:t>Copia de las actas de los pagos realizados a miembros de la aldea Chichupac por el Programa Nacional de Resarcimiento</w:t>
      </w:r>
      <w:r w:rsidRPr="00EF190F">
        <w:rPr>
          <w:sz w:val="16"/>
          <w:szCs w:val="16"/>
        </w:rPr>
        <w:t xml:space="preserve"> (expediente de prueba, folios 10189 a 10804). </w:t>
      </w:r>
    </w:p>
  </w:footnote>
  <w:footnote w:id="377">
    <w:p w:rsidR="006A0E1C" w:rsidRPr="00EF190F" w:rsidRDefault="006A0E1C" w:rsidP="006A0E1C">
      <w:pPr>
        <w:pStyle w:val="FootnoteText"/>
        <w:tabs>
          <w:tab w:val="left" w:pos="360"/>
        </w:tabs>
        <w:contextualSpacing/>
        <w:rPr>
          <w:sz w:val="16"/>
          <w:szCs w:val="16"/>
          <w:lang w:val="es-GT"/>
        </w:rPr>
      </w:pPr>
      <w:r w:rsidRPr="00EF190F">
        <w:rPr>
          <w:rStyle w:val="FootnoteReference"/>
          <w:sz w:val="16"/>
          <w:szCs w:val="16"/>
        </w:rPr>
        <w:footnoteRef/>
      </w:r>
      <w:r w:rsidRPr="00EF190F">
        <w:rPr>
          <w:sz w:val="16"/>
          <w:szCs w:val="16"/>
        </w:rPr>
        <w:t xml:space="preserve"> </w:t>
      </w:r>
      <w:r w:rsidRPr="00EF190F">
        <w:rPr>
          <w:sz w:val="16"/>
          <w:szCs w:val="16"/>
          <w:lang w:val="es-GT"/>
        </w:rPr>
        <w:tab/>
      </w:r>
      <w:r w:rsidRPr="00EF190F">
        <w:rPr>
          <w:i/>
          <w:sz w:val="16"/>
          <w:szCs w:val="16"/>
          <w:lang w:val="es-GT"/>
        </w:rPr>
        <w:t xml:space="preserve">Cfr. </w:t>
      </w:r>
      <w:r w:rsidRPr="00EF190F">
        <w:rPr>
          <w:rStyle w:val="Strong"/>
          <w:b w:val="0"/>
          <w:i/>
          <w:color w:val="000000"/>
          <w:sz w:val="16"/>
          <w:szCs w:val="16"/>
          <w:shd w:val="clear" w:color="auto" w:fill="FFFFFF"/>
        </w:rPr>
        <w:t>Caso Gudiel Álvarez y otros ("Diario Militar") Vs. Guatemala</w:t>
      </w:r>
      <w:r w:rsidRPr="00EF190F">
        <w:rPr>
          <w:rStyle w:val="Strong"/>
          <w:b w:val="0"/>
          <w:color w:val="000000"/>
          <w:sz w:val="16"/>
          <w:szCs w:val="16"/>
          <w:shd w:val="clear" w:color="auto" w:fill="FFFFFF"/>
        </w:rPr>
        <w:t xml:space="preserve">, párr. 389, y </w:t>
      </w:r>
      <w:r w:rsidRPr="00EF190F">
        <w:rPr>
          <w:i/>
          <w:sz w:val="16"/>
          <w:szCs w:val="16"/>
          <w:lang w:val="es-GT"/>
        </w:rPr>
        <w:t>Caso Masacres de Río Negro Vs. Guatemala</w:t>
      </w:r>
      <w:r w:rsidRPr="00EF190F">
        <w:rPr>
          <w:sz w:val="16"/>
          <w:szCs w:val="16"/>
          <w:lang w:val="es-GT"/>
        </w:rPr>
        <w:t>, párr. 304.</w:t>
      </w:r>
    </w:p>
  </w:footnote>
  <w:footnote w:id="378">
    <w:p w:rsidR="006A0E1C" w:rsidRPr="00EF190F" w:rsidRDefault="006A0E1C" w:rsidP="006A0E1C">
      <w:pPr>
        <w:tabs>
          <w:tab w:val="left" w:pos="-540"/>
          <w:tab w:val="left" w:pos="360"/>
        </w:tabs>
        <w:spacing w:line="240" w:lineRule="auto"/>
        <w:contextualSpacing/>
        <w:rPr>
          <w:color w:val="000000"/>
          <w:sz w:val="16"/>
          <w:szCs w:val="16"/>
        </w:rPr>
      </w:pPr>
      <w:r w:rsidRPr="00EF190F">
        <w:rPr>
          <w:rStyle w:val="Caracteresdenotafinal"/>
          <w:sz w:val="16"/>
          <w:szCs w:val="16"/>
        </w:rPr>
        <w:footnoteRef/>
      </w:r>
      <w:r w:rsidRPr="00EF190F">
        <w:rPr>
          <w:sz w:val="16"/>
          <w:szCs w:val="16"/>
        </w:rPr>
        <w:tab/>
      </w:r>
      <w:r w:rsidRPr="00EF190F">
        <w:rPr>
          <w:i/>
          <w:sz w:val="16"/>
          <w:szCs w:val="16"/>
        </w:rPr>
        <w:t xml:space="preserve">Cfr. </w:t>
      </w:r>
      <w:r w:rsidRPr="00EF190F">
        <w:rPr>
          <w:bCs/>
          <w:i/>
          <w:color w:val="000000"/>
          <w:sz w:val="16"/>
          <w:szCs w:val="16"/>
        </w:rPr>
        <w:t>Caso Ticona Estrada y otros Vs. Bolivia</w:t>
      </w:r>
      <w:r w:rsidRPr="00EF190F">
        <w:rPr>
          <w:color w:val="000000"/>
          <w:sz w:val="16"/>
          <w:szCs w:val="16"/>
        </w:rPr>
        <w:t>, párr. 109</w:t>
      </w:r>
      <w:r w:rsidRPr="00EF190F">
        <w:rPr>
          <w:sz w:val="16"/>
          <w:szCs w:val="16"/>
        </w:rPr>
        <w:t xml:space="preserve">, y </w:t>
      </w:r>
      <w:r w:rsidRPr="00EF190F">
        <w:rPr>
          <w:bCs/>
          <w:i/>
          <w:color w:val="000000"/>
          <w:sz w:val="16"/>
          <w:szCs w:val="16"/>
        </w:rPr>
        <w:t>Caso Masacres de Río Negro Vs. Guatemala,</w:t>
      </w:r>
      <w:r w:rsidRPr="00EF190F">
        <w:rPr>
          <w:color w:val="000000"/>
          <w:sz w:val="16"/>
          <w:szCs w:val="16"/>
        </w:rPr>
        <w:t xml:space="preserve"> párr. 309.</w:t>
      </w:r>
    </w:p>
  </w:footnote>
  <w:footnote w:id="379">
    <w:p w:rsidR="006A0E1C" w:rsidRPr="00EF190F" w:rsidRDefault="006A0E1C" w:rsidP="006A0E1C">
      <w:pPr>
        <w:pStyle w:val="FootnoteText"/>
        <w:contextualSpacing/>
        <w:rPr>
          <w:sz w:val="16"/>
          <w:szCs w:val="16"/>
          <w:lang w:val="es-GT"/>
        </w:rPr>
      </w:pPr>
      <w:r w:rsidRPr="00EF190F">
        <w:rPr>
          <w:rStyle w:val="FootnoteReference"/>
          <w:sz w:val="16"/>
          <w:szCs w:val="16"/>
        </w:rPr>
        <w:footnoteRef/>
      </w:r>
      <w:r w:rsidRPr="00EF190F">
        <w:rPr>
          <w:sz w:val="16"/>
          <w:szCs w:val="16"/>
        </w:rPr>
        <w:t xml:space="preserve"> </w:t>
      </w:r>
      <w:r w:rsidRPr="00EF190F">
        <w:rPr>
          <w:sz w:val="16"/>
          <w:szCs w:val="16"/>
          <w:lang w:val="es-GT"/>
        </w:rPr>
        <w:tab/>
      </w:r>
      <w:r w:rsidRPr="00EF190F">
        <w:rPr>
          <w:sz w:val="16"/>
          <w:szCs w:val="16"/>
        </w:rPr>
        <w:t xml:space="preserve">En sus alegatos finales escritos manifestó, en relación con la solicitud de los representantes del </w:t>
      </w:r>
      <w:r w:rsidRPr="00EF190F">
        <w:rPr>
          <w:rFonts w:eastAsia="Calibri"/>
          <w:sz w:val="16"/>
          <w:szCs w:val="16"/>
          <w:lang w:val="es-CR"/>
        </w:rPr>
        <w:t xml:space="preserve">pago de costas y gastos, </w:t>
      </w:r>
      <w:r w:rsidRPr="00EF190F">
        <w:rPr>
          <w:sz w:val="16"/>
          <w:szCs w:val="16"/>
        </w:rPr>
        <w:t>que</w:t>
      </w:r>
      <w:r w:rsidRPr="00EF190F">
        <w:rPr>
          <w:rFonts w:eastAsia="Calibri"/>
          <w:sz w:val="16"/>
          <w:szCs w:val="16"/>
          <w:lang w:val="es-CR"/>
        </w:rPr>
        <w:t xml:space="preserve"> estos se habrían presentado “de forma discrecional, toda vez que no se dem[ostraron] fehacientemente con documentos comprobables”. Igualmente solicitó a la Corte “tomar en consideración, que en ningún momento se ajusta a la realidad lo descrito de forma general por parte de los representantes, </w:t>
      </w:r>
      <w:r w:rsidRPr="00EF190F">
        <w:rPr>
          <w:rFonts w:eastAsia="Calibri" w:cs="Arial"/>
          <w:sz w:val="16"/>
          <w:szCs w:val="16"/>
          <w:lang w:val="es-CR"/>
        </w:rPr>
        <w:t xml:space="preserve">y </w:t>
      </w:r>
      <w:r w:rsidRPr="00EF190F">
        <w:rPr>
          <w:rFonts w:eastAsia="Calibri"/>
          <w:sz w:val="16"/>
          <w:szCs w:val="16"/>
          <w:lang w:val="es-CR"/>
        </w:rPr>
        <w:t xml:space="preserve">que al momento de emitir una resolución, también debe reconsiderarse la situación económica del país, </w:t>
      </w:r>
      <w:r w:rsidRPr="00EF190F">
        <w:rPr>
          <w:rFonts w:eastAsia="Calibri" w:cs="Arial"/>
          <w:sz w:val="16"/>
          <w:szCs w:val="16"/>
          <w:lang w:val="es-CR"/>
        </w:rPr>
        <w:t xml:space="preserve">y </w:t>
      </w:r>
      <w:r w:rsidRPr="00EF190F">
        <w:rPr>
          <w:rFonts w:eastAsia="Calibri"/>
          <w:sz w:val="16"/>
          <w:szCs w:val="16"/>
          <w:lang w:val="es-CR"/>
        </w:rPr>
        <w:t xml:space="preserve">el no enriquecimiento desproporcionado de las presuntas víctimas”. </w:t>
      </w:r>
    </w:p>
  </w:footnote>
  <w:footnote w:id="380">
    <w:p w:rsidR="006A0E1C" w:rsidRPr="00EF190F" w:rsidRDefault="006A0E1C" w:rsidP="006A0E1C">
      <w:pPr>
        <w:pStyle w:val="FootnoteText"/>
        <w:rPr>
          <w:sz w:val="16"/>
          <w:szCs w:val="16"/>
          <w:lang w:val="es-CL"/>
        </w:rPr>
      </w:pPr>
      <w:r w:rsidRPr="00EF190F">
        <w:rPr>
          <w:rStyle w:val="FootnoteReference"/>
          <w:sz w:val="16"/>
          <w:szCs w:val="16"/>
        </w:rPr>
        <w:footnoteRef/>
      </w:r>
      <w:r w:rsidRPr="00EF190F">
        <w:rPr>
          <w:sz w:val="16"/>
          <w:szCs w:val="16"/>
          <w:lang w:val="es-ES"/>
        </w:rPr>
        <w:t xml:space="preserve"> </w:t>
      </w:r>
      <w:r w:rsidRPr="00EF190F">
        <w:rPr>
          <w:i/>
          <w:sz w:val="16"/>
          <w:szCs w:val="16"/>
          <w:lang w:val="es-ES"/>
        </w:rPr>
        <w:t>Cfr. Caso Garrido y Baigorria Vs. Argentina. Reparaciones y Costas</w:t>
      </w:r>
      <w:r w:rsidRPr="00EF190F">
        <w:rPr>
          <w:sz w:val="16"/>
          <w:szCs w:val="16"/>
          <w:lang w:val="es-ES"/>
        </w:rPr>
        <w:t xml:space="preserve">. Sentencia de 27 de agosto de 1998. Serie C No. 39, párrs. 79 y 82, y </w:t>
      </w:r>
      <w:r w:rsidRPr="00EF190F">
        <w:rPr>
          <w:i/>
          <w:sz w:val="16"/>
          <w:szCs w:val="16"/>
          <w:lang w:val="es-ES"/>
        </w:rPr>
        <w:t>Caso Herrera Espinoza y otros</w:t>
      </w:r>
      <w:r w:rsidRPr="00EF190F">
        <w:rPr>
          <w:sz w:val="16"/>
          <w:szCs w:val="16"/>
          <w:lang w:val="es-ES"/>
        </w:rPr>
        <w:t xml:space="preserve">, párrs. </w:t>
      </w:r>
      <w:r w:rsidRPr="00EF190F">
        <w:rPr>
          <w:sz w:val="16"/>
          <w:szCs w:val="16"/>
        </w:rPr>
        <w:t>248 y 249</w:t>
      </w:r>
      <w:r w:rsidRPr="00EF190F">
        <w:rPr>
          <w:sz w:val="16"/>
          <w:szCs w:val="16"/>
          <w:lang w:val="es-ES"/>
        </w:rPr>
        <w:t>.</w:t>
      </w:r>
    </w:p>
  </w:footnote>
  <w:footnote w:id="381">
    <w:p w:rsidR="006A0E1C" w:rsidRPr="00EF190F" w:rsidRDefault="006A0E1C" w:rsidP="006A0E1C">
      <w:pPr>
        <w:pStyle w:val="FootnoteText"/>
        <w:rPr>
          <w:sz w:val="16"/>
          <w:szCs w:val="16"/>
          <w:lang w:val="es-CL"/>
        </w:rPr>
      </w:pPr>
      <w:r w:rsidRPr="00EF190F">
        <w:rPr>
          <w:rStyle w:val="FootnoteReference"/>
          <w:sz w:val="16"/>
          <w:szCs w:val="16"/>
        </w:rPr>
        <w:footnoteRef/>
      </w:r>
      <w:r w:rsidRPr="00EF190F">
        <w:rPr>
          <w:sz w:val="16"/>
          <w:szCs w:val="16"/>
          <w:lang w:val="es-ES"/>
        </w:rPr>
        <w:t xml:space="preserve"> </w:t>
      </w:r>
      <w:r w:rsidRPr="00EF190F">
        <w:rPr>
          <w:i/>
          <w:sz w:val="16"/>
          <w:szCs w:val="16"/>
          <w:lang w:val="es-ES"/>
        </w:rPr>
        <w:t>Cfr. Caso Chaparro Álvarez y Lapo Íñiguez. Vs. Ecuador. Excepciones Preliminares, Fondo, Reparaciones y Costas</w:t>
      </w:r>
      <w:r w:rsidRPr="00EF190F">
        <w:rPr>
          <w:sz w:val="16"/>
          <w:szCs w:val="16"/>
          <w:lang w:val="es-ES"/>
        </w:rPr>
        <w:t xml:space="preserve">. Sentencia de 21 de noviembre de 2007. Serie C No. 170, párr. 275, y </w:t>
      </w:r>
      <w:r w:rsidRPr="00EF190F">
        <w:rPr>
          <w:i/>
          <w:sz w:val="16"/>
          <w:szCs w:val="16"/>
          <w:lang w:val="es-ES"/>
        </w:rPr>
        <w:t>Caso Herrera Espinoza y otros</w:t>
      </w:r>
      <w:r w:rsidRPr="00EF190F">
        <w:rPr>
          <w:sz w:val="16"/>
          <w:szCs w:val="16"/>
          <w:lang w:val="es-ES"/>
        </w:rPr>
        <w:t xml:space="preserve">, párr. </w:t>
      </w:r>
      <w:r w:rsidRPr="00EF190F">
        <w:rPr>
          <w:sz w:val="16"/>
          <w:szCs w:val="16"/>
        </w:rPr>
        <w:t>248.</w:t>
      </w:r>
    </w:p>
  </w:footnote>
  <w:footnote w:id="382">
    <w:p w:rsidR="006A0E1C" w:rsidRPr="00EF190F" w:rsidRDefault="006A0E1C" w:rsidP="006A0E1C">
      <w:pPr>
        <w:pStyle w:val="FootnoteText"/>
        <w:contextualSpacing/>
        <w:rPr>
          <w:sz w:val="16"/>
          <w:szCs w:val="16"/>
        </w:rPr>
      </w:pPr>
      <w:r w:rsidRPr="00EF190F">
        <w:rPr>
          <w:rStyle w:val="FootnoteReference"/>
          <w:sz w:val="16"/>
          <w:szCs w:val="16"/>
        </w:rPr>
        <w:footnoteRef/>
      </w:r>
      <w:r w:rsidRPr="00EF190F">
        <w:rPr>
          <w:sz w:val="16"/>
          <w:szCs w:val="16"/>
        </w:rPr>
        <w:t xml:space="preserve"> </w:t>
      </w:r>
      <w:r w:rsidRPr="00EF190F">
        <w:rPr>
          <w:sz w:val="16"/>
          <w:szCs w:val="16"/>
        </w:rPr>
        <w:tab/>
        <w:t>Valuación actuarial de daños (expediente de prueba, folios 5397 a 5437).</w:t>
      </w:r>
    </w:p>
  </w:footnote>
  <w:footnote w:id="383">
    <w:p w:rsidR="006A0E1C" w:rsidRPr="00EF190F" w:rsidRDefault="006A0E1C" w:rsidP="006A0E1C">
      <w:pPr>
        <w:pStyle w:val="FootnoteText"/>
        <w:contextualSpacing/>
        <w:rPr>
          <w:b/>
          <w:sz w:val="16"/>
          <w:szCs w:val="16"/>
          <w:lang w:val="es-GT"/>
        </w:rPr>
      </w:pPr>
      <w:r w:rsidRPr="00EF190F">
        <w:rPr>
          <w:rStyle w:val="FootnoteReference"/>
          <w:sz w:val="16"/>
          <w:szCs w:val="16"/>
        </w:rPr>
        <w:footnoteRef/>
      </w:r>
      <w:r w:rsidRPr="00EF190F">
        <w:rPr>
          <w:b/>
          <w:sz w:val="16"/>
          <w:szCs w:val="16"/>
        </w:rPr>
        <w:t xml:space="preserve"> </w:t>
      </w:r>
      <w:r w:rsidRPr="00EF190F">
        <w:rPr>
          <w:b/>
          <w:sz w:val="16"/>
          <w:szCs w:val="16"/>
          <w:lang w:val="es-GT"/>
        </w:rPr>
        <w:tab/>
      </w:r>
      <w:r w:rsidRPr="00EF190F">
        <w:rPr>
          <w:sz w:val="16"/>
          <w:szCs w:val="16"/>
          <w:lang w:val="es-GT"/>
        </w:rPr>
        <w:t>La prueba documental remitida por los representantes incluye pagos por: certificaciones extendidas por la municipalidad de Rabinal; cajas mortuorias; el alquiler del salón para una charla informativa; alimentación; transporte; fotocopias; combustible, y timbres notariales y fiscales, todos ellos en relación con la tramitación del presente caso entre los años 2007 a 2014.</w:t>
      </w:r>
      <w:r w:rsidRPr="00EF190F">
        <w:rPr>
          <w:b/>
          <w:sz w:val="16"/>
          <w:szCs w:val="16"/>
          <w:lang w:val="es-GT"/>
        </w:rPr>
        <w:t xml:space="preserve">   </w:t>
      </w:r>
    </w:p>
  </w:footnote>
  <w:footnote w:id="384">
    <w:p w:rsidR="006A0E1C" w:rsidRPr="00EF190F" w:rsidRDefault="006A0E1C" w:rsidP="006A0E1C">
      <w:pPr>
        <w:pStyle w:val="FootnoteText"/>
        <w:contextualSpacing/>
        <w:rPr>
          <w:sz w:val="16"/>
          <w:szCs w:val="16"/>
          <w:lang w:val="es-GT"/>
        </w:rPr>
      </w:pPr>
      <w:r w:rsidRPr="00EF190F">
        <w:rPr>
          <w:rStyle w:val="FootnoteReference"/>
          <w:sz w:val="16"/>
          <w:szCs w:val="16"/>
        </w:rPr>
        <w:footnoteRef/>
      </w:r>
      <w:r w:rsidRPr="00EF190F">
        <w:rPr>
          <w:b/>
          <w:sz w:val="16"/>
          <w:szCs w:val="16"/>
        </w:rPr>
        <w:t xml:space="preserve"> </w:t>
      </w:r>
      <w:r w:rsidRPr="00EF190F">
        <w:rPr>
          <w:b/>
          <w:sz w:val="16"/>
          <w:szCs w:val="16"/>
          <w:lang w:val="es-GT"/>
        </w:rPr>
        <w:tab/>
      </w:r>
      <w:r w:rsidRPr="00EF190F">
        <w:rPr>
          <w:sz w:val="16"/>
          <w:szCs w:val="16"/>
          <w:lang w:val="es-GT"/>
        </w:rPr>
        <w:t xml:space="preserve">Entre estos se encuentran: el pago de honorarios entre los años 2007 a 2014 a María Dolores Itzep Manuel; los pagos a Sandra López y Reina Isabel Osorio Tecú por servicios técnicos de investigación prestados entre los años 2007 a 2008; los pagos a Abelina Osorio Sis por concepto de servicios técnicos como procuradora entre los años 2007 a 2008, y los pagos a Carlos Enrique de Paz Alvarado por concepto de pasantía entre los años 2013 y 2014. De igual forma, no se pudo constatar el vínculo con el presente caso de determinados pagos de alimentación, transporte, fotocopias, impresiones y servicio de internet, así como el pago de registro de mandato judicial, todos ellos efectuados en el año 2011.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EC" w:rsidRDefault="00630EEC">
    <w:pPr>
      <w:pStyle w:val="Header"/>
      <w:jc w:val="center"/>
    </w:pPr>
    <w:r>
      <w:fldChar w:fldCharType="begin"/>
    </w:r>
    <w:r>
      <w:instrText xml:space="preserve"> PAGE   \* MERGEFORMAT </w:instrText>
    </w:r>
    <w:r>
      <w:fldChar w:fldCharType="separate"/>
    </w:r>
    <w:r w:rsidR="006A0E1C">
      <w:rPr>
        <w:noProof/>
      </w:rPr>
      <w:t>113</w:t>
    </w:r>
    <w:r>
      <w:rPr>
        <w:noProof/>
      </w:rPr>
      <w:fldChar w:fldCharType="end"/>
    </w:r>
  </w:p>
  <w:p w:rsidR="00630EEC" w:rsidRDefault="00630EE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rsidP="00630EEC">
    <w:pPr>
      <w:autoSpaceDE w:val="0"/>
      <w:autoSpaceDN w:val="0"/>
      <w:spacing w:line="240" w:lineRule="auto"/>
      <w:rPr>
        <w:rFonts w:ascii="Times New Roman" w:hAnsi="Times New Roman"/>
        <w:sz w:val="10"/>
        <w:szCs w:val="10"/>
      </w:rPr>
    </w:pPr>
  </w:p>
  <w:p w:rsidR="00630EEC" w:rsidRPr="00BD0C75" w:rsidRDefault="00630EEC" w:rsidP="00630EEC">
    <w:pPr>
      <w:autoSpaceDE w:val="0"/>
      <w:autoSpaceDN w:val="0"/>
      <w:spacing w:line="240" w:lineRule="auto"/>
      <w:jc w:val="center"/>
      <w:rPr>
        <w:rFonts w:cs="Arial"/>
        <w:b/>
        <w:sz w:val="20"/>
        <w:szCs w:val="28"/>
      </w:rPr>
    </w:pPr>
    <w:r w:rsidRPr="00BD0C75">
      <w:rPr>
        <w:rFonts w:cs="Arial"/>
        <w:b/>
        <w:sz w:val="20"/>
        <w:szCs w:val="28"/>
      </w:rPr>
      <w:t>ANEXO IV</w:t>
    </w:r>
  </w:p>
  <w:p w:rsidR="00630EEC" w:rsidRDefault="00630EEC">
    <w:pPr>
      <w:autoSpaceDE w:val="0"/>
      <w:autoSpaceDN w:val="0"/>
      <w:spacing w:line="240" w:lineRule="auto"/>
      <w:rPr>
        <w:rFonts w:ascii="Times New Roman" w:hAnsi="Times New Roman"/>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Pr="006710E5" w:rsidRDefault="00630EEC" w:rsidP="00630EEC">
    <w:pPr>
      <w:autoSpaceDE w:val="0"/>
      <w:autoSpaceDN w:val="0"/>
      <w:spacing w:line="240" w:lineRule="auto"/>
      <w:jc w:val="center"/>
      <w:rPr>
        <w:sz w:val="20"/>
        <w:szCs w:val="28"/>
      </w:rPr>
    </w:pPr>
    <w:r w:rsidRPr="006710E5">
      <w:rPr>
        <w:rFonts w:cs="Arial"/>
        <w:b/>
        <w:color w:val="A6A6A6" w:themeColor="background1" w:themeShade="A6"/>
        <w:sz w:val="20"/>
        <w:szCs w:val="28"/>
      </w:rPr>
      <w:t>ANEXO IV</w:t>
    </w:r>
  </w:p>
  <w:p w:rsidR="00630EEC" w:rsidRDefault="00630EEC">
    <w:pPr>
      <w:autoSpaceDE w:val="0"/>
      <w:autoSpaceDN w:val="0"/>
      <w:spacing w:line="240" w:lineRule="auto"/>
      <w:rPr>
        <w:rFonts w:ascii="Times New Roman" w:hAnsi="Times New Roman"/>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EC" w:rsidRPr="00C23ECA" w:rsidRDefault="00630EEC" w:rsidP="00C23ECA">
    <w:pPr>
      <w:pStyle w:val="Header"/>
      <w:jc w:val="right"/>
      <w:rPr>
        <w:i/>
        <w:sz w:val="16"/>
        <w:lang w:val="es-P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EC" w:rsidRDefault="00630EEC" w:rsidP="00630EEC">
    <w:pPr>
      <w:tabs>
        <w:tab w:val="left" w:pos="5810"/>
      </w:tabs>
      <w:autoSpaceDE w:val="0"/>
      <w:autoSpaceDN w:val="0"/>
      <w:spacing w:line="200" w:lineRule="exact"/>
      <w:rPr>
        <w:rFonts w:ascii="Times New Roman" w:hAnsi="Times New Roman"/>
        <w:sz w:val="20"/>
        <w:szCs w:val="20"/>
      </w:rPr>
    </w:pPr>
    <w:r>
      <w:rPr>
        <w:noProof/>
        <w:lang w:val="es-ES" w:eastAsia="es-ES"/>
      </w:rPr>
      <mc:AlternateContent>
        <mc:Choice Requires="wps">
          <w:drawing>
            <wp:anchor distT="0" distB="0" distL="114300" distR="114300" simplePos="0" relativeHeight="251659264" behindDoc="1" locked="0" layoutInCell="0" allowOverlap="1" wp14:anchorId="4FC31E2C" wp14:editId="0B694BB0">
              <wp:simplePos x="0" y="0"/>
              <wp:positionH relativeFrom="page">
                <wp:posOffset>3478530</wp:posOffset>
              </wp:positionH>
              <wp:positionV relativeFrom="page">
                <wp:posOffset>300355</wp:posOffset>
              </wp:positionV>
              <wp:extent cx="802640" cy="203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EEC" w:rsidRPr="00E51DCB" w:rsidRDefault="00630EEC">
                          <w:pPr>
                            <w:autoSpaceDE w:val="0"/>
                            <w:autoSpaceDN w:val="0"/>
                            <w:spacing w:line="307" w:lineRule="exact"/>
                            <w:ind w:left="20" w:right="-62"/>
                            <w:rPr>
                              <w:rFonts w:cs="Arial"/>
                              <w:sz w:val="20"/>
                              <w:szCs w:val="20"/>
                            </w:rPr>
                          </w:pPr>
                          <w:r w:rsidRPr="00E51DCB">
                            <w:rPr>
                              <w:rFonts w:cs="Arial"/>
                              <w:b/>
                              <w:bCs/>
                              <w:spacing w:val="-8"/>
                              <w:sz w:val="20"/>
                              <w:szCs w:val="20"/>
                            </w:rPr>
                            <w:t>A</w:t>
                          </w:r>
                          <w:r w:rsidRPr="00E51DCB">
                            <w:rPr>
                              <w:rFonts w:cs="Arial"/>
                              <w:b/>
                              <w:bCs/>
                              <w:spacing w:val="-1"/>
                              <w:sz w:val="20"/>
                              <w:szCs w:val="20"/>
                            </w:rPr>
                            <w:t>N</w:t>
                          </w:r>
                          <w:r w:rsidRPr="00E51DCB">
                            <w:rPr>
                              <w:rFonts w:cs="Arial"/>
                              <w:b/>
                              <w:bCs/>
                              <w:sz w:val="20"/>
                              <w:szCs w:val="20"/>
                            </w:rPr>
                            <w:t>EXO</w:t>
                          </w:r>
                          <w:r w:rsidRPr="00E51DCB">
                            <w:rPr>
                              <w:rFonts w:cs="Arial"/>
                              <w:b/>
                              <w:bCs/>
                              <w:spacing w:val="1"/>
                              <w:sz w:val="20"/>
                              <w:szCs w:val="20"/>
                            </w:rPr>
                            <w:t xml:space="preserve"> </w:t>
                          </w:r>
                          <w:r w:rsidRPr="00E51DCB">
                            <w:rPr>
                              <w:rFonts w:cs="Arial"/>
                              <w:b/>
                              <w:bCs/>
                              <w:sz w:val="20"/>
                              <w:szCs w:val="20"/>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3.9pt;margin-top:23.65pt;width:63.2pt;height: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" o:allowincell="f" filled="f" stroked="f">
              <v:textbox inset="0,0,0,0">
                <w:txbxContent>
                  <w:p w:rsidR="00630EEC" w:rsidRPr="00E51DCB" w:rsidRDefault="00630EEC">
                    <w:pPr>
                      <w:autoSpaceDE w:val="0"/>
                      <w:autoSpaceDN w:val="0"/>
                      <w:spacing w:line="307" w:lineRule="exact"/>
                      <w:ind w:left="20" w:right="-62"/>
                      <w:rPr>
                        <w:rFonts w:cs="Arial"/>
                        <w:sz w:val="20"/>
                        <w:szCs w:val="20"/>
                      </w:rPr>
                    </w:pPr>
                    <w:r w:rsidRPr="00E51DCB">
                      <w:rPr>
                        <w:rFonts w:cs="Arial"/>
                        <w:b/>
                        <w:bCs/>
                        <w:spacing w:val="-8"/>
                        <w:sz w:val="20"/>
                        <w:szCs w:val="20"/>
                      </w:rPr>
                      <w:t>A</w:t>
                    </w:r>
                    <w:r w:rsidRPr="00E51DCB">
                      <w:rPr>
                        <w:rFonts w:cs="Arial"/>
                        <w:b/>
                        <w:bCs/>
                        <w:spacing w:val="-1"/>
                        <w:sz w:val="20"/>
                        <w:szCs w:val="20"/>
                      </w:rPr>
                      <w:t>N</w:t>
                    </w:r>
                    <w:r w:rsidRPr="00E51DCB">
                      <w:rPr>
                        <w:rFonts w:cs="Arial"/>
                        <w:b/>
                        <w:bCs/>
                        <w:sz w:val="20"/>
                        <w:szCs w:val="20"/>
                      </w:rPr>
                      <w:t>EXO</w:t>
                    </w:r>
                    <w:r w:rsidRPr="00E51DCB">
                      <w:rPr>
                        <w:rFonts w:cs="Arial"/>
                        <w:b/>
                        <w:bCs/>
                        <w:spacing w:val="1"/>
                        <w:sz w:val="20"/>
                        <w:szCs w:val="20"/>
                      </w:rPr>
                      <w:t xml:space="preserve"> </w:t>
                    </w:r>
                    <w:r w:rsidRPr="00E51DCB">
                      <w:rPr>
                        <w:rFonts w:cs="Arial"/>
                        <w:b/>
                        <w:bCs/>
                        <w:sz w:val="20"/>
                        <w:szCs w:val="20"/>
                      </w:rPr>
                      <w:t>I</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EC" w:rsidRDefault="00630EEC" w:rsidP="00630EEC">
    <w:pPr>
      <w:autoSpaceDE w:val="0"/>
      <w:autoSpaceDN w:val="0"/>
      <w:spacing w:line="307" w:lineRule="exact"/>
      <w:ind w:right="-62"/>
      <w:rPr>
        <w:rFonts w:ascii="Arial" w:hAnsi="Arial" w:cs="Arial"/>
        <w:sz w:val="28"/>
        <w:szCs w:val="28"/>
      </w:rPr>
    </w:pPr>
  </w:p>
  <w:p w:rsidR="00630EEC" w:rsidRPr="0033060E" w:rsidRDefault="00630EEC" w:rsidP="00630EEC">
    <w:pPr>
      <w:autoSpaceDE w:val="0"/>
      <w:autoSpaceDN w:val="0"/>
      <w:spacing w:line="240" w:lineRule="auto"/>
      <w:jc w:val="center"/>
      <w:rPr>
        <w:rFonts w:cs="Arial"/>
        <w:b/>
        <w:sz w:val="20"/>
        <w:szCs w:val="28"/>
      </w:rPr>
    </w:pPr>
    <w:r w:rsidRPr="0033060E">
      <w:rPr>
        <w:rFonts w:cs="Arial"/>
        <w:b/>
        <w:sz w:val="20"/>
        <w:szCs w:val="28"/>
      </w:rPr>
      <w:t>ANEXO 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Pr="0033060E" w:rsidRDefault="00630EEC" w:rsidP="00630EEC">
    <w:pPr>
      <w:autoSpaceDE w:val="0"/>
      <w:autoSpaceDN w:val="0"/>
      <w:spacing w:line="307" w:lineRule="exact"/>
      <w:ind w:left="20" w:right="-62"/>
      <w:jc w:val="center"/>
      <w:rPr>
        <w:rFonts w:cs="Arial"/>
        <w:b/>
        <w:sz w:val="20"/>
        <w:szCs w:val="20"/>
      </w:rPr>
    </w:pPr>
    <w:r w:rsidRPr="0033060E">
      <w:rPr>
        <w:rFonts w:cs="Arial"/>
        <w:b/>
        <w:bCs/>
        <w:spacing w:val="-8"/>
        <w:sz w:val="20"/>
        <w:szCs w:val="20"/>
      </w:rPr>
      <w:t>ANEXO</w:t>
    </w:r>
    <w:r w:rsidRPr="0033060E">
      <w:rPr>
        <w:rFonts w:cs="Arial"/>
        <w:b/>
        <w:sz w:val="20"/>
        <w:szCs w:val="20"/>
      </w:rPr>
      <w:t xml:space="preserve"> II</w:t>
    </w:r>
  </w:p>
  <w:p w:rsidR="00630EEC" w:rsidRDefault="00630EEC">
    <w:pPr>
      <w:autoSpaceDE w:val="0"/>
      <w:autoSpaceDN w:val="0"/>
      <w:spacing w:line="240" w:lineRule="auto"/>
      <w:rPr>
        <w:rFonts w:ascii="Times New Roman" w:hAnsi="Times New Roman"/>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Pr="0033060E" w:rsidRDefault="00630EEC" w:rsidP="00630EEC">
    <w:pPr>
      <w:autoSpaceDE w:val="0"/>
      <w:autoSpaceDN w:val="0"/>
      <w:spacing w:line="240" w:lineRule="auto"/>
      <w:jc w:val="center"/>
      <w:rPr>
        <w:rFonts w:cs="Arial"/>
        <w:b/>
        <w:sz w:val="20"/>
        <w:szCs w:val="28"/>
      </w:rPr>
    </w:pPr>
    <w:r w:rsidRPr="0033060E">
      <w:rPr>
        <w:rFonts w:cs="Arial"/>
        <w:b/>
        <w:sz w:val="20"/>
        <w:szCs w:val="28"/>
      </w:rPr>
      <w:t>ANEXO II</w:t>
    </w:r>
  </w:p>
  <w:p w:rsidR="00630EEC" w:rsidRDefault="00630EEC">
    <w:pPr>
      <w:autoSpaceDE w:val="0"/>
      <w:autoSpaceDN w:val="0"/>
      <w:spacing w:line="240" w:lineRule="auto"/>
      <w:rPr>
        <w:rFonts w:ascii="Times New Roman" w:hAnsi="Times New Roman"/>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Pr="0033060E" w:rsidRDefault="00630EEC" w:rsidP="00630EEC">
    <w:pPr>
      <w:autoSpaceDE w:val="0"/>
      <w:autoSpaceDN w:val="0"/>
      <w:spacing w:line="240" w:lineRule="auto"/>
      <w:jc w:val="center"/>
      <w:rPr>
        <w:rFonts w:cs="Arial"/>
        <w:b/>
        <w:sz w:val="20"/>
        <w:szCs w:val="28"/>
      </w:rPr>
    </w:pPr>
    <w:r w:rsidRPr="0033060E">
      <w:rPr>
        <w:rFonts w:cs="Arial"/>
        <w:b/>
        <w:sz w:val="20"/>
        <w:szCs w:val="28"/>
      </w:rPr>
      <w:t>ANEXO II</w:t>
    </w:r>
  </w:p>
  <w:p w:rsidR="00630EEC" w:rsidRDefault="00630EEC">
    <w:pPr>
      <w:autoSpaceDE w:val="0"/>
      <w:autoSpaceDN w:val="0"/>
      <w:spacing w:line="240" w:lineRule="auto"/>
      <w:rPr>
        <w:rFonts w:ascii="Times New Roman" w:hAnsi="Times New Roman"/>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Pr="00C90724" w:rsidRDefault="00630EEC" w:rsidP="00630EEC">
    <w:pPr>
      <w:autoSpaceDE w:val="0"/>
      <w:autoSpaceDN w:val="0"/>
      <w:spacing w:line="240" w:lineRule="auto"/>
      <w:jc w:val="center"/>
      <w:rPr>
        <w:rFonts w:cs="Arial"/>
        <w:b/>
        <w:sz w:val="20"/>
        <w:szCs w:val="28"/>
      </w:rPr>
    </w:pPr>
    <w:r w:rsidRPr="00C90724">
      <w:rPr>
        <w:rFonts w:cs="Arial"/>
        <w:b/>
        <w:sz w:val="20"/>
        <w:szCs w:val="28"/>
      </w:rPr>
      <w:t>ANEXO III</w:t>
    </w:r>
  </w:p>
  <w:p w:rsidR="00630EEC" w:rsidRDefault="00630EEC">
    <w:pPr>
      <w:autoSpaceDE w:val="0"/>
      <w:autoSpaceDN w:val="0"/>
      <w:spacing w:line="240" w:lineRule="auto"/>
      <w:rPr>
        <w:rFonts w:ascii="Times New Roman" w:hAnsi="Times New Roman"/>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Default="00630EEC">
    <w:pPr>
      <w:autoSpaceDE w:val="0"/>
      <w:autoSpaceDN w:val="0"/>
      <w:spacing w:line="240" w:lineRule="auto"/>
      <w:rPr>
        <w:rFonts w:ascii="Times New Roman" w:hAnsi="Times New Roman"/>
        <w:sz w:val="10"/>
        <w:szCs w:val="10"/>
      </w:rPr>
    </w:pPr>
  </w:p>
  <w:p w:rsidR="00630EEC" w:rsidRPr="00C90724" w:rsidRDefault="00630EEC" w:rsidP="00630EEC">
    <w:pPr>
      <w:autoSpaceDE w:val="0"/>
      <w:autoSpaceDN w:val="0"/>
      <w:spacing w:line="240" w:lineRule="auto"/>
      <w:jc w:val="center"/>
      <w:rPr>
        <w:rFonts w:cs="Arial"/>
        <w:b/>
        <w:sz w:val="20"/>
        <w:szCs w:val="28"/>
      </w:rPr>
    </w:pPr>
    <w:r w:rsidRPr="00C90724">
      <w:rPr>
        <w:rFonts w:cs="Arial"/>
        <w:b/>
        <w:sz w:val="20"/>
        <w:szCs w:val="28"/>
      </w:rPr>
      <w:t>ANEXO IV</w:t>
    </w:r>
  </w:p>
  <w:p w:rsidR="00630EEC" w:rsidRDefault="00630EEC">
    <w:pPr>
      <w:autoSpaceDE w:val="0"/>
      <w:autoSpaceDN w:val="0"/>
      <w:spacing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F3C0D280"/>
    <w:lvl w:ilvl="0">
      <w:start w:val="297"/>
      <w:numFmt w:val="decimal"/>
      <w:lvlText w:val="%1."/>
      <w:lvlJc w:val="left"/>
      <w:pPr>
        <w:tabs>
          <w:tab w:val="num" w:pos="1276"/>
        </w:tabs>
        <w:ind w:left="1920" w:hanging="360"/>
      </w:pPr>
      <w:rPr>
        <w:rFonts w:ascii="Verdana" w:hAnsi="Verdana" w:hint="default"/>
        <w:b w:val="0"/>
        <w:i w:val="0"/>
        <w:strike w:val="0"/>
        <w:dstrike w:val="0"/>
        <w:color w:val="auto"/>
        <w:sz w:val="20"/>
      </w:rPr>
    </w:lvl>
    <w:lvl w:ilvl="1">
      <w:start w:val="1"/>
      <w:numFmt w:val="upperLetter"/>
      <w:lvlText w:val="%2."/>
      <w:lvlJc w:val="left"/>
      <w:pPr>
        <w:tabs>
          <w:tab w:val="num" w:pos="142"/>
        </w:tabs>
        <w:ind w:left="786" w:hanging="360"/>
      </w:pPr>
      <w:rPr>
        <w:rFonts w:ascii="Verdana" w:hAnsi="Verdana" w:hint="default"/>
        <w:b/>
        <w:i/>
        <w:strike w:val="0"/>
        <w:dstrike w:val="0"/>
        <w:color w:val="auto"/>
        <w:sz w:val="20"/>
      </w:rPr>
    </w:lvl>
    <w:lvl w:ilvl="2">
      <w:start w:val="1"/>
      <w:numFmt w:val="lowerRoman"/>
      <w:lvlText w:val="%3."/>
      <w:lvlJc w:val="left"/>
      <w:pPr>
        <w:tabs>
          <w:tab w:val="num" w:pos="0"/>
        </w:tabs>
        <w:ind w:left="2160" w:hanging="180"/>
      </w:pPr>
      <w:rPr>
        <w:rFonts w:hint="default"/>
      </w:rPr>
    </w:lvl>
    <w:lvl w:ilvl="3">
      <w:start w:val="266"/>
      <w:numFmt w:val="decimal"/>
      <w:lvlText w:val="%4."/>
      <w:lvlJc w:val="left"/>
      <w:pPr>
        <w:tabs>
          <w:tab w:val="num" w:pos="0"/>
        </w:tabs>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
    <w:nsid w:val="004221CF"/>
    <w:multiLevelType w:val="hybridMultilevel"/>
    <w:tmpl w:val="C59A1D4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4710019"/>
    <w:multiLevelType w:val="hybridMultilevel"/>
    <w:tmpl w:val="3D32F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738F0"/>
    <w:multiLevelType w:val="multilevel"/>
    <w:tmpl w:val="CF86E872"/>
    <w:lvl w:ilvl="0">
      <w:start w:val="132"/>
      <w:numFmt w:val="decimal"/>
      <w:lvlText w:val="%1."/>
      <w:lvlJc w:val="left"/>
      <w:pPr>
        <w:ind w:left="360" w:hanging="360"/>
      </w:pPr>
      <w:rPr>
        <w:rFonts w:ascii="Verdana" w:hAnsi="Verdana" w:hint="default"/>
        <w:color w:val="auto"/>
        <w:sz w:val="20"/>
        <w:szCs w:val="20"/>
      </w:rPr>
    </w:lvl>
    <w:lvl w:ilvl="1">
      <w:start w:val="2"/>
      <w:numFmt w:val="decimal"/>
      <w:isLgl/>
      <w:lvlText w:val="%1.%2"/>
      <w:lvlJc w:val="left"/>
      <w:pPr>
        <w:ind w:left="720" w:hanging="72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1080" w:hanging="1080"/>
      </w:pPr>
      <w:rPr>
        <w:rFonts w:hint="default"/>
        <w:i/>
      </w:rPr>
    </w:lvl>
    <w:lvl w:ilvl="4">
      <w:start w:val="1"/>
      <w:numFmt w:val="decimal"/>
      <w:isLgl/>
      <w:lvlText w:val="%1.%2.%3.%4.%5"/>
      <w:lvlJc w:val="left"/>
      <w:pPr>
        <w:ind w:left="1440" w:hanging="1440"/>
      </w:pPr>
      <w:rPr>
        <w:rFonts w:hint="default"/>
        <w:i/>
      </w:rPr>
    </w:lvl>
    <w:lvl w:ilvl="5">
      <w:start w:val="1"/>
      <w:numFmt w:val="decimal"/>
      <w:isLgl/>
      <w:lvlText w:val="%1.%2.%3.%4.%5.%6"/>
      <w:lvlJc w:val="left"/>
      <w:pPr>
        <w:ind w:left="1440" w:hanging="1440"/>
      </w:pPr>
      <w:rPr>
        <w:rFonts w:hint="default"/>
        <w:i/>
      </w:rPr>
    </w:lvl>
    <w:lvl w:ilvl="6">
      <w:start w:val="1"/>
      <w:numFmt w:val="decimal"/>
      <w:isLgl/>
      <w:lvlText w:val="%1.%2.%3.%4.%5.%6.%7"/>
      <w:lvlJc w:val="left"/>
      <w:pPr>
        <w:ind w:left="1800" w:hanging="1800"/>
      </w:pPr>
      <w:rPr>
        <w:rFonts w:hint="default"/>
        <w:i/>
      </w:rPr>
    </w:lvl>
    <w:lvl w:ilvl="7">
      <w:start w:val="1"/>
      <w:numFmt w:val="decimal"/>
      <w:isLgl/>
      <w:lvlText w:val="%1.%2.%3.%4.%5.%6.%7.%8"/>
      <w:lvlJc w:val="left"/>
      <w:pPr>
        <w:ind w:left="2160" w:hanging="2160"/>
      </w:pPr>
      <w:rPr>
        <w:rFonts w:hint="default"/>
        <w:i/>
      </w:rPr>
    </w:lvl>
    <w:lvl w:ilvl="8">
      <w:start w:val="1"/>
      <w:numFmt w:val="decimal"/>
      <w:isLgl/>
      <w:lvlText w:val="%1.%2.%3.%4.%5.%6.%7.%8.%9"/>
      <w:lvlJc w:val="left"/>
      <w:pPr>
        <w:ind w:left="2160" w:hanging="2160"/>
      </w:pPr>
      <w:rPr>
        <w:rFonts w:hint="default"/>
        <w:i/>
      </w:rPr>
    </w:lvl>
  </w:abstractNum>
  <w:abstractNum w:abstractNumId="4">
    <w:nsid w:val="060B0FF4"/>
    <w:multiLevelType w:val="hybridMultilevel"/>
    <w:tmpl w:val="AAECB02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7515E9E"/>
    <w:multiLevelType w:val="hybridMultilevel"/>
    <w:tmpl w:val="0F2C85A0"/>
    <w:lvl w:ilvl="0" w:tplc="D17E8D10">
      <w:start w:val="1"/>
      <w:numFmt w:val="decimal"/>
      <w:lvlText w:val="%1."/>
      <w:lvlJc w:val="left"/>
      <w:pPr>
        <w:ind w:left="720" w:hanging="360"/>
      </w:pPr>
      <w:rPr>
        <w:sz w:val="20"/>
        <w:szCs w:val="20"/>
        <w:lang w:val="es-ES_tradn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EB613D"/>
    <w:multiLevelType w:val="hybridMultilevel"/>
    <w:tmpl w:val="8EB654F0"/>
    <w:lvl w:ilvl="0" w:tplc="0409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204465A"/>
    <w:multiLevelType w:val="hybridMultilevel"/>
    <w:tmpl w:val="2C8AF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D08F0"/>
    <w:multiLevelType w:val="hybridMultilevel"/>
    <w:tmpl w:val="65AAAB00"/>
    <w:lvl w:ilvl="0" w:tplc="E4BA4460">
      <w:start w:val="1"/>
      <w:numFmt w:val="decimal"/>
      <w:lvlText w:val="%1."/>
      <w:lvlJc w:val="left"/>
      <w:pPr>
        <w:ind w:left="1211" w:hanging="360"/>
      </w:pPr>
      <w:rPr>
        <w:rFonts w:ascii="Verdana" w:hAnsi="Verdana" w:hint="default"/>
        <w:b w:val="0"/>
        <w:i w:val="0"/>
        <w:strike w:val="0"/>
        <w:color w:val="auto"/>
        <w:sz w:val="20"/>
        <w:szCs w:val="20"/>
      </w:rPr>
    </w:lvl>
    <w:lvl w:ilvl="1" w:tplc="CD862E20">
      <w:start w:val="1"/>
      <w:numFmt w:val="lowerLetter"/>
      <w:lvlText w:val="%2)"/>
      <w:lvlJc w:val="left"/>
      <w:pPr>
        <w:ind w:left="1440" w:hanging="360"/>
      </w:pPr>
      <w:rPr>
        <w:rFonts w:hint="default"/>
        <w:b w:val="0"/>
        <w:i/>
      </w:rPr>
    </w:lvl>
    <w:lvl w:ilvl="2" w:tplc="0409001B">
      <w:start w:val="1"/>
      <w:numFmt w:val="lowerRoman"/>
      <w:lvlText w:val="%3."/>
      <w:lvlJc w:val="right"/>
      <w:pPr>
        <w:ind w:left="2160" w:hanging="180"/>
      </w:pPr>
    </w:lvl>
    <w:lvl w:ilvl="3" w:tplc="99C8344C">
      <w:start w:val="1"/>
      <w:numFmt w:val="upp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4C0A2E"/>
    <w:multiLevelType w:val="hybridMultilevel"/>
    <w:tmpl w:val="384AB8CC"/>
    <w:lvl w:ilvl="0" w:tplc="02DE3FD4">
      <w:start w:val="1"/>
      <w:numFmt w:val="decimal"/>
      <w:lvlText w:val="%1."/>
      <w:lvlJc w:val="left"/>
      <w:pPr>
        <w:ind w:left="2345" w:hanging="360"/>
      </w:pPr>
      <w:rPr>
        <w:rFonts w:ascii="Verdana" w:hAnsi="Verdana" w:hint="default"/>
        <w:b w:val="0"/>
        <w:i w:val="0"/>
        <w:strike w:val="0"/>
        <w:dstrike w:val="0"/>
        <w:color w:val="auto"/>
        <w:sz w:val="20"/>
        <w:szCs w:val="20"/>
        <w:u w:val="none"/>
        <w:effect w:val="none"/>
        <w:lang w:val="es-MX"/>
      </w:rPr>
    </w:lvl>
    <w:lvl w:ilvl="1" w:tplc="445E5342">
      <w:start w:val="1"/>
      <w:numFmt w:val="lowerLetter"/>
      <w:lvlText w:val="%2)"/>
      <w:lvlJc w:val="left"/>
      <w:pPr>
        <w:ind w:left="1440" w:hanging="360"/>
      </w:pPr>
      <w:rPr>
        <w:b w:val="0"/>
        <w:i/>
      </w:rPr>
    </w:lvl>
    <w:lvl w:ilvl="2" w:tplc="0409001B">
      <w:start w:val="1"/>
      <w:numFmt w:val="lowerRoman"/>
      <w:lvlText w:val="%3."/>
      <w:lvlJc w:val="right"/>
      <w:pPr>
        <w:ind w:left="2160" w:hanging="180"/>
      </w:pPr>
    </w:lvl>
    <w:lvl w:ilvl="3" w:tplc="99C8344C">
      <w:start w:val="1"/>
      <w:numFmt w:val="upperLetter"/>
      <w:lvlText w:val="%4."/>
      <w:lvlJc w:val="left"/>
      <w:pPr>
        <w:ind w:left="3240" w:hanging="72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8B63A9"/>
    <w:multiLevelType w:val="hybridMultilevel"/>
    <w:tmpl w:val="C33C7068"/>
    <w:lvl w:ilvl="0" w:tplc="BA0AC742">
      <w:start w:val="4"/>
      <w:numFmt w:val="upperLetter"/>
      <w:lvlText w:val="%1."/>
      <w:lvlJc w:val="left"/>
      <w:pPr>
        <w:ind w:left="720" w:hanging="360"/>
      </w:pPr>
      <w:rPr>
        <w:rFonts w:eastAsia="Batang" w:cs="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B3436"/>
    <w:multiLevelType w:val="hybridMultilevel"/>
    <w:tmpl w:val="82F67EE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1B6B0FF8"/>
    <w:multiLevelType w:val="hybridMultilevel"/>
    <w:tmpl w:val="0EB46236"/>
    <w:lvl w:ilvl="0" w:tplc="C55A862A">
      <w:start w:val="1"/>
      <w:numFmt w:val="decimal"/>
      <w:lvlText w:val="%1."/>
      <w:lvlJc w:val="left"/>
      <w:pPr>
        <w:tabs>
          <w:tab w:val="num" w:pos="14735"/>
        </w:tabs>
      </w:pPr>
      <w:rPr>
        <w:rFonts w:ascii="Verdana" w:eastAsia="Times New Roman" w:hAnsi="Verdana"/>
        <w:b w:val="0"/>
        <w:bCs w:val="0"/>
        <w:i w:val="0"/>
        <w:iCs w:val="0"/>
        <w:strike w:val="0"/>
        <w:color w:val="auto"/>
        <w:sz w:val="20"/>
        <w:szCs w:val="20"/>
        <w:lang w:val="es-CR"/>
      </w:rPr>
    </w:lvl>
    <w:lvl w:ilvl="1" w:tplc="C7D25ABE">
      <w:start w:val="1"/>
      <w:numFmt w:val="lowerLetter"/>
      <w:lvlText w:val="%2)"/>
      <w:lvlJc w:val="left"/>
      <w:pPr>
        <w:tabs>
          <w:tab w:val="num" w:pos="1080"/>
        </w:tabs>
        <w:ind w:left="1080" w:hanging="360"/>
      </w:pPr>
      <w:rPr>
        <w:rFonts w:hint="default"/>
        <w:b w:val="0"/>
        <w:bCs w:val="0"/>
        <w:i w:val="0"/>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4157F73"/>
    <w:multiLevelType w:val="hybridMultilevel"/>
    <w:tmpl w:val="9A0E73E0"/>
    <w:lvl w:ilvl="0" w:tplc="0756D680">
      <w:start w:val="207"/>
      <w:numFmt w:val="decimal"/>
      <w:suff w:val="space"/>
      <w:lvlText w:val="%1."/>
      <w:lvlJc w:val="left"/>
      <w:pPr>
        <w:ind w:left="0" w:firstLine="0"/>
      </w:pPr>
      <w:rPr>
        <w:rFonts w:ascii="Verdana" w:eastAsia="Times New Roman" w:hAnsi="Verdana" w:hint="default"/>
        <w:b w:val="0"/>
        <w:bCs w:val="0"/>
        <w:i w:val="0"/>
        <w:iCs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7941F5"/>
    <w:multiLevelType w:val="hybridMultilevel"/>
    <w:tmpl w:val="9E441A9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9FE31DD"/>
    <w:multiLevelType w:val="hybridMultilevel"/>
    <w:tmpl w:val="EE1C5B86"/>
    <w:lvl w:ilvl="0" w:tplc="C414F514">
      <w:start w:val="1"/>
      <w:numFmt w:val="low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6">
    <w:nsid w:val="2C6144C9"/>
    <w:multiLevelType w:val="hybridMultilevel"/>
    <w:tmpl w:val="8DFA204C"/>
    <w:lvl w:ilvl="0" w:tplc="12E8CDA4">
      <w:start w:val="1"/>
      <w:numFmt w:val="decimal"/>
      <w:lvlText w:val="%1."/>
      <w:lvlJc w:val="left"/>
      <w:pPr>
        <w:tabs>
          <w:tab w:val="num" w:pos="12305"/>
        </w:tabs>
        <w:ind w:left="0" w:firstLine="0"/>
      </w:pPr>
      <w:rPr>
        <w:rFonts w:ascii="Verdana" w:hAnsi="Verdana" w:hint="default"/>
        <w:b w:val="0"/>
        <w:bCs w:val="0"/>
        <w:i w:val="0"/>
        <w:iCs w:val="0"/>
        <w:strike w:val="0"/>
        <w:dstrike w:val="0"/>
        <w:color w:val="auto"/>
        <w:sz w:val="20"/>
        <w:szCs w:val="20"/>
        <w:u w:val="none"/>
        <w:effect w:val="none"/>
        <w:lang w:val="es-ES_tradnl"/>
      </w:rPr>
    </w:lvl>
    <w:lvl w:ilvl="1" w:tplc="B1FA6140">
      <w:start w:val="1"/>
      <w:numFmt w:val="lowerLetter"/>
      <w:lvlText w:val="%2)"/>
      <w:lvlJc w:val="left"/>
      <w:pPr>
        <w:tabs>
          <w:tab w:val="num" w:pos="1080"/>
        </w:tabs>
        <w:ind w:left="1080" w:hanging="360"/>
      </w:pPr>
      <w:rPr>
        <w:rFonts w:ascii="Verdana" w:eastAsia="Times New Roman" w:hAnsi="Verdana" w:cs="Arial"/>
        <w:b w:val="0"/>
        <w:bCs w:val="0"/>
        <w:i w:val="0"/>
        <w:iCs w:val="0"/>
        <w:sz w:val="20"/>
        <w:szCs w:val="20"/>
        <w:lang w:val="es-ES_tradnl"/>
      </w:rPr>
    </w:lvl>
    <w:lvl w:ilvl="2" w:tplc="0409001B">
      <w:start w:val="1"/>
      <w:numFmt w:val="lowerRoman"/>
      <w:lvlText w:val="%3."/>
      <w:lvlJc w:val="right"/>
      <w:pPr>
        <w:tabs>
          <w:tab w:val="num" w:pos="1530"/>
        </w:tabs>
        <w:ind w:left="1530" w:hanging="180"/>
      </w:pPr>
      <w:rPr>
        <w:b w:val="0"/>
        <w:strike w:val="0"/>
        <w:dstrike w:val="0"/>
        <w:u w:val="none"/>
        <w:effect w:val="none"/>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F4767F3"/>
    <w:multiLevelType w:val="hybridMultilevel"/>
    <w:tmpl w:val="BA04CB36"/>
    <w:lvl w:ilvl="0" w:tplc="EE1A0456">
      <w:start w:val="1"/>
      <w:numFmt w:val="decimal"/>
      <w:lvlText w:val="%1."/>
      <w:lvlJc w:val="left"/>
      <w:pPr>
        <w:ind w:left="450" w:hanging="360"/>
      </w:pPr>
      <w:rPr>
        <w:rFonts w:ascii="Verdana" w:hAnsi="Verdana" w:hint="default"/>
        <w:b w:val="0"/>
        <w:i w:val="0"/>
        <w:strike w:val="0"/>
        <w:color w:val="auto"/>
        <w:sz w:val="20"/>
        <w:szCs w:val="20"/>
        <w:lang w:val="es-MX"/>
      </w:rPr>
    </w:lvl>
    <w:lvl w:ilvl="1" w:tplc="3CA86E32">
      <w:start w:val="1"/>
      <w:numFmt w:val="lowerLetter"/>
      <w:lvlText w:val="%2)"/>
      <w:lvlJc w:val="left"/>
      <w:pPr>
        <w:ind w:left="900" w:hanging="360"/>
      </w:pPr>
      <w:rPr>
        <w:rFonts w:ascii="Verdana" w:hAnsi="Verdana" w:cs="Times New Roman" w:hint="default"/>
        <w:b w:val="0"/>
        <w:i w:val="0"/>
        <w:caps w:val="0"/>
        <w:strike w:val="0"/>
        <w:dstrike w:val="0"/>
        <w:vanish w:val="0"/>
        <w:color w:val="auto"/>
        <w:sz w:val="20"/>
        <w:vertAlign w:val="baseline"/>
      </w:rPr>
    </w:lvl>
    <w:lvl w:ilvl="2" w:tplc="AC3E3A68">
      <w:start w:val="1"/>
      <w:numFmt w:val="lowerRoman"/>
      <w:lvlText w:val="%3."/>
      <w:lvlJc w:val="right"/>
      <w:pPr>
        <w:ind w:left="2160" w:hanging="180"/>
      </w:pPr>
      <w:rPr>
        <w:rFonts w:ascii="Verdana" w:eastAsia="Times New Roman" w:hAnsi="Verdana" w:cs="Times New Roman"/>
        <w:b w:val="0"/>
      </w:rPr>
    </w:lvl>
    <w:lvl w:ilvl="3" w:tplc="140A000F">
      <w:start w:val="1"/>
      <w:numFmt w:val="decimal"/>
      <w:lvlText w:val="%4."/>
      <w:lvlJc w:val="left"/>
      <w:pPr>
        <w:ind w:left="2880" w:hanging="360"/>
      </w:pPr>
    </w:lvl>
    <w:lvl w:ilvl="4" w:tplc="606ED164">
      <w:start w:val="1"/>
      <w:numFmt w:val="lowerLetter"/>
      <w:lvlText w:val="%5)"/>
      <w:lvlJc w:val="left"/>
      <w:pPr>
        <w:ind w:left="3600" w:hanging="360"/>
      </w:pPr>
      <w:rPr>
        <w:rFonts w:hint="default"/>
        <w:b w:val="0"/>
        <w:i w:val="0"/>
      </w:rPr>
    </w:lvl>
    <w:lvl w:ilvl="5" w:tplc="726C26BC">
      <w:start w:val="1"/>
      <w:numFmt w:val="lowerRoman"/>
      <w:lvlText w:val="%6."/>
      <w:lvlJc w:val="right"/>
      <w:pPr>
        <w:ind w:left="4320" w:hanging="180"/>
      </w:pPr>
    </w:lvl>
    <w:lvl w:ilvl="6" w:tplc="46C8F0C2">
      <w:start w:val="1"/>
      <w:numFmt w:val="upperLetter"/>
      <w:lvlText w:val="%7)"/>
      <w:lvlJc w:val="left"/>
      <w:pPr>
        <w:ind w:left="5040" w:hanging="360"/>
      </w:pPr>
      <w:rPr>
        <w:rFonts w:hint="default"/>
      </w:rPr>
    </w:lvl>
    <w:lvl w:ilvl="7" w:tplc="63D0A284">
      <w:start w:val="1"/>
      <w:numFmt w:val="upperLetter"/>
      <w:lvlText w:val="%8."/>
      <w:lvlJc w:val="left"/>
      <w:pPr>
        <w:ind w:left="5760" w:hanging="360"/>
      </w:pPr>
      <w:rPr>
        <w:rFonts w:hint="default"/>
        <w:b/>
      </w:rPr>
    </w:lvl>
    <w:lvl w:ilvl="8" w:tplc="140A001B" w:tentative="1">
      <w:start w:val="1"/>
      <w:numFmt w:val="lowerRoman"/>
      <w:lvlText w:val="%9."/>
      <w:lvlJc w:val="right"/>
      <w:pPr>
        <w:ind w:left="6480" w:hanging="180"/>
      </w:pPr>
    </w:lvl>
  </w:abstractNum>
  <w:abstractNum w:abstractNumId="18">
    <w:nsid w:val="319D17A8"/>
    <w:multiLevelType w:val="hybridMultilevel"/>
    <w:tmpl w:val="A6DE2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E65AEE"/>
    <w:multiLevelType w:val="hybridMultilevel"/>
    <w:tmpl w:val="980ED25E"/>
    <w:lvl w:ilvl="0" w:tplc="7DD48D98">
      <w:start w:val="1"/>
      <w:numFmt w:val="upp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0">
    <w:nsid w:val="3B51447E"/>
    <w:multiLevelType w:val="hybridMultilevel"/>
    <w:tmpl w:val="19EE00CE"/>
    <w:lvl w:ilvl="0" w:tplc="267CF046">
      <w:start w:val="1"/>
      <w:numFmt w:val="decimal"/>
      <w:pStyle w:val="Numbered"/>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ECE2E62"/>
    <w:multiLevelType w:val="hybridMultilevel"/>
    <w:tmpl w:val="FA483F1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463B765B"/>
    <w:multiLevelType w:val="hybridMultilevel"/>
    <w:tmpl w:val="1DD4B5D6"/>
    <w:lvl w:ilvl="0" w:tplc="222EA00C">
      <w:start w:val="169"/>
      <w:numFmt w:val="decimal"/>
      <w:lvlText w:val="%1."/>
      <w:lvlJc w:val="left"/>
      <w:pPr>
        <w:ind w:left="1080" w:hanging="720"/>
      </w:pPr>
      <w:rPr>
        <w:rFonts w:ascii="Verdana" w:hAnsi="Verdana" w:cs="Times New Roman" w:hint="default"/>
        <w:b w:val="0"/>
        <w:i w:val="0"/>
        <w:strike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6F2FE6"/>
    <w:multiLevelType w:val="hybridMultilevel"/>
    <w:tmpl w:val="FBCEA3C2"/>
    <w:lvl w:ilvl="0" w:tplc="C3760F0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5C681E"/>
    <w:multiLevelType w:val="hybridMultilevel"/>
    <w:tmpl w:val="F2F89A10"/>
    <w:lvl w:ilvl="0" w:tplc="EF7639DE">
      <w:start w:val="1"/>
      <w:numFmt w:val="upperLetter"/>
      <w:lvlText w:val="%1."/>
      <w:lvlJc w:val="left"/>
      <w:pPr>
        <w:ind w:left="720" w:hanging="360"/>
      </w:pPr>
      <w:rPr>
        <w:rFonts w:cs="Arial" w:hint="default"/>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FC6A1E"/>
    <w:multiLevelType w:val="hybridMultilevel"/>
    <w:tmpl w:val="788647C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4BA54D95"/>
    <w:multiLevelType w:val="hybridMultilevel"/>
    <w:tmpl w:val="2BF843E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F640A1"/>
    <w:multiLevelType w:val="hybridMultilevel"/>
    <w:tmpl w:val="B1BE7BB6"/>
    <w:lvl w:ilvl="0" w:tplc="1946D6F2">
      <w:start w:val="1"/>
      <w:numFmt w:val="upperLetter"/>
      <w:lvlText w:val="%1."/>
      <w:lvlJc w:val="left"/>
      <w:pPr>
        <w:ind w:left="720" w:hanging="360"/>
      </w:pPr>
      <w:rPr>
        <w:rFonts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52B10462"/>
    <w:multiLevelType w:val="hybridMultilevel"/>
    <w:tmpl w:val="52608858"/>
    <w:lvl w:ilvl="0" w:tplc="140A0015">
      <w:start w:val="1"/>
      <w:numFmt w:val="upperLetter"/>
      <w:lvlText w:val="%1."/>
      <w:lvlJc w:val="left"/>
      <w:pPr>
        <w:ind w:left="720" w:hanging="360"/>
      </w:pPr>
      <w:rPr>
        <w:rFonts w:eastAsia="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573B495A"/>
    <w:multiLevelType w:val="hybridMultilevel"/>
    <w:tmpl w:val="82C8978C"/>
    <w:lvl w:ilvl="0" w:tplc="0409000F">
      <w:start w:val="1"/>
      <w:numFmt w:val="decimal"/>
      <w:lvlText w:val="%1."/>
      <w:lvlJc w:val="left"/>
      <w:pPr>
        <w:ind w:left="1068" w:hanging="360"/>
      </w:pPr>
      <w:rPr>
        <w:rFonts w:hint="default"/>
        <w:u w:val="none"/>
      </w:rPr>
    </w:lvl>
    <w:lvl w:ilvl="1" w:tplc="140A0019">
      <w:start w:val="1"/>
      <w:numFmt w:val="lowerLetter"/>
      <w:lvlText w:val="%2."/>
      <w:lvlJc w:val="left"/>
      <w:pPr>
        <w:ind w:left="1788" w:hanging="360"/>
      </w:pPr>
      <w:rPr>
        <w:b w:val="0"/>
      </w:rPr>
    </w:lvl>
    <w:lvl w:ilvl="2" w:tplc="140A001B">
      <w:start w:val="1"/>
      <w:numFmt w:val="lowerRoman"/>
      <w:lvlText w:val="%3."/>
      <w:lvlJc w:val="right"/>
      <w:pPr>
        <w:ind w:left="2508" w:hanging="180"/>
      </w:pPr>
    </w:lvl>
    <w:lvl w:ilvl="3" w:tplc="0409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31">
    <w:nsid w:val="5819782D"/>
    <w:multiLevelType w:val="hybridMultilevel"/>
    <w:tmpl w:val="EAD23B52"/>
    <w:lvl w:ilvl="0" w:tplc="B37AF7BC">
      <w:start w:val="1"/>
      <w:numFmt w:val="decimal"/>
      <w:lvlText w:val="%1."/>
      <w:lvlJc w:val="left"/>
      <w:pPr>
        <w:ind w:left="1350" w:hanging="720"/>
      </w:pPr>
      <w:rPr>
        <w:rFonts w:ascii="Verdana" w:hAnsi="Verdana" w:cs="Times New Roman" w:hint="default"/>
        <w:b w:val="0"/>
        <w:i w:val="0"/>
        <w:strike w:val="0"/>
        <w:color w:val="auto"/>
        <w:sz w:val="20"/>
        <w:szCs w:val="20"/>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2">
    <w:nsid w:val="588D6F84"/>
    <w:multiLevelType w:val="hybridMultilevel"/>
    <w:tmpl w:val="80C69F9E"/>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62525E"/>
    <w:multiLevelType w:val="hybridMultilevel"/>
    <w:tmpl w:val="D458E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8B04DD"/>
    <w:multiLevelType w:val="hybridMultilevel"/>
    <w:tmpl w:val="78B64D4C"/>
    <w:lvl w:ilvl="0" w:tplc="0409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62412FDD"/>
    <w:multiLevelType w:val="hybridMultilevel"/>
    <w:tmpl w:val="CE506118"/>
    <w:lvl w:ilvl="0" w:tplc="140A0015">
      <w:start w:val="1"/>
      <w:numFmt w:val="upperLetter"/>
      <w:lvlText w:val="%1."/>
      <w:lvlJc w:val="left"/>
      <w:pPr>
        <w:ind w:left="2112" w:hanging="360"/>
      </w:pPr>
    </w:lvl>
    <w:lvl w:ilvl="1" w:tplc="140A0019">
      <w:start w:val="1"/>
      <w:numFmt w:val="lowerLetter"/>
      <w:lvlText w:val="%2."/>
      <w:lvlJc w:val="left"/>
      <w:pPr>
        <w:ind w:left="2832" w:hanging="360"/>
      </w:pPr>
    </w:lvl>
    <w:lvl w:ilvl="2" w:tplc="140A001B">
      <w:start w:val="1"/>
      <w:numFmt w:val="lowerRoman"/>
      <w:lvlText w:val="%3."/>
      <w:lvlJc w:val="right"/>
      <w:pPr>
        <w:ind w:left="3552" w:hanging="180"/>
      </w:pPr>
    </w:lvl>
    <w:lvl w:ilvl="3" w:tplc="140A000F">
      <w:start w:val="1"/>
      <w:numFmt w:val="decimal"/>
      <w:lvlText w:val="%4."/>
      <w:lvlJc w:val="left"/>
      <w:pPr>
        <w:ind w:left="4272" w:hanging="360"/>
      </w:pPr>
    </w:lvl>
    <w:lvl w:ilvl="4" w:tplc="140A0019">
      <w:start w:val="1"/>
      <w:numFmt w:val="lowerLetter"/>
      <w:lvlText w:val="%5."/>
      <w:lvlJc w:val="left"/>
      <w:pPr>
        <w:ind w:left="4992" w:hanging="360"/>
      </w:pPr>
    </w:lvl>
    <w:lvl w:ilvl="5" w:tplc="140A001B">
      <w:start w:val="1"/>
      <w:numFmt w:val="lowerRoman"/>
      <w:lvlText w:val="%6."/>
      <w:lvlJc w:val="right"/>
      <w:pPr>
        <w:ind w:left="5712" w:hanging="180"/>
      </w:pPr>
    </w:lvl>
    <w:lvl w:ilvl="6" w:tplc="140A000F">
      <w:start w:val="1"/>
      <w:numFmt w:val="decimal"/>
      <w:lvlText w:val="%7."/>
      <w:lvlJc w:val="left"/>
      <w:pPr>
        <w:ind w:left="6432" w:hanging="360"/>
      </w:pPr>
    </w:lvl>
    <w:lvl w:ilvl="7" w:tplc="140A0019">
      <w:start w:val="1"/>
      <w:numFmt w:val="lowerLetter"/>
      <w:lvlText w:val="%8."/>
      <w:lvlJc w:val="left"/>
      <w:pPr>
        <w:ind w:left="7152" w:hanging="360"/>
      </w:pPr>
    </w:lvl>
    <w:lvl w:ilvl="8" w:tplc="140A001B">
      <w:start w:val="1"/>
      <w:numFmt w:val="lowerRoman"/>
      <w:lvlText w:val="%9."/>
      <w:lvlJc w:val="right"/>
      <w:pPr>
        <w:ind w:left="7872" w:hanging="180"/>
      </w:pPr>
    </w:lvl>
  </w:abstractNum>
  <w:abstractNum w:abstractNumId="36">
    <w:nsid w:val="64902F18"/>
    <w:multiLevelType w:val="hybridMultilevel"/>
    <w:tmpl w:val="9770408C"/>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65C863E2"/>
    <w:multiLevelType w:val="hybridMultilevel"/>
    <w:tmpl w:val="9C2006FC"/>
    <w:lvl w:ilvl="0" w:tplc="17706D5A">
      <w:start w:val="2"/>
      <w:numFmt w:val="decimal"/>
      <w:lvlText w:val="%1."/>
      <w:lvlJc w:val="left"/>
      <w:pPr>
        <w:tabs>
          <w:tab w:val="num" w:pos="1152"/>
        </w:tabs>
        <w:ind w:left="360" w:firstLine="0"/>
      </w:pPr>
      <w:rPr>
        <w:rFonts w:ascii="Verdana" w:hAnsi="Verdana" w:hint="default"/>
        <w:b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740A038D"/>
    <w:multiLevelType w:val="hybridMultilevel"/>
    <w:tmpl w:val="D8221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753A80"/>
    <w:multiLevelType w:val="hybridMultilevel"/>
    <w:tmpl w:val="EB466B26"/>
    <w:lvl w:ilvl="0" w:tplc="A9F24D46">
      <w:start w:val="1"/>
      <w:numFmt w:val="decimal"/>
      <w:lvlText w:val="%1."/>
      <w:lvlJc w:val="left"/>
      <w:pPr>
        <w:ind w:left="0" w:firstLine="0"/>
      </w:pPr>
      <w:rPr>
        <w:rFonts w:ascii="Verdana" w:hAnsi="Verdana" w:hint="default"/>
        <w:b w:val="0"/>
        <w:i w:val="0"/>
        <w:strike w:val="0"/>
        <w:color w:val="auto"/>
        <w:sz w:val="20"/>
        <w:szCs w:val="20"/>
        <w:lang w:val="es-AR"/>
      </w:rPr>
    </w:lvl>
    <w:lvl w:ilvl="1" w:tplc="2C0A0019">
      <w:start w:val="1"/>
      <w:numFmt w:val="lowerLetter"/>
      <w:lvlText w:val="%2."/>
      <w:lvlJc w:val="left"/>
      <w:pPr>
        <w:ind w:left="1353" w:hanging="360"/>
      </w:pPr>
      <w:rPr>
        <w:rFonts w:hint="default"/>
        <w:lang w:val="es-CR"/>
      </w:rPr>
    </w:lvl>
    <w:lvl w:ilvl="2" w:tplc="40823306">
      <w:start w:val="1"/>
      <w:numFmt w:val="lowerRoman"/>
      <w:lvlText w:val="%3."/>
      <w:lvlJc w:val="right"/>
      <w:pPr>
        <w:ind w:left="2018" w:hanging="180"/>
      </w:pPr>
      <w:rPr>
        <w:b w:val="0"/>
        <w:i w:val="0"/>
      </w:rPr>
    </w:lvl>
    <w:lvl w:ilvl="3" w:tplc="3F0893E6">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40">
    <w:nsid w:val="773202E9"/>
    <w:multiLevelType w:val="hybridMultilevel"/>
    <w:tmpl w:val="789C96AC"/>
    <w:lvl w:ilvl="0" w:tplc="D892E114">
      <w:start w:val="1"/>
      <w:numFmt w:val="decimal"/>
      <w:lvlText w:val="%1."/>
      <w:lvlJc w:val="left"/>
      <w:pPr>
        <w:ind w:left="0" w:firstLine="0"/>
      </w:pPr>
      <w:rPr>
        <w:rFonts w:ascii="Verdana" w:eastAsia="Times New Roman" w:hAnsi="Verdana" w:hint="default"/>
        <w:b w:val="0"/>
        <w:bCs w:val="0"/>
        <w:i w:val="0"/>
        <w:iCs w:val="0"/>
        <w:strike w:val="0"/>
        <w:color w:val="auto"/>
        <w:sz w:val="20"/>
        <w:szCs w:val="20"/>
        <w:lang w:val="es-CR"/>
      </w:rPr>
    </w:lvl>
    <w:lvl w:ilvl="1" w:tplc="C7D25ABE">
      <w:start w:val="1"/>
      <w:numFmt w:val="lowerLetter"/>
      <w:lvlText w:val="%2)"/>
      <w:lvlJc w:val="left"/>
      <w:pPr>
        <w:tabs>
          <w:tab w:val="num" w:pos="1080"/>
        </w:tabs>
        <w:ind w:left="1080" w:hanging="360"/>
      </w:pPr>
      <w:rPr>
        <w:rFonts w:hint="default"/>
        <w:b w:val="0"/>
        <w:bCs w:val="0"/>
        <w:i w:val="0"/>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9BF696B"/>
    <w:multiLevelType w:val="multilevel"/>
    <w:tmpl w:val="E4A64E48"/>
    <w:lvl w:ilvl="0">
      <w:start w:val="1"/>
      <w:numFmt w:val="upperLetter"/>
      <w:lvlText w:val="%1."/>
      <w:lvlJc w:val="left"/>
      <w:pPr>
        <w:ind w:left="-630" w:firstLine="720"/>
      </w:pPr>
      <w:rPr>
        <w:b/>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2">
    <w:nsid w:val="7CE64D32"/>
    <w:multiLevelType w:val="hybridMultilevel"/>
    <w:tmpl w:val="1E248EDA"/>
    <w:lvl w:ilvl="0" w:tplc="C55A862A">
      <w:start w:val="1"/>
      <w:numFmt w:val="decimal"/>
      <w:lvlText w:val="%1."/>
      <w:lvlJc w:val="left"/>
      <w:pPr>
        <w:tabs>
          <w:tab w:val="num" w:pos="12305"/>
        </w:tabs>
      </w:pPr>
      <w:rPr>
        <w:rFonts w:ascii="Verdana" w:eastAsia="Times New Roman" w:hAnsi="Verdana"/>
        <w:b w:val="0"/>
        <w:bCs w:val="0"/>
        <w:i w:val="0"/>
        <w:iCs w:val="0"/>
        <w:strike w:val="0"/>
        <w:color w:val="auto"/>
        <w:sz w:val="20"/>
        <w:szCs w:val="20"/>
        <w:lang w:val="es-CR"/>
      </w:rPr>
    </w:lvl>
    <w:lvl w:ilvl="1" w:tplc="C7D25ABE">
      <w:start w:val="1"/>
      <w:numFmt w:val="lowerLetter"/>
      <w:lvlText w:val="%2)"/>
      <w:lvlJc w:val="left"/>
      <w:pPr>
        <w:tabs>
          <w:tab w:val="num" w:pos="1080"/>
        </w:tabs>
        <w:ind w:left="1080" w:hanging="360"/>
      </w:pPr>
      <w:rPr>
        <w:rFonts w:hint="default"/>
        <w:b w:val="0"/>
        <w:bCs w:val="0"/>
        <w:i w:val="0"/>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pStyle w:val="Heading6"/>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2"/>
  </w:num>
  <w:num w:numId="2">
    <w:abstractNumId w:val="34"/>
  </w:num>
  <w:num w:numId="3">
    <w:abstractNumId w:val="22"/>
  </w:num>
  <w:num w:numId="4">
    <w:abstractNumId w:val="20"/>
  </w:num>
  <w:num w:numId="5">
    <w:abstractNumId w:val="30"/>
  </w:num>
  <w:num w:numId="6">
    <w:abstractNumId w:val="40"/>
  </w:num>
  <w:num w:numId="7">
    <w:abstractNumId w:val="6"/>
  </w:num>
  <w:num w:numId="8">
    <w:abstractNumId w:val="17"/>
  </w:num>
  <w:num w:numId="9">
    <w:abstractNumId w:val="4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9"/>
  </w:num>
  <w:num w:numId="13">
    <w:abstractNumId w:val="10"/>
  </w:num>
  <w:num w:numId="14">
    <w:abstractNumId w:val="24"/>
  </w:num>
  <w:num w:numId="15">
    <w:abstractNumId w:val="3"/>
  </w:num>
  <w:num w:numId="16">
    <w:abstractNumId w:val="27"/>
  </w:num>
  <w:num w:numId="17">
    <w:abstractNumId w:val="38"/>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9"/>
  </w:num>
  <w:num w:numId="21">
    <w:abstractNumId w:val="2"/>
  </w:num>
  <w:num w:numId="22">
    <w:abstractNumId w:val="25"/>
  </w:num>
  <w:num w:numId="23">
    <w:abstractNumId w:val="13"/>
  </w:num>
  <w:num w:numId="24">
    <w:abstractNumId w:val="34"/>
  </w:num>
  <w:num w:numId="25">
    <w:abstractNumId w:val="18"/>
  </w:num>
  <w:num w:numId="26">
    <w:abstractNumId w:val="3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8"/>
  </w:num>
  <w:num w:numId="31">
    <w:abstractNumId w:val="31"/>
  </w:num>
  <w:num w:numId="32">
    <w:abstractNumId w:val="23"/>
  </w:num>
  <w:num w:numId="33">
    <w:abstractNumId w:val="36"/>
  </w:num>
  <w:num w:numId="34">
    <w:abstractNumId w:val="28"/>
  </w:num>
  <w:num w:numId="35">
    <w:abstractNumId w:val="1"/>
  </w:num>
  <w:num w:numId="36">
    <w:abstractNumId w:val="26"/>
  </w:num>
  <w:num w:numId="37">
    <w:abstractNumId w:val="4"/>
  </w:num>
  <w:num w:numId="38">
    <w:abstractNumId w:val="29"/>
  </w:num>
  <w:num w:numId="39">
    <w:abstractNumId w:val="11"/>
  </w:num>
  <w:num w:numId="40">
    <w:abstractNumId w:val="14"/>
  </w:num>
  <w:num w:numId="41">
    <w:abstractNumId w:val="33"/>
  </w:num>
  <w:num w:numId="42">
    <w:abstractNumId w:val="7"/>
  </w:num>
  <w:num w:numId="43">
    <w:abstractNumId w:val="32"/>
  </w:num>
  <w:num w:numId="44">
    <w:abstractNumId w:val="0"/>
  </w:num>
  <w:num w:numId="45">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0A"/>
    <w:rsid w:val="00001160"/>
    <w:rsid w:val="00001DDB"/>
    <w:rsid w:val="00002E8E"/>
    <w:rsid w:val="00003352"/>
    <w:rsid w:val="000033C7"/>
    <w:rsid w:val="0000377C"/>
    <w:rsid w:val="0000377F"/>
    <w:rsid w:val="00003AD0"/>
    <w:rsid w:val="00003D5D"/>
    <w:rsid w:val="000040F1"/>
    <w:rsid w:val="000062DE"/>
    <w:rsid w:val="00006FDB"/>
    <w:rsid w:val="00007208"/>
    <w:rsid w:val="0000783B"/>
    <w:rsid w:val="000078A3"/>
    <w:rsid w:val="00007D98"/>
    <w:rsid w:val="00007E31"/>
    <w:rsid w:val="00010504"/>
    <w:rsid w:val="000112FE"/>
    <w:rsid w:val="00011747"/>
    <w:rsid w:val="00011A84"/>
    <w:rsid w:val="000122C9"/>
    <w:rsid w:val="00012817"/>
    <w:rsid w:val="00012BA2"/>
    <w:rsid w:val="00012F3E"/>
    <w:rsid w:val="00013132"/>
    <w:rsid w:val="000135D4"/>
    <w:rsid w:val="00013B34"/>
    <w:rsid w:val="00013FB4"/>
    <w:rsid w:val="000147CF"/>
    <w:rsid w:val="00014D6F"/>
    <w:rsid w:val="00014E83"/>
    <w:rsid w:val="00015EDD"/>
    <w:rsid w:val="00016435"/>
    <w:rsid w:val="00016570"/>
    <w:rsid w:val="00016ECE"/>
    <w:rsid w:val="000171E2"/>
    <w:rsid w:val="0001797B"/>
    <w:rsid w:val="000203B2"/>
    <w:rsid w:val="00020968"/>
    <w:rsid w:val="00020C98"/>
    <w:rsid w:val="00020D09"/>
    <w:rsid w:val="00020DC8"/>
    <w:rsid w:val="00021A2A"/>
    <w:rsid w:val="00021D4F"/>
    <w:rsid w:val="00022432"/>
    <w:rsid w:val="000235BE"/>
    <w:rsid w:val="000238CE"/>
    <w:rsid w:val="00024806"/>
    <w:rsid w:val="00024A3B"/>
    <w:rsid w:val="00024B71"/>
    <w:rsid w:val="00024B94"/>
    <w:rsid w:val="00024E50"/>
    <w:rsid w:val="00025599"/>
    <w:rsid w:val="000255D8"/>
    <w:rsid w:val="000273D6"/>
    <w:rsid w:val="0003025D"/>
    <w:rsid w:val="00030A04"/>
    <w:rsid w:val="00031599"/>
    <w:rsid w:val="00031753"/>
    <w:rsid w:val="00031C44"/>
    <w:rsid w:val="0003261F"/>
    <w:rsid w:val="00032783"/>
    <w:rsid w:val="00032E24"/>
    <w:rsid w:val="0003336D"/>
    <w:rsid w:val="0003379C"/>
    <w:rsid w:val="00033906"/>
    <w:rsid w:val="00033A5E"/>
    <w:rsid w:val="000343CF"/>
    <w:rsid w:val="000353A4"/>
    <w:rsid w:val="0003543C"/>
    <w:rsid w:val="00035707"/>
    <w:rsid w:val="0003576E"/>
    <w:rsid w:val="0003582C"/>
    <w:rsid w:val="00035B74"/>
    <w:rsid w:val="0003612C"/>
    <w:rsid w:val="00036348"/>
    <w:rsid w:val="00036589"/>
    <w:rsid w:val="00036C3C"/>
    <w:rsid w:val="00036CCB"/>
    <w:rsid w:val="00036ECB"/>
    <w:rsid w:val="00037120"/>
    <w:rsid w:val="0003747A"/>
    <w:rsid w:val="00037933"/>
    <w:rsid w:val="00040030"/>
    <w:rsid w:val="0004033B"/>
    <w:rsid w:val="00040DB8"/>
    <w:rsid w:val="00040E1D"/>
    <w:rsid w:val="00041157"/>
    <w:rsid w:val="0004172F"/>
    <w:rsid w:val="00043091"/>
    <w:rsid w:val="00043B3C"/>
    <w:rsid w:val="000444E4"/>
    <w:rsid w:val="00045752"/>
    <w:rsid w:val="00045DA1"/>
    <w:rsid w:val="00045FC5"/>
    <w:rsid w:val="000463F7"/>
    <w:rsid w:val="00046981"/>
    <w:rsid w:val="00050266"/>
    <w:rsid w:val="0005068C"/>
    <w:rsid w:val="00050A3A"/>
    <w:rsid w:val="000512ED"/>
    <w:rsid w:val="000515C3"/>
    <w:rsid w:val="00051C15"/>
    <w:rsid w:val="00051E99"/>
    <w:rsid w:val="0005256F"/>
    <w:rsid w:val="00052578"/>
    <w:rsid w:val="00052D93"/>
    <w:rsid w:val="00052E95"/>
    <w:rsid w:val="00053C7C"/>
    <w:rsid w:val="000545D4"/>
    <w:rsid w:val="00054689"/>
    <w:rsid w:val="000546CF"/>
    <w:rsid w:val="00054DEA"/>
    <w:rsid w:val="0005500C"/>
    <w:rsid w:val="00055128"/>
    <w:rsid w:val="0005539D"/>
    <w:rsid w:val="00056134"/>
    <w:rsid w:val="00056DD4"/>
    <w:rsid w:val="00057E22"/>
    <w:rsid w:val="00060245"/>
    <w:rsid w:val="00060264"/>
    <w:rsid w:val="00060A80"/>
    <w:rsid w:val="00060F2A"/>
    <w:rsid w:val="000611B0"/>
    <w:rsid w:val="00061AC9"/>
    <w:rsid w:val="00063767"/>
    <w:rsid w:val="00063875"/>
    <w:rsid w:val="00063DA9"/>
    <w:rsid w:val="000652C6"/>
    <w:rsid w:val="000652DA"/>
    <w:rsid w:val="00065F9A"/>
    <w:rsid w:val="0006699A"/>
    <w:rsid w:val="00066DC1"/>
    <w:rsid w:val="00066ED0"/>
    <w:rsid w:val="00067244"/>
    <w:rsid w:val="00070820"/>
    <w:rsid w:val="000708EF"/>
    <w:rsid w:val="000709F7"/>
    <w:rsid w:val="00071772"/>
    <w:rsid w:val="0007195F"/>
    <w:rsid w:val="00071BB8"/>
    <w:rsid w:val="000730E3"/>
    <w:rsid w:val="000730E5"/>
    <w:rsid w:val="0007413E"/>
    <w:rsid w:val="0007478F"/>
    <w:rsid w:val="00075000"/>
    <w:rsid w:val="000753F4"/>
    <w:rsid w:val="000760E1"/>
    <w:rsid w:val="0007633D"/>
    <w:rsid w:val="00076912"/>
    <w:rsid w:val="00077923"/>
    <w:rsid w:val="00081CFF"/>
    <w:rsid w:val="00081FD1"/>
    <w:rsid w:val="00082428"/>
    <w:rsid w:val="0008298A"/>
    <w:rsid w:val="00082DC6"/>
    <w:rsid w:val="000839ED"/>
    <w:rsid w:val="000845D9"/>
    <w:rsid w:val="00084B84"/>
    <w:rsid w:val="00084CE5"/>
    <w:rsid w:val="0008539F"/>
    <w:rsid w:val="00085460"/>
    <w:rsid w:val="00085645"/>
    <w:rsid w:val="00085947"/>
    <w:rsid w:val="00085E69"/>
    <w:rsid w:val="000861AA"/>
    <w:rsid w:val="00086D4D"/>
    <w:rsid w:val="000874DE"/>
    <w:rsid w:val="000876E3"/>
    <w:rsid w:val="00091855"/>
    <w:rsid w:val="0009196A"/>
    <w:rsid w:val="00091AEB"/>
    <w:rsid w:val="00092A0F"/>
    <w:rsid w:val="00092BE1"/>
    <w:rsid w:val="0009342E"/>
    <w:rsid w:val="00093910"/>
    <w:rsid w:val="00093C4F"/>
    <w:rsid w:val="00094F16"/>
    <w:rsid w:val="00095014"/>
    <w:rsid w:val="000956BE"/>
    <w:rsid w:val="00096039"/>
    <w:rsid w:val="0009605D"/>
    <w:rsid w:val="00096730"/>
    <w:rsid w:val="00096D23"/>
    <w:rsid w:val="00096DB4"/>
    <w:rsid w:val="00097218"/>
    <w:rsid w:val="00097806"/>
    <w:rsid w:val="00097823"/>
    <w:rsid w:val="000A0433"/>
    <w:rsid w:val="000A1361"/>
    <w:rsid w:val="000A14E4"/>
    <w:rsid w:val="000A1A11"/>
    <w:rsid w:val="000A1DDD"/>
    <w:rsid w:val="000A26CC"/>
    <w:rsid w:val="000A4A31"/>
    <w:rsid w:val="000A6207"/>
    <w:rsid w:val="000A684A"/>
    <w:rsid w:val="000A7226"/>
    <w:rsid w:val="000A7334"/>
    <w:rsid w:val="000A73B7"/>
    <w:rsid w:val="000A7F24"/>
    <w:rsid w:val="000B0171"/>
    <w:rsid w:val="000B0D58"/>
    <w:rsid w:val="000B10AF"/>
    <w:rsid w:val="000B147A"/>
    <w:rsid w:val="000B155C"/>
    <w:rsid w:val="000B161A"/>
    <w:rsid w:val="000B1C49"/>
    <w:rsid w:val="000B20B0"/>
    <w:rsid w:val="000B2235"/>
    <w:rsid w:val="000B2AA6"/>
    <w:rsid w:val="000B2F45"/>
    <w:rsid w:val="000B30B9"/>
    <w:rsid w:val="000B3121"/>
    <w:rsid w:val="000B37C4"/>
    <w:rsid w:val="000B3CD3"/>
    <w:rsid w:val="000B411C"/>
    <w:rsid w:val="000B47AC"/>
    <w:rsid w:val="000B5143"/>
    <w:rsid w:val="000B5FA7"/>
    <w:rsid w:val="000B61B4"/>
    <w:rsid w:val="000B63E7"/>
    <w:rsid w:val="000B65F0"/>
    <w:rsid w:val="000B6D6A"/>
    <w:rsid w:val="000B711A"/>
    <w:rsid w:val="000B736C"/>
    <w:rsid w:val="000B73DC"/>
    <w:rsid w:val="000C087F"/>
    <w:rsid w:val="000C0EE0"/>
    <w:rsid w:val="000C193E"/>
    <w:rsid w:val="000C1A23"/>
    <w:rsid w:val="000C2096"/>
    <w:rsid w:val="000C277B"/>
    <w:rsid w:val="000C3093"/>
    <w:rsid w:val="000C37A6"/>
    <w:rsid w:val="000C4559"/>
    <w:rsid w:val="000C5586"/>
    <w:rsid w:val="000C5DD3"/>
    <w:rsid w:val="000C5FFB"/>
    <w:rsid w:val="000C73B1"/>
    <w:rsid w:val="000C7A7B"/>
    <w:rsid w:val="000D03F6"/>
    <w:rsid w:val="000D0A01"/>
    <w:rsid w:val="000D0AB4"/>
    <w:rsid w:val="000D0BCE"/>
    <w:rsid w:val="000D20E5"/>
    <w:rsid w:val="000D2B35"/>
    <w:rsid w:val="000D2DCF"/>
    <w:rsid w:val="000D2FCA"/>
    <w:rsid w:val="000D408A"/>
    <w:rsid w:val="000D4D9C"/>
    <w:rsid w:val="000D55A4"/>
    <w:rsid w:val="000D5740"/>
    <w:rsid w:val="000D58E8"/>
    <w:rsid w:val="000D5946"/>
    <w:rsid w:val="000D5CEE"/>
    <w:rsid w:val="000D60A9"/>
    <w:rsid w:val="000D63CF"/>
    <w:rsid w:val="000D65DA"/>
    <w:rsid w:val="000E00E8"/>
    <w:rsid w:val="000E0E55"/>
    <w:rsid w:val="000E0ED2"/>
    <w:rsid w:val="000E16CA"/>
    <w:rsid w:val="000E16F1"/>
    <w:rsid w:val="000E1C75"/>
    <w:rsid w:val="000E1E52"/>
    <w:rsid w:val="000E297D"/>
    <w:rsid w:val="000E2B6E"/>
    <w:rsid w:val="000E2DA1"/>
    <w:rsid w:val="000E2F6E"/>
    <w:rsid w:val="000E37BF"/>
    <w:rsid w:val="000E4133"/>
    <w:rsid w:val="000E449E"/>
    <w:rsid w:val="000E4AF8"/>
    <w:rsid w:val="000E4B18"/>
    <w:rsid w:val="000E5816"/>
    <w:rsid w:val="000E6089"/>
    <w:rsid w:val="000E64ED"/>
    <w:rsid w:val="000E6899"/>
    <w:rsid w:val="000E6980"/>
    <w:rsid w:val="000E7F28"/>
    <w:rsid w:val="000F019D"/>
    <w:rsid w:val="000F0B41"/>
    <w:rsid w:val="000F1031"/>
    <w:rsid w:val="000F1E70"/>
    <w:rsid w:val="000F1F73"/>
    <w:rsid w:val="000F23E8"/>
    <w:rsid w:val="000F31A0"/>
    <w:rsid w:val="000F36C7"/>
    <w:rsid w:val="000F3CBE"/>
    <w:rsid w:val="000F4B50"/>
    <w:rsid w:val="000F4BC8"/>
    <w:rsid w:val="000F5A57"/>
    <w:rsid w:val="000F5AAC"/>
    <w:rsid w:val="000F644A"/>
    <w:rsid w:val="000F6715"/>
    <w:rsid w:val="000F6E28"/>
    <w:rsid w:val="000F7612"/>
    <w:rsid w:val="000F78CB"/>
    <w:rsid w:val="000F7947"/>
    <w:rsid w:val="000F7D1E"/>
    <w:rsid w:val="000F7E17"/>
    <w:rsid w:val="000F7FDC"/>
    <w:rsid w:val="00100499"/>
    <w:rsid w:val="0010055E"/>
    <w:rsid w:val="001006FC"/>
    <w:rsid w:val="00100EEE"/>
    <w:rsid w:val="0010113B"/>
    <w:rsid w:val="00101967"/>
    <w:rsid w:val="00101B9D"/>
    <w:rsid w:val="00101DF0"/>
    <w:rsid w:val="001026A8"/>
    <w:rsid w:val="00102ACC"/>
    <w:rsid w:val="00102DD0"/>
    <w:rsid w:val="00102EB1"/>
    <w:rsid w:val="00103A69"/>
    <w:rsid w:val="00104B1B"/>
    <w:rsid w:val="00104C72"/>
    <w:rsid w:val="001050C2"/>
    <w:rsid w:val="0010526C"/>
    <w:rsid w:val="00105A9D"/>
    <w:rsid w:val="001060EA"/>
    <w:rsid w:val="00106DC9"/>
    <w:rsid w:val="00106EE4"/>
    <w:rsid w:val="00110163"/>
    <w:rsid w:val="001106BE"/>
    <w:rsid w:val="0011080A"/>
    <w:rsid w:val="00110ED6"/>
    <w:rsid w:val="00111316"/>
    <w:rsid w:val="001115A1"/>
    <w:rsid w:val="001118E0"/>
    <w:rsid w:val="00112AFE"/>
    <w:rsid w:val="00113494"/>
    <w:rsid w:val="00113C54"/>
    <w:rsid w:val="0011498E"/>
    <w:rsid w:val="00114EC5"/>
    <w:rsid w:val="00116A60"/>
    <w:rsid w:val="00116DDC"/>
    <w:rsid w:val="001178B0"/>
    <w:rsid w:val="00117CD5"/>
    <w:rsid w:val="00120B7B"/>
    <w:rsid w:val="001215A8"/>
    <w:rsid w:val="00121C53"/>
    <w:rsid w:val="00122296"/>
    <w:rsid w:val="00122826"/>
    <w:rsid w:val="00122D01"/>
    <w:rsid w:val="00122D2E"/>
    <w:rsid w:val="001231F4"/>
    <w:rsid w:val="00123D0F"/>
    <w:rsid w:val="00123FB9"/>
    <w:rsid w:val="00124BF8"/>
    <w:rsid w:val="00125CC1"/>
    <w:rsid w:val="00126CE3"/>
    <w:rsid w:val="0012768C"/>
    <w:rsid w:val="00130174"/>
    <w:rsid w:val="00130645"/>
    <w:rsid w:val="00130ED5"/>
    <w:rsid w:val="001320C0"/>
    <w:rsid w:val="0013218C"/>
    <w:rsid w:val="001322E7"/>
    <w:rsid w:val="0013257A"/>
    <w:rsid w:val="00132887"/>
    <w:rsid w:val="0013373F"/>
    <w:rsid w:val="001337CF"/>
    <w:rsid w:val="00133A13"/>
    <w:rsid w:val="00133F6E"/>
    <w:rsid w:val="00134147"/>
    <w:rsid w:val="00134C4A"/>
    <w:rsid w:val="00135477"/>
    <w:rsid w:val="0013643E"/>
    <w:rsid w:val="001364CD"/>
    <w:rsid w:val="00136865"/>
    <w:rsid w:val="0013691E"/>
    <w:rsid w:val="00136A18"/>
    <w:rsid w:val="001376E2"/>
    <w:rsid w:val="0013772D"/>
    <w:rsid w:val="001403FC"/>
    <w:rsid w:val="001409A7"/>
    <w:rsid w:val="001409E2"/>
    <w:rsid w:val="00140C83"/>
    <w:rsid w:val="00141DFA"/>
    <w:rsid w:val="00142D79"/>
    <w:rsid w:val="00143A8F"/>
    <w:rsid w:val="00144519"/>
    <w:rsid w:val="00144B11"/>
    <w:rsid w:val="00144FAF"/>
    <w:rsid w:val="00145815"/>
    <w:rsid w:val="001467BE"/>
    <w:rsid w:val="00146BD7"/>
    <w:rsid w:val="00146F82"/>
    <w:rsid w:val="0014781F"/>
    <w:rsid w:val="001479E0"/>
    <w:rsid w:val="0015004D"/>
    <w:rsid w:val="00150386"/>
    <w:rsid w:val="001509B0"/>
    <w:rsid w:val="00150B80"/>
    <w:rsid w:val="001517A0"/>
    <w:rsid w:val="001519DF"/>
    <w:rsid w:val="00151F07"/>
    <w:rsid w:val="0015251E"/>
    <w:rsid w:val="00152DE6"/>
    <w:rsid w:val="00152FCF"/>
    <w:rsid w:val="001536DF"/>
    <w:rsid w:val="00155214"/>
    <w:rsid w:val="00155602"/>
    <w:rsid w:val="00156644"/>
    <w:rsid w:val="00157BCF"/>
    <w:rsid w:val="001603C9"/>
    <w:rsid w:val="0016055A"/>
    <w:rsid w:val="001606B9"/>
    <w:rsid w:val="00160B29"/>
    <w:rsid w:val="00160BEA"/>
    <w:rsid w:val="00160F18"/>
    <w:rsid w:val="0016128D"/>
    <w:rsid w:val="001615DA"/>
    <w:rsid w:val="00162AB2"/>
    <w:rsid w:val="00162D0D"/>
    <w:rsid w:val="00162D83"/>
    <w:rsid w:val="00162E5F"/>
    <w:rsid w:val="0016463D"/>
    <w:rsid w:val="00164793"/>
    <w:rsid w:val="00164B08"/>
    <w:rsid w:val="001662F3"/>
    <w:rsid w:val="00166682"/>
    <w:rsid w:val="00166957"/>
    <w:rsid w:val="001671CE"/>
    <w:rsid w:val="00167B2E"/>
    <w:rsid w:val="001706CE"/>
    <w:rsid w:val="00170853"/>
    <w:rsid w:val="00170AD1"/>
    <w:rsid w:val="00170FA8"/>
    <w:rsid w:val="00171803"/>
    <w:rsid w:val="00171DC6"/>
    <w:rsid w:val="00172734"/>
    <w:rsid w:val="00172834"/>
    <w:rsid w:val="001736EB"/>
    <w:rsid w:val="00173B22"/>
    <w:rsid w:val="00173DCF"/>
    <w:rsid w:val="001750ED"/>
    <w:rsid w:val="0017560C"/>
    <w:rsid w:val="001761A7"/>
    <w:rsid w:val="00176661"/>
    <w:rsid w:val="001767FE"/>
    <w:rsid w:val="00176888"/>
    <w:rsid w:val="00177701"/>
    <w:rsid w:val="00177DF2"/>
    <w:rsid w:val="00177F41"/>
    <w:rsid w:val="00181956"/>
    <w:rsid w:val="001820E3"/>
    <w:rsid w:val="001827AE"/>
    <w:rsid w:val="00182A73"/>
    <w:rsid w:val="00182A9B"/>
    <w:rsid w:val="00182E25"/>
    <w:rsid w:val="00183310"/>
    <w:rsid w:val="0018342C"/>
    <w:rsid w:val="00183879"/>
    <w:rsid w:val="00183F82"/>
    <w:rsid w:val="00184877"/>
    <w:rsid w:val="00184978"/>
    <w:rsid w:val="00184B48"/>
    <w:rsid w:val="00184BA5"/>
    <w:rsid w:val="00185369"/>
    <w:rsid w:val="001855C4"/>
    <w:rsid w:val="001858CF"/>
    <w:rsid w:val="00185A85"/>
    <w:rsid w:val="0018709A"/>
    <w:rsid w:val="00190435"/>
    <w:rsid w:val="001906C4"/>
    <w:rsid w:val="00190826"/>
    <w:rsid w:val="00190E82"/>
    <w:rsid w:val="001913E0"/>
    <w:rsid w:val="00191514"/>
    <w:rsid w:val="0019212A"/>
    <w:rsid w:val="001923DE"/>
    <w:rsid w:val="00192579"/>
    <w:rsid w:val="0019273C"/>
    <w:rsid w:val="00192FB4"/>
    <w:rsid w:val="001930CA"/>
    <w:rsid w:val="00193183"/>
    <w:rsid w:val="001931DC"/>
    <w:rsid w:val="0019496C"/>
    <w:rsid w:val="00194C95"/>
    <w:rsid w:val="00194CC0"/>
    <w:rsid w:val="00195387"/>
    <w:rsid w:val="00195CAD"/>
    <w:rsid w:val="001960C0"/>
    <w:rsid w:val="00196B2F"/>
    <w:rsid w:val="0019755F"/>
    <w:rsid w:val="00197FD7"/>
    <w:rsid w:val="001A0090"/>
    <w:rsid w:val="001A03AA"/>
    <w:rsid w:val="001A03AE"/>
    <w:rsid w:val="001A0570"/>
    <w:rsid w:val="001A098B"/>
    <w:rsid w:val="001A0B76"/>
    <w:rsid w:val="001A1041"/>
    <w:rsid w:val="001A1C41"/>
    <w:rsid w:val="001A1E13"/>
    <w:rsid w:val="001A1E42"/>
    <w:rsid w:val="001A209E"/>
    <w:rsid w:val="001A22E1"/>
    <w:rsid w:val="001A238F"/>
    <w:rsid w:val="001A23C1"/>
    <w:rsid w:val="001A2DAB"/>
    <w:rsid w:val="001A33CC"/>
    <w:rsid w:val="001A3A45"/>
    <w:rsid w:val="001A4922"/>
    <w:rsid w:val="001A4C1B"/>
    <w:rsid w:val="001A4C46"/>
    <w:rsid w:val="001A533C"/>
    <w:rsid w:val="001A5C85"/>
    <w:rsid w:val="001A695E"/>
    <w:rsid w:val="001A6F0B"/>
    <w:rsid w:val="001A71F9"/>
    <w:rsid w:val="001A7209"/>
    <w:rsid w:val="001A7523"/>
    <w:rsid w:val="001A7A48"/>
    <w:rsid w:val="001B0C9C"/>
    <w:rsid w:val="001B0F04"/>
    <w:rsid w:val="001B2164"/>
    <w:rsid w:val="001B242B"/>
    <w:rsid w:val="001B2475"/>
    <w:rsid w:val="001B252D"/>
    <w:rsid w:val="001B2A14"/>
    <w:rsid w:val="001B398D"/>
    <w:rsid w:val="001B3DDA"/>
    <w:rsid w:val="001B428F"/>
    <w:rsid w:val="001B4A5F"/>
    <w:rsid w:val="001B4ADD"/>
    <w:rsid w:val="001B5451"/>
    <w:rsid w:val="001B5559"/>
    <w:rsid w:val="001B62F5"/>
    <w:rsid w:val="001B631A"/>
    <w:rsid w:val="001B6CD9"/>
    <w:rsid w:val="001B6DD5"/>
    <w:rsid w:val="001B70BE"/>
    <w:rsid w:val="001B7B37"/>
    <w:rsid w:val="001B7E48"/>
    <w:rsid w:val="001C0918"/>
    <w:rsid w:val="001C2056"/>
    <w:rsid w:val="001C2486"/>
    <w:rsid w:val="001C25FE"/>
    <w:rsid w:val="001C279D"/>
    <w:rsid w:val="001C2B69"/>
    <w:rsid w:val="001C2C8A"/>
    <w:rsid w:val="001C3845"/>
    <w:rsid w:val="001C4425"/>
    <w:rsid w:val="001C4A55"/>
    <w:rsid w:val="001C4F9E"/>
    <w:rsid w:val="001C54A9"/>
    <w:rsid w:val="001C54B6"/>
    <w:rsid w:val="001C6762"/>
    <w:rsid w:val="001D004F"/>
    <w:rsid w:val="001D01E3"/>
    <w:rsid w:val="001D03B4"/>
    <w:rsid w:val="001D06BA"/>
    <w:rsid w:val="001D287F"/>
    <w:rsid w:val="001D330D"/>
    <w:rsid w:val="001D3AEA"/>
    <w:rsid w:val="001D3CEF"/>
    <w:rsid w:val="001D43E7"/>
    <w:rsid w:val="001D452D"/>
    <w:rsid w:val="001D4AA1"/>
    <w:rsid w:val="001D4C16"/>
    <w:rsid w:val="001D56D9"/>
    <w:rsid w:val="001D5978"/>
    <w:rsid w:val="001D59A8"/>
    <w:rsid w:val="001D5ADB"/>
    <w:rsid w:val="001D678B"/>
    <w:rsid w:val="001D6AD4"/>
    <w:rsid w:val="001D73C9"/>
    <w:rsid w:val="001D7467"/>
    <w:rsid w:val="001D76D8"/>
    <w:rsid w:val="001E00D3"/>
    <w:rsid w:val="001E036D"/>
    <w:rsid w:val="001E03A7"/>
    <w:rsid w:val="001E067C"/>
    <w:rsid w:val="001E086A"/>
    <w:rsid w:val="001E08B1"/>
    <w:rsid w:val="001E0FA1"/>
    <w:rsid w:val="001E1000"/>
    <w:rsid w:val="001E148B"/>
    <w:rsid w:val="001E1DC8"/>
    <w:rsid w:val="001E2A9A"/>
    <w:rsid w:val="001E309B"/>
    <w:rsid w:val="001E30CF"/>
    <w:rsid w:val="001E392F"/>
    <w:rsid w:val="001E3D46"/>
    <w:rsid w:val="001E44E9"/>
    <w:rsid w:val="001E5136"/>
    <w:rsid w:val="001E540B"/>
    <w:rsid w:val="001E5452"/>
    <w:rsid w:val="001E69C0"/>
    <w:rsid w:val="001E7B58"/>
    <w:rsid w:val="001E7F57"/>
    <w:rsid w:val="001F0366"/>
    <w:rsid w:val="001F09DB"/>
    <w:rsid w:val="001F144B"/>
    <w:rsid w:val="001F1962"/>
    <w:rsid w:val="001F1A9E"/>
    <w:rsid w:val="001F1EE8"/>
    <w:rsid w:val="001F2240"/>
    <w:rsid w:val="001F2306"/>
    <w:rsid w:val="001F27BE"/>
    <w:rsid w:val="001F34D8"/>
    <w:rsid w:val="001F3741"/>
    <w:rsid w:val="001F37AB"/>
    <w:rsid w:val="001F3E09"/>
    <w:rsid w:val="001F4095"/>
    <w:rsid w:val="001F49CE"/>
    <w:rsid w:val="001F4C54"/>
    <w:rsid w:val="001F5098"/>
    <w:rsid w:val="001F7BAC"/>
    <w:rsid w:val="001F7CB8"/>
    <w:rsid w:val="001F7F08"/>
    <w:rsid w:val="002009DA"/>
    <w:rsid w:val="00200C34"/>
    <w:rsid w:val="00201371"/>
    <w:rsid w:val="0020138C"/>
    <w:rsid w:val="002022E1"/>
    <w:rsid w:val="00202D8A"/>
    <w:rsid w:val="00203469"/>
    <w:rsid w:val="00203873"/>
    <w:rsid w:val="00203C0B"/>
    <w:rsid w:val="00204B25"/>
    <w:rsid w:val="0020559D"/>
    <w:rsid w:val="002056A5"/>
    <w:rsid w:val="00205C8C"/>
    <w:rsid w:val="00205E25"/>
    <w:rsid w:val="002063D0"/>
    <w:rsid w:val="00207460"/>
    <w:rsid w:val="00207875"/>
    <w:rsid w:val="00207BCA"/>
    <w:rsid w:val="00210C06"/>
    <w:rsid w:val="00210F15"/>
    <w:rsid w:val="00212EB1"/>
    <w:rsid w:val="00213205"/>
    <w:rsid w:val="00213698"/>
    <w:rsid w:val="002139F6"/>
    <w:rsid w:val="00213C93"/>
    <w:rsid w:val="00213EAA"/>
    <w:rsid w:val="00214CCF"/>
    <w:rsid w:val="00216062"/>
    <w:rsid w:val="0021616C"/>
    <w:rsid w:val="00217C11"/>
    <w:rsid w:val="00217E90"/>
    <w:rsid w:val="002202B3"/>
    <w:rsid w:val="00221138"/>
    <w:rsid w:val="00221466"/>
    <w:rsid w:val="00221B21"/>
    <w:rsid w:val="00222143"/>
    <w:rsid w:val="0022215A"/>
    <w:rsid w:val="0022233C"/>
    <w:rsid w:val="0022278E"/>
    <w:rsid w:val="00222CC5"/>
    <w:rsid w:val="00222CD5"/>
    <w:rsid w:val="00223380"/>
    <w:rsid w:val="00223500"/>
    <w:rsid w:val="002235C6"/>
    <w:rsid w:val="002244CD"/>
    <w:rsid w:val="002248DB"/>
    <w:rsid w:val="00225045"/>
    <w:rsid w:val="00226A33"/>
    <w:rsid w:val="00226FDF"/>
    <w:rsid w:val="0022708C"/>
    <w:rsid w:val="002273A4"/>
    <w:rsid w:val="0022794D"/>
    <w:rsid w:val="002279DE"/>
    <w:rsid w:val="00227DB7"/>
    <w:rsid w:val="00230173"/>
    <w:rsid w:val="00230965"/>
    <w:rsid w:val="00230AFC"/>
    <w:rsid w:val="00230F5C"/>
    <w:rsid w:val="00231E67"/>
    <w:rsid w:val="00232549"/>
    <w:rsid w:val="00233496"/>
    <w:rsid w:val="00233AF6"/>
    <w:rsid w:val="00233DF8"/>
    <w:rsid w:val="00234265"/>
    <w:rsid w:val="0023476E"/>
    <w:rsid w:val="0023482F"/>
    <w:rsid w:val="0023504E"/>
    <w:rsid w:val="002350E6"/>
    <w:rsid w:val="00236F09"/>
    <w:rsid w:val="0023787D"/>
    <w:rsid w:val="002404B2"/>
    <w:rsid w:val="00240DE6"/>
    <w:rsid w:val="00240ECF"/>
    <w:rsid w:val="002419A9"/>
    <w:rsid w:val="00241AF5"/>
    <w:rsid w:val="00241D16"/>
    <w:rsid w:val="002426B1"/>
    <w:rsid w:val="00242BC0"/>
    <w:rsid w:val="00242DF4"/>
    <w:rsid w:val="0024386B"/>
    <w:rsid w:val="002439E0"/>
    <w:rsid w:val="00243B6A"/>
    <w:rsid w:val="00243B90"/>
    <w:rsid w:val="00243E1F"/>
    <w:rsid w:val="00243ED1"/>
    <w:rsid w:val="00245029"/>
    <w:rsid w:val="0024585C"/>
    <w:rsid w:val="00245CAB"/>
    <w:rsid w:val="00246008"/>
    <w:rsid w:val="00246572"/>
    <w:rsid w:val="002466F8"/>
    <w:rsid w:val="0024682D"/>
    <w:rsid w:val="00246839"/>
    <w:rsid w:val="002505BA"/>
    <w:rsid w:val="002506FE"/>
    <w:rsid w:val="00250A45"/>
    <w:rsid w:val="00250C7C"/>
    <w:rsid w:val="00251394"/>
    <w:rsid w:val="00252123"/>
    <w:rsid w:val="0025267B"/>
    <w:rsid w:val="00252D61"/>
    <w:rsid w:val="00252F75"/>
    <w:rsid w:val="002531FA"/>
    <w:rsid w:val="002539B3"/>
    <w:rsid w:val="00253A57"/>
    <w:rsid w:val="0025402C"/>
    <w:rsid w:val="00254403"/>
    <w:rsid w:val="002544A1"/>
    <w:rsid w:val="00254603"/>
    <w:rsid w:val="00254DFA"/>
    <w:rsid w:val="002552CF"/>
    <w:rsid w:val="00255539"/>
    <w:rsid w:val="002558EC"/>
    <w:rsid w:val="00255BC5"/>
    <w:rsid w:val="00256580"/>
    <w:rsid w:val="00256627"/>
    <w:rsid w:val="00256D95"/>
    <w:rsid w:val="0026052A"/>
    <w:rsid w:val="002609E0"/>
    <w:rsid w:val="00260A5B"/>
    <w:rsid w:val="002613E0"/>
    <w:rsid w:val="002617CE"/>
    <w:rsid w:val="00262C5A"/>
    <w:rsid w:val="0026319B"/>
    <w:rsid w:val="00263FDC"/>
    <w:rsid w:val="00264092"/>
    <w:rsid w:val="00264151"/>
    <w:rsid w:val="0026567F"/>
    <w:rsid w:val="00266662"/>
    <w:rsid w:val="002666F5"/>
    <w:rsid w:val="00267906"/>
    <w:rsid w:val="00270639"/>
    <w:rsid w:val="00270BFD"/>
    <w:rsid w:val="002715A0"/>
    <w:rsid w:val="00271845"/>
    <w:rsid w:val="00271D0C"/>
    <w:rsid w:val="002724CB"/>
    <w:rsid w:val="00272672"/>
    <w:rsid w:val="0027279C"/>
    <w:rsid w:val="00272C21"/>
    <w:rsid w:val="0027324E"/>
    <w:rsid w:val="0027404C"/>
    <w:rsid w:val="002742D1"/>
    <w:rsid w:val="00274689"/>
    <w:rsid w:val="002751B9"/>
    <w:rsid w:val="00277A17"/>
    <w:rsid w:val="00277A5F"/>
    <w:rsid w:val="00277E44"/>
    <w:rsid w:val="00277F14"/>
    <w:rsid w:val="002802AF"/>
    <w:rsid w:val="00280891"/>
    <w:rsid w:val="0028266C"/>
    <w:rsid w:val="00282706"/>
    <w:rsid w:val="002836AE"/>
    <w:rsid w:val="0028405A"/>
    <w:rsid w:val="002856B1"/>
    <w:rsid w:val="00285C8E"/>
    <w:rsid w:val="00285EEF"/>
    <w:rsid w:val="00285F2F"/>
    <w:rsid w:val="00286559"/>
    <w:rsid w:val="002866AB"/>
    <w:rsid w:val="00286CE4"/>
    <w:rsid w:val="002873B1"/>
    <w:rsid w:val="00287623"/>
    <w:rsid w:val="002878DC"/>
    <w:rsid w:val="00287E77"/>
    <w:rsid w:val="002901E7"/>
    <w:rsid w:val="00290AB1"/>
    <w:rsid w:val="00290FD8"/>
    <w:rsid w:val="002910EC"/>
    <w:rsid w:val="002921CC"/>
    <w:rsid w:val="0029285B"/>
    <w:rsid w:val="0029301E"/>
    <w:rsid w:val="00293671"/>
    <w:rsid w:val="00293A54"/>
    <w:rsid w:val="00293A9B"/>
    <w:rsid w:val="00293CE4"/>
    <w:rsid w:val="00294314"/>
    <w:rsid w:val="00294838"/>
    <w:rsid w:val="00294E22"/>
    <w:rsid w:val="00295F51"/>
    <w:rsid w:val="00296753"/>
    <w:rsid w:val="00296911"/>
    <w:rsid w:val="00297135"/>
    <w:rsid w:val="00297459"/>
    <w:rsid w:val="00297D8D"/>
    <w:rsid w:val="002A0AC4"/>
    <w:rsid w:val="002A0DEF"/>
    <w:rsid w:val="002A1453"/>
    <w:rsid w:val="002A19C8"/>
    <w:rsid w:val="002A1F57"/>
    <w:rsid w:val="002A381F"/>
    <w:rsid w:val="002A468E"/>
    <w:rsid w:val="002A62FE"/>
    <w:rsid w:val="002A64E6"/>
    <w:rsid w:val="002A6812"/>
    <w:rsid w:val="002A6863"/>
    <w:rsid w:val="002A75DA"/>
    <w:rsid w:val="002A77DF"/>
    <w:rsid w:val="002A79C7"/>
    <w:rsid w:val="002B0E5A"/>
    <w:rsid w:val="002B0E9A"/>
    <w:rsid w:val="002B0F85"/>
    <w:rsid w:val="002B1031"/>
    <w:rsid w:val="002B1192"/>
    <w:rsid w:val="002B196B"/>
    <w:rsid w:val="002B1A1A"/>
    <w:rsid w:val="002B1BB5"/>
    <w:rsid w:val="002B1E75"/>
    <w:rsid w:val="002B1F3D"/>
    <w:rsid w:val="002B2B81"/>
    <w:rsid w:val="002B3421"/>
    <w:rsid w:val="002B363C"/>
    <w:rsid w:val="002B3AA3"/>
    <w:rsid w:val="002B3B7F"/>
    <w:rsid w:val="002B3DA2"/>
    <w:rsid w:val="002B3FAD"/>
    <w:rsid w:val="002B4009"/>
    <w:rsid w:val="002B428A"/>
    <w:rsid w:val="002B48DD"/>
    <w:rsid w:val="002B56E1"/>
    <w:rsid w:val="002B5C89"/>
    <w:rsid w:val="002B6198"/>
    <w:rsid w:val="002B670E"/>
    <w:rsid w:val="002B6911"/>
    <w:rsid w:val="002B6C94"/>
    <w:rsid w:val="002B73E7"/>
    <w:rsid w:val="002B7D91"/>
    <w:rsid w:val="002B7EA2"/>
    <w:rsid w:val="002B7F03"/>
    <w:rsid w:val="002C0144"/>
    <w:rsid w:val="002C03A9"/>
    <w:rsid w:val="002C0AC6"/>
    <w:rsid w:val="002C0B40"/>
    <w:rsid w:val="002C28DB"/>
    <w:rsid w:val="002C2ED9"/>
    <w:rsid w:val="002C3243"/>
    <w:rsid w:val="002C3A3D"/>
    <w:rsid w:val="002C3A76"/>
    <w:rsid w:val="002C3D5C"/>
    <w:rsid w:val="002C4243"/>
    <w:rsid w:val="002C4573"/>
    <w:rsid w:val="002C45C8"/>
    <w:rsid w:val="002C483E"/>
    <w:rsid w:val="002C4A0E"/>
    <w:rsid w:val="002C53AA"/>
    <w:rsid w:val="002C543F"/>
    <w:rsid w:val="002C569A"/>
    <w:rsid w:val="002C593C"/>
    <w:rsid w:val="002C6FCD"/>
    <w:rsid w:val="002C7E7D"/>
    <w:rsid w:val="002D0028"/>
    <w:rsid w:val="002D14CD"/>
    <w:rsid w:val="002D19DE"/>
    <w:rsid w:val="002D1D71"/>
    <w:rsid w:val="002D1D88"/>
    <w:rsid w:val="002D1E8D"/>
    <w:rsid w:val="002D2512"/>
    <w:rsid w:val="002D2F7A"/>
    <w:rsid w:val="002D2FB1"/>
    <w:rsid w:val="002D3045"/>
    <w:rsid w:val="002D3B49"/>
    <w:rsid w:val="002D3E8D"/>
    <w:rsid w:val="002D42B2"/>
    <w:rsid w:val="002D47D2"/>
    <w:rsid w:val="002D4BC8"/>
    <w:rsid w:val="002D4BF9"/>
    <w:rsid w:val="002D51CA"/>
    <w:rsid w:val="002D54EE"/>
    <w:rsid w:val="002D56D3"/>
    <w:rsid w:val="002D62B7"/>
    <w:rsid w:val="002D6813"/>
    <w:rsid w:val="002D6E1B"/>
    <w:rsid w:val="002D7193"/>
    <w:rsid w:val="002D71AD"/>
    <w:rsid w:val="002D7448"/>
    <w:rsid w:val="002E00E9"/>
    <w:rsid w:val="002E03E4"/>
    <w:rsid w:val="002E0765"/>
    <w:rsid w:val="002E077B"/>
    <w:rsid w:val="002E0795"/>
    <w:rsid w:val="002E1043"/>
    <w:rsid w:val="002E15BA"/>
    <w:rsid w:val="002E1687"/>
    <w:rsid w:val="002E19B6"/>
    <w:rsid w:val="002E22A8"/>
    <w:rsid w:val="002E3C04"/>
    <w:rsid w:val="002E3C7D"/>
    <w:rsid w:val="002E4596"/>
    <w:rsid w:val="002E478C"/>
    <w:rsid w:val="002E5798"/>
    <w:rsid w:val="002E6219"/>
    <w:rsid w:val="002E632F"/>
    <w:rsid w:val="002E683D"/>
    <w:rsid w:val="002E7257"/>
    <w:rsid w:val="002E7477"/>
    <w:rsid w:val="002E7B37"/>
    <w:rsid w:val="002F02CE"/>
    <w:rsid w:val="002F05A3"/>
    <w:rsid w:val="002F072F"/>
    <w:rsid w:val="002F0E47"/>
    <w:rsid w:val="002F1AFB"/>
    <w:rsid w:val="002F1CA6"/>
    <w:rsid w:val="002F27EA"/>
    <w:rsid w:val="002F3206"/>
    <w:rsid w:val="002F3328"/>
    <w:rsid w:val="002F3554"/>
    <w:rsid w:val="002F3DC9"/>
    <w:rsid w:val="002F49CE"/>
    <w:rsid w:val="002F5DD1"/>
    <w:rsid w:val="002F6476"/>
    <w:rsid w:val="002F6873"/>
    <w:rsid w:val="002F68FF"/>
    <w:rsid w:val="002F69A1"/>
    <w:rsid w:val="002F6C65"/>
    <w:rsid w:val="002F731B"/>
    <w:rsid w:val="002F7805"/>
    <w:rsid w:val="002F7821"/>
    <w:rsid w:val="002F7C37"/>
    <w:rsid w:val="002F7D4A"/>
    <w:rsid w:val="003007FA"/>
    <w:rsid w:val="00300C06"/>
    <w:rsid w:val="00300EB4"/>
    <w:rsid w:val="00300FC0"/>
    <w:rsid w:val="003015BE"/>
    <w:rsid w:val="00301A3F"/>
    <w:rsid w:val="00302048"/>
    <w:rsid w:val="0030283C"/>
    <w:rsid w:val="00302AF7"/>
    <w:rsid w:val="003034C4"/>
    <w:rsid w:val="00303EAC"/>
    <w:rsid w:val="00304043"/>
    <w:rsid w:val="003048E8"/>
    <w:rsid w:val="00304D25"/>
    <w:rsid w:val="00304D6F"/>
    <w:rsid w:val="00304F64"/>
    <w:rsid w:val="003053DA"/>
    <w:rsid w:val="0030579B"/>
    <w:rsid w:val="00306141"/>
    <w:rsid w:val="00307160"/>
    <w:rsid w:val="00307280"/>
    <w:rsid w:val="0030782C"/>
    <w:rsid w:val="00310731"/>
    <w:rsid w:val="00310852"/>
    <w:rsid w:val="00310EC6"/>
    <w:rsid w:val="00311296"/>
    <w:rsid w:val="0031163E"/>
    <w:rsid w:val="00312887"/>
    <w:rsid w:val="00312F33"/>
    <w:rsid w:val="0031395A"/>
    <w:rsid w:val="00313A3E"/>
    <w:rsid w:val="00314189"/>
    <w:rsid w:val="00315025"/>
    <w:rsid w:val="003150C2"/>
    <w:rsid w:val="003153AD"/>
    <w:rsid w:val="00315B06"/>
    <w:rsid w:val="003161AA"/>
    <w:rsid w:val="00316599"/>
    <w:rsid w:val="003165A4"/>
    <w:rsid w:val="0031679F"/>
    <w:rsid w:val="00317354"/>
    <w:rsid w:val="00317592"/>
    <w:rsid w:val="003207F9"/>
    <w:rsid w:val="00321917"/>
    <w:rsid w:val="00321D93"/>
    <w:rsid w:val="003220B2"/>
    <w:rsid w:val="00322398"/>
    <w:rsid w:val="003223F0"/>
    <w:rsid w:val="00322934"/>
    <w:rsid w:val="00323B83"/>
    <w:rsid w:val="00323BCB"/>
    <w:rsid w:val="00323E26"/>
    <w:rsid w:val="003245D3"/>
    <w:rsid w:val="00324C08"/>
    <w:rsid w:val="00324FD7"/>
    <w:rsid w:val="003252E2"/>
    <w:rsid w:val="003255E9"/>
    <w:rsid w:val="00325792"/>
    <w:rsid w:val="0032587A"/>
    <w:rsid w:val="00325B4A"/>
    <w:rsid w:val="00325DA4"/>
    <w:rsid w:val="003263CC"/>
    <w:rsid w:val="00326400"/>
    <w:rsid w:val="003271D7"/>
    <w:rsid w:val="003276F9"/>
    <w:rsid w:val="00327ECF"/>
    <w:rsid w:val="0033002E"/>
    <w:rsid w:val="003306E6"/>
    <w:rsid w:val="00330946"/>
    <w:rsid w:val="00330BD8"/>
    <w:rsid w:val="00330CED"/>
    <w:rsid w:val="0033107B"/>
    <w:rsid w:val="003316FE"/>
    <w:rsid w:val="0033228B"/>
    <w:rsid w:val="00332757"/>
    <w:rsid w:val="00332A75"/>
    <w:rsid w:val="00332B17"/>
    <w:rsid w:val="003331F2"/>
    <w:rsid w:val="00333727"/>
    <w:rsid w:val="00333C0B"/>
    <w:rsid w:val="00334315"/>
    <w:rsid w:val="00334D69"/>
    <w:rsid w:val="00335CAA"/>
    <w:rsid w:val="00335D1D"/>
    <w:rsid w:val="00335F41"/>
    <w:rsid w:val="00336951"/>
    <w:rsid w:val="00336E97"/>
    <w:rsid w:val="00337405"/>
    <w:rsid w:val="00337974"/>
    <w:rsid w:val="00340007"/>
    <w:rsid w:val="003417B7"/>
    <w:rsid w:val="003422B8"/>
    <w:rsid w:val="003426B3"/>
    <w:rsid w:val="00342746"/>
    <w:rsid w:val="0034350A"/>
    <w:rsid w:val="00343563"/>
    <w:rsid w:val="00344566"/>
    <w:rsid w:val="003456B4"/>
    <w:rsid w:val="0034573D"/>
    <w:rsid w:val="0034636D"/>
    <w:rsid w:val="00346582"/>
    <w:rsid w:val="00346C63"/>
    <w:rsid w:val="00346C7F"/>
    <w:rsid w:val="00346FF5"/>
    <w:rsid w:val="0034731D"/>
    <w:rsid w:val="003473F3"/>
    <w:rsid w:val="0034788A"/>
    <w:rsid w:val="0035032A"/>
    <w:rsid w:val="00351970"/>
    <w:rsid w:val="00351CFC"/>
    <w:rsid w:val="00351FA7"/>
    <w:rsid w:val="00352225"/>
    <w:rsid w:val="003523EB"/>
    <w:rsid w:val="00352C28"/>
    <w:rsid w:val="00353127"/>
    <w:rsid w:val="0035348A"/>
    <w:rsid w:val="003540C8"/>
    <w:rsid w:val="0035466F"/>
    <w:rsid w:val="00354B47"/>
    <w:rsid w:val="00354B86"/>
    <w:rsid w:val="00354E6A"/>
    <w:rsid w:val="00354EC5"/>
    <w:rsid w:val="00354FE7"/>
    <w:rsid w:val="00355521"/>
    <w:rsid w:val="00355770"/>
    <w:rsid w:val="00355CD6"/>
    <w:rsid w:val="00356317"/>
    <w:rsid w:val="0035762E"/>
    <w:rsid w:val="003605D3"/>
    <w:rsid w:val="00360682"/>
    <w:rsid w:val="003608C2"/>
    <w:rsid w:val="00360CC3"/>
    <w:rsid w:val="003611BA"/>
    <w:rsid w:val="00361230"/>
    <w:rsid w:val="0036157C"/>
    <w:rsid w:val="003639E6"/>
    <w:rsid w:val="00364A22"/>
    <w:rsid w:val="00364AFC"/>
    <w:rsid w:val="00364B3D"/>
    <w:rsid w:val="00364B72"/>
    <w:rsid w:val="00364E94"/>
    <w:rsid w:val="00365AF1"/>
    <w:rsid w:val="00365E79"/>
    <w:rsid w:val="00366175"/>
    <w:rsid w:val="003664A5"/>
    <w:rsid w:val="003676F9"/>
    <w:rsid w:val="003705A3"/>
    <w:rsid w:val="00370D56"/>
    <w:rsid w:val="00370D5D"/>
    <w:rsid w:val="003710DC"/>
    <w:rsid w:val="00372520"/>
    <w:rsid w:val="00372676"/>
    <w:rsid w:val="00372840"/>
    <w:rsid w:val="00372AE3"/>
    <w:rsid w:val="003731F1"/>
    <w:rsid w:val="00373220"/>
    <w:rsid w:val="00373B12"/>
    <w:rsid w:val="00373E94"/>
    <w:rsid w:val="00373F96"/>
    <w:rsid w:val="003740C0"/>
    <w:rsid w:val="00374FAE"/>
    <w:rsid w:val="0037552C"/>
    <w:rsid w:val="00375F72"/>
    <w:rsid w:val="003766AA"/>
    <w:rsid w:val="00376D3A"/>
    <w:rsid w:val="003801D2"/>
    <w:rsid w:val="0038023A"/>
    <w:rsid w:val="0038057A"/>
    <w:rsid w:val="00381419"/>
    <w:rsid w:val="0038203A"/>
    <w:rsid w:val="003823CC"/>
    <w:rsid w:val="003829C7"/>
    <w:rsid w:val="00382E30"/>
    <w:rsid w:val="00383496"/>
    <w:rsid w:val="0038375E"/>
    <w:rsid w:val="00383C18"/>
    <w:rsid w:val="00383E42"/>
    <w:rsid w:val="00383E63"/>
    <w:rsid w:val="00383F33"/>
    <w:rsid w:val="0038479F"/>
    <w:rsid w:val="00385BBA"/>
    <w:rsid w:val="00385F27"/>
    <w:rsid w:val="003864F3"/>
    <w:rsid w:val="00386702"/>
    <w:rsid w:val="0038691B"/>
    <w:rsid w:val="00386D1A"/>
    <w:rsid w:val="00386FCC"/>
    <w:rsid w:val="0038753B"/>
    <w:rsid w:val="00390959"/>
    <w:rsid w:val="00390C3D"/>
    <w:rsid w:val="0039115D"/>
    <w:rsid w:val="00392044"/>
    <w:rsid w:val="00392154"/>
    <w:rsid w:val="003922D9"/>
    <w:rsid w:val="0039231C"/>
    <w:rsid w:val="00392C00"/>
    <w:rsid w:val="00393430"/>
    <w:rsid w:val="0039399D"/>
    <w:rsid w:val="00393E33"/>
    <w:rsid w:val="00394249"/>
    <w:rsid w:val="0039479C"/>
    <w:rsid w:val="003966B6"/>
    <w:rsid w:val="00396C27"/>
    <w:rsid w:val="00396D08"/>
    <w:rsid w:val="0039721A"/>
    <w:rsid w:val="003A10C3"/>
    <w:rsid w:val="003A14A2"/>
    <w:rsid w:val="003A18AF"/>
    <w:rsid w:val="003A1A5C"/>
    <w:rsid w:val="003A2D9B"/>
    <w:rsid w:val="003A435E"/>
    <w:rsid w:val="003A4EF7"/>
    <w:rsid w:val="003A5274"/>
    <w:rsid w:val="003A52CE"/>
    <w:rsid w:val="003A6E96"/>
    <w:rsid w:val="003B00C3"/>
    <w:rsid w:val="003B0E7E"/>
    <w:rsid w:val="003B1488"/>
    <w:rsid w:val="003B1D58"/>
    <w:rsid w:val="003B2097"/>
    <w:rsid w:val="003B2EAA"/>
    <w:rsid w:val="003B3394"/>
    <w:rsid w:val="003B3981"/>
    <w:rsid w:val="003B4D08"/>
    <w:rsid w:val="003B53EE"/>
    <w:rsid w:val="003B5894"/>
    <w:rsid w:val="003B642A"/>
    <w:rsid w:val="003B690F"/>
    <w:rsid w:val="003B796D"/>
    <w:rsid w:val="003B7C79"/>
    <w:rsid w:val="003C0388"/>
    <w:rsid w:val="003C0753"/>
    <w:rsid w:val="003C0C7F"/>
    <w:rsid w:val="003C0CCA"/>
    <w:rsid w:val="003C1020"/>
    <w:rsid w:val="003C166E"/>
    <w:rsid w:val="003C18C7"/>
    <w:rsid w:val="003C1B13"/>
    <w:rsid w:val="003C2E52"/>
    <w:rsid w:val="003C344A"/>
    <w:rsid w:val="003C36F5"/>
    <w:rsid w:val="003C4650"/>
    <w:rsid w:val="003C47F2"/>
    <w:rsid w:val="003C51FD"/>
    <w:rsid w:val="003C574D"/>
    <w:rsid w:val="003C5C70"/>
    <w:rsid w:val="003C6053"/>
    <w:rsid w:val="003C637F"/>
    <w:rsid w:val="003C63C4"/>
    <w:rsid w:val="003C6561"/>
    <w:rsid w:val="003C656B"/>
    <w:rsid w:val="003C6624"/>
    <w:rsid w:val="003C68B0"/>
    <w:rsid w:val="003C754E"/>
    <w:rsid w:val="003C7ACC"/>
    <w:rsid w:val="003C7F88"/>
    <w:rsid w:val="003D098D"/>
    <w:rsid w:val="003D12AB"/>
    <w:rsid w:val="003D18CC"/>
    <w:rsid w:val="003D259A"/>
    <w:rsid w:val="003D2FA9"/>
    <w:rsid w:val="003D3694"/>
    <w:rsid w:val="003D3712"/>
    <w:rsid w:val="003D3B52"/>
    <w:rsid w:val="003D3F34"/>
    <w:rsid w:val="003D4B9A"/>
    <w:rsid w:val="003D4CE0"/>
    <w:rsid w:val="003D56A6"/>
    <w:rsid w:val="003D5856"/>
    <w:rsid w:val="003D5939"/>
    <w:rsid w:val="003D608C"/>
    <w:rsid w:val="003D668A"/>
    <w:rsid w:val="003D69EF"/>
    <w:rsid w:val="003D705E"/>
    <w:rsid w:val="003D77D9"/>
    <w:rsid w:val="003D7DD3"/>
    <w:rsid w:val="003E056E"/>
    <w:rsid w:val="003E05C9"/>
    <w:rsid w:val="003E09CA"/>
    <w:rsid w:val="003E19E7"/>
    <w:rsid w:val="003E1BBE"/>
    <w:rsid w:val="003E1C3A"/>
    <w:rsid w:val="003E2A9D"/>
    <w:rsid w:val="003E319F"/>
    <w:rsid w:val="003E3747"/>
    <w:rsid w:val="003E392A"/>
    <w:rsid w:val="003E412A"/>
    <w:rsid w:val="003E4CEE"/>
    <w:rsid w:val="003E5295"/>
    <w:rsid w:val="003E5F42"/>
    <w:rsid w:val="003E7F2E"/>
    <w:rsid w:val="003F0152"/>
    <w:rsid w:val="003F0638"/>
    <w:rsid w:val="003F16DC"/>
    <w:rsid w:val="003F1897"/>
    <w:rsid w:val="003F30F1"/>
    <w:rsid w:val="003F3320"/>
    <w:rsid w:val="003F3388"/>
    <w:rsid w:val="003F417E"/>
    <w:rsid w:val="003F4237"/>
    <w:rsid w:val="003F44C0"/>
    <w:rsid w:val="003F4B24"/>
    <w:rsid w:val="003F4DFD"/>
    <w:rsid w:val="003F50B4"/>
    <w:rsid w:val="003F5DE0"/>
    <w:rsid w:val="003F60A8"/>
    <w:rsid w:val="003F64E8"/>
    <w:rsid w:val="003F65F2"/>
    <w:rsid w:val="003F6950"/>
    <w:rsid w:val="003F7202"/>
    <w:rsid w:val="003F7491"/>
    <w:rsid w:val="00400988"/>
    <w:rsid w:val="00401357"/>
    <w:rsid w:val="00402284"/>
    <w:rsid w:val="0040296A"/>
    <w:rsid w:val="0040319F"/>
    <w:rsid w:val="00403253"/>
    <w:rsid w:val="004036D9"/>
    <w:rsid w:val="00403FE8"/>
    <w:rsid w:val="0040407E"/>
    <w:rsid w:val="004040C2"/>
    <w:rsid w:val="00404414"/>
    <w:rsid w:val="00404F34"/>
    <w:rsid w:val="004052E4"/>
    <w:rsid w:val="00405E37"/>
    <w:rsid w:val="00405F14"/>
    <w:rsid w:val="00406F58"/>
    <w:rsid w:val="004070AE"/>
    <w:rsid w:val="004078DA"/>
    <w:rsid w:val="00407F25"/>
    <w:rsid w:val="0041006E"/>
    <w:rsid w:val="00410138"/>
    <w:rsid w:val="004109A5"/>
    <w:rsid w:val="00411268"/>
    <w:rsid w:val="004123FE"/>
    <w:rsid w:val="004125BF"/>
    <w:rsid w:val="00412E2C"/>
    <w:rsid w:val="004130D3"/>
    <w:rsid w:val="00413C36"/>
    <w:rsid w:val="00413C3F"/>
    <w:rsid w:val="00413CC7"/>
    <w:rsid w:val="0041519C"/>
    <w:rsid w:val="00415AFF"/>
    <w:rsid w:val="0041648B"/>
    <w:rsid w:val="00416D53"/>
    <w:rsid w:val="00416FA2"/>
    <w:rsid w:val="00417001"/>
    <w:rsid w:val="0041783F"/>
    <w:rsid w:val="004178B8"/>
    <w:rsid w:val="00417FC5"/>
    <w:rsid w:val="00420606"/>
    <w:rsid w:val="00421FBC"/>
    <w:rsid w:val="004228A3"/>
    <w:rsid w:val="004229EB"/>
    <w:rsid w:val="00422CFD"/>
    <w:rsid w:val="004232FC"/>
    <w:rsid w:val="00423337"/>
    <w:rsid w:val="00423495"/>
    <w:rsid w:val="00423F0A"/>
    <w:rsid w:val="00424471"/>
    <w:rsid w:val="00424E25"/>
    <w:rsid w:val="00424E94"/>
    <w:rsid w:val="00425056"/>
    <w:rsid w:val="00425968"/>
    <w:rsid w:val="00425BB9"/>
    <w:rsid w:val="0042647D"/>
    <w:rsid w:val="004270C5"/>
    <w:rsid w:val="0043056A"/>
    <w:rsid w:val="00430672"/>
    <w:rsid w:val="00430810"/>
    <w:rsid w:val="004318CD"/>
    <w:rsid w:val="004322AA"/>
    <w:rsid w:val="004325EA"/>
    <w:rsid w:val="00432625"/>
    <w:rsid w:val="0043277F"/>
    <w:rsid w:val="00432D18"/>
    <w:rsid w:val="0043329B"/>
    <w:rsid w:val="00433E2E"/>
    <w:rsid w:val="00434961"/>
    <w:rsid w:val="00435261"/>
    <w:rsid w:val="004353E9"/>
    <w:rsid w:val="00435765"/>
    <w:rsid w:val="00436352"/>
    <w:rsid w:val="004364DE"/>
    <w:rsid w:val="00436A51"/>
    <w:rsid w:val="00436E06"/>
    <w:rsid w:val="00437738"/>
    <w:rsid w:val="00437741"/>
    <w:rsid w:val="004400D3"/>
    <w:rsid w:val="004405B6"/>
    <w:rsid w:val="0044083A"/>
    <w:rsid w:val="0044084D"/>
    <w:rsid w:val="00440FB9"/>
    <w:rsid w:val="00441058"/>
    <w:rsid w:val="00442113"/>
    <w:rsid w:val="0044218B"/>
    <w:rsid w:val="00442469"/>
    <w:rsid w:val="00442952"/>
    <w:rsid w:val="00442B96"/>
    <w:rsid w:val="00443F06"/>
    <w:rsid w:val="00443F27"/>
    <w:rsid w:val="00444745"/>
    <w:rsid w:val="004448F1"/>
    <w:rsid w:val="00444984"/>
    <w:rsid w:val="00444EA4"/>
    <w:rsid w:val="004450FB"/>
    <w:rsid w:val="004452E5"/>
    <w:rsid w:val="00445B14"/>
    <w:rsid w:val="004462BD"/>
    <w:rsid w:val="004468F2"/>
    <w:rsid w:val="0044697D"/>
    <w:rsid w:val="00446B57"/>
    <w:rsid w:val="00446D8A"/>
    <w:rsid w:val="0044704B"/>
    <w:rsid w:val="00447363"/>
    <w:rsid w:val="00447B12"/>
    <w:rsid w:val="0045025B"/>
    <w:rsid w:val="00450706"/>
    <w:rsid w:val="00450C4D"/>
    <w:rsid w:val="004512B8"/>
    <w:rsid w:val="0045201B"/>
    <w:rsid w:val="00452D26"/>
    <w:rsid w:val="00452E5B"/>
    <w:rsid w:val="004532AC"/>
    <w:rsid w:val="00453416"/>
    <w:rsid w:val="00453885"/>
    <w:rsid w:val="00453EA6"/>
    <w:rsid w:val="00454152"/>
    <w:rsid w:val="00454426"/>
    <w:rsid w:val="004549A9"/>
    <w:rsid w:val="004553BC"/>
    <w:rsid w:val="00455ABB"/>
    <w:rsid w:val="00455C9D"/>
    <w:rsid w:val="0045674C"/>
    <w:rsid w:val="00456B66"/>
    <w:rsid w:val="004573A8"/>
    <w:rsid w:val="00457AD3"/>
    <w:rsid w:val="00457BE1"/>
    <w:rsid w:val="004608FE"/>
    <w:rsid w:val="004620DB"/>
    <w:rsid w:val="004628FD"/>
    <w:rsid w:val="00462A09"/>
    <w:rsid w:val="00462C38"/>
    <w:rsid w:val="00462C8D"/>
    <w:rsid w:val="0046424B"/>
    <w:rsid w:val="00465292"/>
    <w:rsid w:val="0046537C"/>
    <w:rsid w:val="00466323"/>
    <w:rsid w:val="00466E08"/>
    <w:rsid w:val="0046748E"/>
    <w:rsid w:val="00467C66"/>
    <w:rsid w:val="00467EF1"/>
    <w:rsid w:val="00470BD0"/>
    <w:rsid w:val="00471BC3"/>
    <w:rsid w:val="00471F07"/>
    <w:rsid w:val="00471F38"/>
    <w:rsid w:val="004725AB"/>
    <w:rsid w:val="004730B0"/>
    <w:rsid w:val="00473126"/>
    <w:rsid w:val="00473618"/>
    <w:rsid w:val="004736BC"/>
    <w:rsid w:val="0047391A"/>
    <w:rsid w:val="004745E8"/>
    <w:rsid w:val="00475A51"/>
    <w:rsid w:val="0047615B"/>
    <w:rsid w:val="004762E8"/>
    <w:rsid w:val="00476880"/>
    <w:rsid w:val="004777EB"/>
    <w:rsid w:val="00477F1C"/>
    <w:rsid w:val="0048001D"/>
    <w:rsid w:val="004800EE"/>
    <w:rsid w:val="00480CED"/>
    <w:rsid w:val="004810A2"/>
    <w:rsid w:val="0048114B"/>
    <w:rsid w:val="004811FF"/>
    <w:rsid w:val="00481529"/>
    <w:rsid w:val="00481B65"/>
    <w:rsid w:val="004821AA"/>
    <w:rsid w:val="004827C2"/>
    <w:rsid w:val="00482BE4"/>
    <w:rsid w:val="00482F26"/>
    <w:rsid w:val="0048323F"/>
    <w:rsid w:val="00483520"/>
    <w:rsid w:val="004835A8"/>
    <w:rsid w:val="00483CF4"/>
    <w:rsid w:val="00484254"/>
    <w:rsid w:val="004845A4"/>
    <w:rsid w:val="004856E3"/>
    <w:rsid w:val="00485790"/>
    <w:rsid w:val="004858F9"/>
    <w:rsid w:val="00486192"/>
    <w:rsid w:val="00487918"/>
    <w:rsid w:val="00487E74"/>
    <w:rsid w:val="0049115C"/>
    <w:rsid w:val="004920A8"/>
    <w:rsid w:val="00492227"/>
    <w:rsid w:val="004929B2"/>
    <w:rsid w:val="00493938"/>
    <w:rsid w:val="00496398"/>
    <w:rsid w:val="004967BD"/>
    <w:rsid w:val="0049730F"/>
    <w:rsid w:val="00497BA6"/>
    <w:rsid w:val="004A0F81"/>
    <w:rsid w:val="004A1151"/>
    <w:rsid w:val="004A14FF"/>
    <w:rsid w:val="004A15BD"/>
    <w:rsid w:val="004A1DA5"/>
    <w:rsid w:val="004A205C"/>
    <w:rsid w:val="004A2C7D"/>
    <w:rsid w:val="004A2F11"/>
    <w:rsid w:val="004A3335"/>
    <w:rsid w:val="004A3456"/>
    <w:rsid w:val="004A4090"/>
    <w:rsid w:val="004A4744"/>
    <w:rsid w:val="004A4C86"/>
    <w:rsid w:val="004A4FDB"/>
    <w:rsid w:val="004A4FFA"/>
    <w:rsid w:val="004A568C"/>
    <w:rsid w:val="004A598C"/>
    <w:rsid w:val="004A607A"/>
    <w:rsid w:val="004A6157"/>
    <w:rsid w:val="004B0F71"/>
    <w:rsid w:val="004B1799"/>
    <w:rsid w:val="004B1F4D"/>
    <w:rsid w:val="004B1FD8"/>
    <w:rsid w:val="004B2979"/>
    <w:rsid w:val="004B2DE2"/>
    <w:rsid w:val="004B3503"/>
    <w:rsid w:val="004B3667"/>
    <w:rsid w:val="004B3A40"/>
    <w:rsid w:val="004B41E0"/>
    <w:rsid w:val="004B4AD8"/>
    <w:rsid w:val="004B4C43"/>
    <w:rsid w:val="004B51E1"/>
    <w:rsid w:val="004B5CF8"/>
    <w:rsid w:val="004B5E43"/>
    <w:rsid w:val="004B6584"/>
    <w:rsid w:val="004B6619"/>
    <w:rsid w:val="004B663E"/>
    <w:rsid w:val="004B718F"/>
    <w:rsid w:val="004C0261"/>
    <w:rsid w:val="004C0297"/>
    <w:rsid w:val="004C09EE"/>
    <w:rsid w:val="004C0A0F"/>
    <w:rsid w:val="004C0C14"/>
    <w:rsid w:val="004C186F"/>
    <w:rsid w:val="004C4262"/>
    <w:rsid w:val="004C43CD"/>
    <w:rsid w:val="004C468D"/>
    <w:rsid w:val="004C474B"/>
    <w:rsid w:val="004C4C17"/>
    <w:rsid w:val="004C5961"/>
    <w:rsid w:val="004C6217"/>
    <w:rsid w:val="004C69C1"/>
    <w:rsid w:val="004C6CFD"/>
    <w:rsid w:val="004C7BE8"/>
    <w:rsid w:val="004D0142"/>
    <w:rsid w:val="004D102D"/>
    <w:rsid w:val="004D2ECA"/>
    <w:rsid w:val="004D3592"/>
    <w:rsid w:val="004D3639"/>
    <w:rsid w:val="004D3E49"/>
    <w:rsid w:val="004D4325"/>
    <w:rsid w:val="004D4CB1"/>
    <w:rsid w:val="004D4D4E"/>
    <w:rsid w:val="004D6B8B"/>
    <w:rsid w:val="004D6CE1"/>
    <w:rsid w:val="004D716A"/>
    <w:rsid w:val="004D7B96"/>
    <w:rsid w:val="004E17DD"/>
    <w:rsid w:val="004E254F"/>
    <w:rsid w:val="004E272C"/>
    <w:rsid w:val="004E382D"/>
    <w:rsid w:val="004E3BE5"/>
    <w:rsid w:val="004E40BC"/>
    <w:rsid w:val="004E42A3"/>
    <w:rsid w:val="004E4B81"/>
    <w:rsid w:val="004E4CE9"/>
    <w:rsid w:val="004E4FE4"/>
    <w:rsid w:val="004E51B4"/>
    <w:rsid w:val="004E51DE"/>
    <w:rsid w:val="004E522A"/>
    <w:rsid w:val="004E525D"/>
    <w:rsid w:val="004E6861"/>
    <w:rsid w:val="004E752D"/>
    <w:rsid w:val="004E7862"/>
    <w:rsid w:val="004E7A19"/>
    <w:rsid w:val="004E7D4F"/>
    <w:rsid w:val="004F01AA"/>
    <w:rsid w:val="004F0343"/>
    <w:rsid w:val="004F0AE3"/>
    <w:rsid w:val="004F0B7C"/>
    <w:rsid w:val="004F11EB"/>
    <w:rsid w:val="004F1D25"/>
    <w:rsid w:val="004F239A"/>
    <w:rsid w:val="004F31B1"/>
    <w:rsid w:val="004F3D90"/>
    <w:rsid w:val="004F3FFF"/>
    <w:rsid w:val="004F4734"/>
    <w:rsid w:val="004F4791"/>
    <w:rsid w:val="004F48DB"/>
    <w:rsid w:val="004F49A9"/>
    <w:rsid w:val="004F4F76"/>
    <w:rsid w:val="004F5103"/>
    <w:rsid w:val="004F52DE"/>
    <w:rsid w:val="004F5602"/>
    <w:rsid w:val="004F5998"/>
    <w:rsid w:val="004F77BA"/>
    <w:rsid w:val="004F7BF2"/>
    <w:rsid w:val="004F7E44"/>
    <w:rsid w:val="004F7F77"/>
    <w:rsid w:val="00500BD8"/>
    <w:rsid w:val="00500C8B"/>
    <w:rsid w:val="005015F0"/>
    <w:rsid w:val="00501E99"/>
    <w:rsid w:val="0050210E"/>
    <w:rsid w:val="00502592"/>
    <w:rsid w:val="005025EC"/>
    <w:rsid w:val="00502F29"/>
    <w:rsid w:val="005036A9"/>
    <w:rsid w:val="00503852"/>
    <w:rsid w:val="00504DFF"/>
    <w:rsid w:val="00505084"/>
    <w:rsid w:val="00505273"/>
    <w:rsid w:val="00506379"/>
    <w:rsid w:val="005068E0"/>
    <w:rsid w:val="005069A3"/>
    <w:rsid w:val="00506B68"/>
    <w:rsid w:val="00506F04"/>
    <w:rsid w:val="00507001"/>
    <w:rsid w:val="0050786C"/>
    <w:rsid w:val="00507944"/>
    <w:rsid w:val="00507E63"/>
    <w:rsid w:val="00507F84"/>
    <w:rsid w:val="00510164"/>
    <w:rsid w:val="00510EED"/>
    <w:rsid w:val="00511223"/>
    <w:rsid w:val="00511885"/>
    <w:rsid w:val="00511C77"/>
    <w:rsid w:val="00512227"/>
    <w:rsid w:val="005129F2"/>
    <w:rsid w:val="005133AD"/>
    <w:rsid w:val="0051379C"/>
    <w:rsid w:val="00513B8E"/>
    <w:rsid w:val="00513FF6"/>
    <w:rsid w:val="00514410"/>
    <w:rsid w:val="00514B1C"/>
    <w:rsid w:val="0051558A"/>
    <w:rsid w:val="0051665B"/>
    <w:rsid w:val="005173B6"/>
    <w:rsid w:val="00517A6C"/>
    <w:rsid w:val="00520256"/>
    <w:rsid w:val="00521271"/>
    <w:rsid w:val="00521346"/>
    <w:rsid w:val="00521DC1"/>
    <w:rsid w:val="00521E23"/>
    <w:rsid w:val="005225C5"/>
    <w:rsid w:val="00522DAA"/>
    <w:rsid w:val="0052420D"/>
    <w:rsid w:val="005243AF"/>
    <w:rsid w:val="005247D6"/>
    <w:rsid w:val="0052538F"/>
    <w:rsid w:val="005254BC"/>
    <w:rsid w:val="005255F6"/>
    <w:rsid w:val="00526487"/>
    <w:rsid w:val="00526CB9"/>
    <w:rsid w:val="00527030"/>
    <w:rsid w:val="0052778C"/>
    <w:rsid w:val="005279BC"/>
    <w:rsid w:val="00530FD9"/>
    <w:rsid w:val="0053154C"/>
    <w:rsid w:val="005319E7"/>
    <w:rsid w:val="00532445"/>
    <w:rsid w:val="00533292"/>
    <w:rsid w:val="00533989"/>
    <w:rsid w:val="00533ECB"/>
    <w:rsid w:val="00534BD9"/>
    <w:rsid w:val="00534DB8"/>
    <w:rsid w:val="005352CB"/>
    <w:rsid w:val="0053544D"/>
    <w:rsid w:val="00535474"/>
    <w:rsid w:val="005356BF"/>
    <w:rsid w:val="00535B0D"/>
    <w:rsid w:val="00535F96"/>
    <w:rsid w:val="00536968"/>
    <w:rsid w:val="00536E94"/>
    <w:rsid w:val="00536EC0"/>
    <w:rsid w:val="00537112"/>
    <w:rsid w:val="00537437"/>
    <w:rsid w:val="005374F7"/>
    <w:rsid w:val="0053779F"/>
    <w:rsid w:val="005377C6"/>
    <w:rsid w:val="00537820"/>
    <w:rsid w:val="005379A7"/>
    <w:rsid w:val="00540211"/>
    <w:rsid w:val="005404B1"/>
    <w:rsid w:val="00540DEC"/>
    <w:rsid w:val="0054133F"/>
    <w:rsid w:val="0054188E"/>
    <w:rsid w:val="00541A7B"/>
    <w:rsid w:val="00541AF9"/>
    <w:rsid w:val="00541ECF"/>
    <w:rsid w:val="00542303"/>
    <w:rsid w:val="0054254F"/>
    <w:rsid w:val="005426BC"/>
    <w:rsid w:val="00542AFE"/>
    <w:rsid w:val="005434D5"/>
    <w:rsid w:val="0054416D"/>
    <w:rsid w:val="005441A5"/>
    <w:rsid w:val="005443BD"/>
    <w:rsid w:val="005447B7"/>
    <w:rsid w:val="0054501D"/>
    <w:rsid w:val="005452AA"/>
    <w:rsid w:val="00545F1D"/>
    <w:rsid w:val="00546BAF"/>
    <w:rsid w:val="00546C1F"/>
    <w:rsid w:val="00546D99"/>
    <w:rsid w:val="00547B24"/>
    <w:rsid w:val="00547BD3"/>
    <w:rsid w:val="005507C2"/>
    <w:rsid w:val="00550866"/>
    <w:rsid w:val="005515F9"/>
    <w:rsid w:val="005516DB"/>
    <w:rsid w:val="00551C67"/>
    <w:rsid w:val="00551E48"/>
    <w:rsid w:val="00551ED2"/>
    <w:rsid w:val="00551EDB"/>
    <w:rsid w:val="00552254"/>
    <w:rsid w:val="00552B37"/>
    <w:rsid w:val="00552C8E"/>
    <w:rsid w:val="00552DDE"/>
    <w:rsid w:val="00552FED"/>
    <w:rsid w:val="005536F4"/>
    <w:rsid w:val="00554819"/>
    <w:rsid w:val="00554E66"/>
    <w:rsid w:val="00555ACE"/>
    <w:rsid w:val="005560D2"/>
    <w:rsid w:val="0055634D"/>
    <w:rsid w:val="00557E36"/>
    <w:rsid w:val="0056062D"/>
    <w:rsid w:val="00560D01"/>
    <w:rsid w:val="00560FB7"/>
    <w:rsid w:val="005610C1"/>
    <w:rsid w:val="0056115B"/>
    <w:rsid w:val="005611A1"/>
    <w:rsid w:val="00561D21"/>
    <w:rsid w:val="00564330"/>
    <w:rsid w:val="00564449"/>
    <w:rsid w:val="00564FD8"/>
    <w:rsid w:val="005663E7"/>
    <w:rsid w:val="005668F1"/>
    <w:rsid w:val="00566CAC"/>
    <w:rsid w:val="00567443"/>
    <w:rsid w:val="00567D12"/>
    <w:rsid w:val="00567F00"/>
    <w:rsid w:val="00570383"/>
    <w:rsid w:val="00570A10"/>
    <w:rsid w:val="00570AFC"/>
    <w:rsid w:val="00570C19"/>
    <w:rsid w:val="00572013"/>
    <w:rsid w:val="0057201F"/>
    <w:rsid w:val="00572677"/>
    <w:rsid w:val="00572940"/>
    <w:rsid w:val="00572EFB"/>
    <w:rsid w:val="00573154"/>
    <w:rsid w:val="00573C9E"/>
    <w:rsid w:val="00573D46"/>
    <w:rsid w:val="005745DB"/>
    <w:rsid w:val="005749BA"/>
    <w:rsid w:val="00574BB7"/>
    <w:rsid w:val="0057532B"/>
    <w:rsid w:val="00575CFB"/>
    <w:rsid w:val="0057650D"/>
    <w:rsid w:val="0057669F"/>
    <w:rsid w:val="00576861"/>
    <w:rsid w:val="00576CA3"/>
    <w:rsid w:val="00576DC9"/>
    <w:rsid w:val="00576FAC"/>
    <w:rsid w:val="00577436"/>
    <w:rsid w:val="0057798C"/>
    <w:rsid w:val="005813CF"/>
    <w:rsid w:val="00581926"/>
    <w:rsid w:val="005837A4"/>
    <w:rsid w:val="00584194"/>
    <w:rsid w:val="00584940"/>
    <w:rsid w:val="005849DA"/>
    <w:rsid w:val="00584CE8"/>
    <w:rsid w:val="00585CBF"/>
    <w:rsid w:val="00585DC7"/>
    <w:rsid w:val="00586941"/>
    <w:rsid w:val="00586DCA"/>
    <w:rsid w:val="005872C0"/>
    <w:rsid w:val="005907AA"/>
    <w:rsid w:val="005907DB"/>
    <w:rsid w:val="005910BC"/>
    <w:rsid w:val="00591392"/>
    <w:rsid w:val="00591B8D"/>
    <w:rsid w:val="005920FF"/>
    <w:rsid w:val="00592636"/>
    <w:rsid w:val="005935E7"/>
    <w:rsid w:val="00593A06"/>
    <w:rsid w:val="005945E8"/>
    <w:rsid w:val="00594668"/>
    <w:rsid w:val="00594C2A"/>
    <w:rsid w:val="005951B8"/>
    <w:rsid w:val="005951B9"/>
    <w:rsid w:val="00595537"/>
    <w:rsid w:val="00595903"/>
    <w:rsid w:val="0059653D"/>
    <w:rsid w:val="005969A8"/>
    <w:rsid w:val="00596A6A"/>
    <w:rsid w:val="00597122"/>
    <w:rsid w:val="00597EEB"/>
    <w:rsid w:val="005A0231"/>
    <w:rsid w:val="005A047D"/>
    <w:rsid w:val="005A0543"/>
    <w:rsid w:val="005A094D"/>
    <w:rsid w:val="005A1B39"/>
    <w:rsid w:val="005A1E2A"/>
    <w:rsid w:val="005A2385"/>
    <w:rsid w:val="005A25D3"/>
    <w:rsid w:val="005A3531"/>
    <w:rsid w:val="005A35B1"/>
    <w:rsid w:val="005A37A2"/>
    <w:rsid w:val="005A431A"/>
    <w:rsid w:val="005A5AC0"/>
    <w:rsid w:val="005A5FEB"/>
    <w:rsid w:val="005A6072"/>
    <w:rsid w:val="005A6787"/>
    <w:rsid w:val="005A6DC5"/>
    <w:rsid w:val="005A7258"/>
    <w:rsid w:val="005A7641"/>
    <w:rsid w:val="005A7C9F"/>
    <w:rsid w:val="005A7E25"/>
    <w:rsid w:val="005B066C"/>
    <w:rsid w:val="005B076C"/>
    <w:rsid w:val="005B12B7"/>
    <w:rsid w:val="005B1A3D"/>
    <w:rsid w:val="005B1C72"/>
    <w:rsid w:val="005B1F64"/>
    <w:rsid w:val="005B237D"/>
    <w:rsid w:val="005B31BA"/>
    <w:rsid w:val="005B4962"/>
    <w:rsid w:val="005B4AAA"/>
    <w:rsid w:val="005B4C6B"/>
    <w:rsid w:val="005B4CA9"/>
    <w:rsid w:val="005B514F"/>
    <w:rsid w:val="005B5579"/>
    <w:rsid w:val="005B5EF9"/>
    <w:rsid w:val="005B5F03"/>
    <w:rsid w:val="005B66FE"/>
    <w:rsid w:val="005B6C23"/>
    <w:rsid w:val="005B6EAB"/>
    <w:rsid w:val="005B7660"/>
    <w:rsid w:val="005C0329"/>
    <w:rsid w:val="005C0542"/>
    <w:rsid w:val="005C1584"/>
    <w:rsid w:val="005C15FF"/>
    <w:rsid w:val="005C17AB"/>
    <w:rsid w:val="005C181A"/>
    <w:rsid w:val="005C1A30"/>
    <w:rsid w:val="005C1B6C"/>
    <w:rsid w:val="005C1DD0"/>
    <w:rsid w:val="005C2086"/>
    <w:rsid w:val="005C2C17"/>
    <w:rsid w:val="005C342D"/>
    <w:rsid w:val="005C3769"/>
    <w:rsid w:val="005C3EED"/>
    <w:rsid w:val="005C4376"/>
    <w:rsid w:val="005C47C6"/>
    <w:rsid w:val="005C5206"/>
    <w:rsid w:val="005C6C89"/>
    <w:rsid w:val="005C71D8"/>
    <w:rsid w:val="005C72EC"/>
    <w:rsid w:val="005C78F6"/>
    <w:rsid w:val="005C79FF"/>
    <w:rsid w:val="005C7D09"/>
    <w:rsid w:val="005D0043"/>
    <w:rsid w:val="005D0A44"/>
    <w:rsid w:val="005D10AB"/>
    <w:rsid w:val="005D166F"/>
    <w:rsid w:val="005D1CB4"/>
    <w:rsid w:val="005D23D2"/>
    <w:rsid w:val="005D2AF0"/>
    <w:rsid w:val="005D3153"/>
    <w:rsid w:val="005D34D7"/>
    <w:rsid w:val="005D38B8"/>
    <w:rsid w:val="005D49E2"/>
    <w:rsid w:val="005D58A8"/>
    <w:rsid w:val="005D595D"/>
    <w:rsid w:val="005D60CD"/>
    <w:rsid w:val="005D634C"/>
    <w:rsid w:val="005D68D4"/>
    <w:rsid w:val="005D73C2"/>
    <w:rsid w:val="005E00EC"/>
    <w:rsid w:val="005E0233"/>
    <w:rsid w:val="005E0CAF"/>
    <w:rsid w:val="005E0D96"/>
    <w:rsid w:val="005E10C3"/>
    <w:rsid w:val="005E12D1"/>
    <w:rsid w:val="005E1BEB"/>
    <w:rsid w:val="005E31E4"/>
    <w:rsid w:val="005E388C"/>
    <w:rsid w:val="005E4401"/>
    <w:rsid w:val="005E55AB"/>
    <w:rsid w:val="005E5C80"/>
    <w:rsid w:val="005E70FA"/>
    <w:rsid w:val="005E7267"/>
    <w:rsid w:val="005E76A2"/>
    <w:rsid w:val="005E7EC9"/>
    <w:rsid w:val="005F022B"/>
    <w:rsid w:val="005F086C"/>
    <w:rsid w:val="005F088A"/>
    <w:rsid w:val="005F0ED8"/>
    <w:rsid w:val="005F1928"/>
    <w:rsid w:val="005F223A"/>
    <w:rsid w:val="005F25F3"/>
    <w:rsid w:val="005F29F9"/>
    <w:rsid w:val="005F3217"/>
    <w:rsid w:val="005F3668"/>
    <w:rsid w:val="005F41BF"/>
    <w:rsid w:val="005F41DD"/>
    <w:rsid w:val="005F4481"/>
    <w:rsid w:val="005F460E"/>
    <w:rsid w:val="005F4D32"/>
    <w:rsid w:val="005F4D6A"/>
    <w:rsid w:val="005F4F52"/>
    <w:rsid w:val="005F554F"/>
    <w:rsid w:val="005F5D35"/>
    <w:rsid w:val="005F6217"/>
    <w:rsid w:val="005F7198"/>
    <w:rsid w:val="0060099E"/>
    <w:rsid w:val="00601737"/>
    <w:rsid w:val="006018AC"/>
    <w:rsid w:val="006028E7"/>
    <w:rsid w:val="00602A8A"/>
    <w:rsid w:val="00603282"/>
    <w:rsid w:val="00603686"/>
    <w:rsid w:val="00603CFB"/>
    <w:rsid w:val="00603D70"/>
    <w:rsid w:val="00604875"/>
    <w:rsid w:val="0060552A"/>
    <w:rsid w:val="00605BAC"/>
    <w:rsid w:val="00605BF4"/>
    <w:rsid w:val="00606AA7"/>
    <w:rsid w:val="0060780B"/>
    <w:rsid w:val="006101AD"/>
    <w:rsid w:val="006101E7"/>
    <w:rsid w:val="0061052B"/>
    <w:rsid w:val="0061252C"/>
    <w:rsid w:val="006133D0"/>
    <w:rsid w:val="00613904"/>
    <w:rsid w:val="00613B19"/>
    <w:rsid w:val="00613C81"/>
    <w:rsid w:val="006141B9"/>
    <w:rsid w:val="006143E6"/>
    <w:rsid w:val="00614F92"/>
    <w:rsid w:val="00615008"/>
    <w:rsid w:val="006155DB"/>
    <w:rsid w:val="00615601"/>
    <w:rsid w:val="00615F50"/>
    <w:rsid w:val="006160AE"/>
    <w:rsid w:val="006161D2"/>
    <w:rsid w:val="00616624"/>
    <w:rsid w:val="00616655"/>
    <w:rsid w:val="006169FB"/>
    <w:rsid w:val="00616B01"/>
    <w:rsid w:val="00616E60"/>
    <w:rsid w:val="00617581"/>
    <w:rsid w:val="00617921"/>
    <w:rsid w:val="00617EF6"/>
    <w:rsid w:val="006209FD"/>
    <w:rsid w:val="00620B49"/>
    <w:rsid w:val="00621134"/>
    <w:rsid w:val="00621AE2"/>
    <w:rsid w:val="00621B5E"/>
    <w:rsid w:val="00621EDD"/>
    <w:rsid w:val="0062218B"/>
    <w:rsid w:val="00622B8B"/>
    <w:rsid w:val="00624910"/>
    <w:rsid w:val="006265E4"/>
    <w:rsid w:val="00626870"/>
    <w:rsid w:val="00627367"/>
    <w:rsid w:val="00627931"/>
    <w:rsid w:val="00630EEC"/>
    <w:rsid w:val="0063124C"/>
    <w:rsid w:val="00631390"/>
    <w:rsid w:val="00631D27"/>
    <w:rsid w:val="006326A9"/>
    <w:rsid w:val="0063306C"/>
    <w:rsid w:val="00633642"/>
    <w:rsid w:val="006336C2"/>
    <w:rsid w:val="006336FA"/>
    <w:rsid w:val="00634110"/>
    <w:rsid w:val="00634406"/>
    <w:rsid w:val="00634507"/>
    <w:rsid w:val="00635313"/>
    <w:rsid w:val="00635583"/>
    <w:rsid w:val="00635726"/>
    <w:rsid w:val="00635F94"/>
    <w:rsid w:val="00636161"/>
    <w:rsid w:val="00636674"/>
    <w:rsid w:val="00636796"/>
    <w:rsid w:val="006372D4"/>
    <w:rsid w:val="00637C8C"/>
    <w:rsid w:val="006403BC"/>
    <w:rsid w:val="006404A4"/>
    <w:rsid w:val="0064144A"/>
    <w:rsid w:val="00641743"/>
    <w:rsid w:val="00642182"/>
    <w:rsid w:val="00642832"/>
    <w:rsid w:val="00642A51"/>
    <w:rsid w:val="00643948"/>
    <w:rsid w:val="00643DE5"/>
    <w:rsid w:val="0064413C"/>
    <w:rsid w:val="0064439A"/>
    <w:rsid w:val="00645044"/>
    <w:rsid w:val="00645563"/>
    <w:rsid w:val="006456E3"/>
    <w:rsid w:val="00645954"/>
    <w:rsid w:val="00645A96"/>
    <w:rsid w:val="00645F2D"/>
    <w:rsid w:val="00646AD2"/>
    <w:rsid w:val="00647618"/>
    <w:rsid w:val="0064776E"/>
    <w:rsid w:val="00647C88"/>
    <w:rsid w:val="00647D2D"/>
    <w:rsid w:val="00650227"/>
    <w:rsid w:val="00650EEC"/>
    <w:rsid w:val="00651064"/>
    <w:rsid w:val="00651555"/>
    <w:rsid w:val="00652EE3"/>
    <w:rsid w:val="006535E9"/>
    <w:rsid w:val="00653F2B"/>
    <w:rsid w:val="006541AB"/>
    <w:rsid w:val="00654370"/>
    <w:rsid w:val="006551DE"/>
    <w:rsid w:val="006555B3"/>
    <w:rsid w:val="00655AB6"/>
    <w:rsid w:val="00655AC3"/>
    <w:rsid w:val="00655F67"/>
    <w:rsid w:val="0065611F"/>
    <w:rsid w:val="00656524"/>
    <w:rsid w:val="0065654A"/>
    <w:rsid w:val="006570EA"/>
    <w:rsid w:val="006600B5"/>
    <w:rsid w:val="006603EE"/>
    <w:rsid w:val="00660742"/>
    <w:rsid w:val="006607A8"/>
    <w:rsid w:val="00660DC0"/>
    <w:rsid w:val="00660E05"/>
    <w:rsid w:val="00660F19"/>
    <w:rsid w:val="00660F1D"/>
    <w:rsid w:val="0066121C"/>
    <w:rsid w:val="0066145D"/>
    <w:rsid w:val="00661718"/>
    <w:rsid w:val="00662B9F"/>
    <w:rsid w:val="0066368B"/>
    <w:rsid w:val="00663A32"/>
    <w:rsid w:val="00663F5C"/>
    <w:rsid w:val="00663FEA"/>
    <w:rsid w:val="00664318"/>
    <w:rsid w:val="00664E24"/>
    <w:rsid w:val="006656E4"/>
    <w:rsid w:val="00665CC6"/>
    <w:rsid w:val="00665F06"/>
    <w:rsid w:val="00666ED9"/>
    <w:rsid w:val="00667E33"/>
    <w:rsid w:val="00667EEA"/>
    <w:rsid w:val="0067002C"/>
    <w:rsid w:val="00670AB3"/>
    <w:rsid w:val="00670ECC"/>
    <w:rsid w:val="006726FB"/>
    <w:rsid w:val="006727E6"/>
    <w:rsid w:val="00672855"/>
    <w:rsid w:val="00672CC6"/>
    <w:rsid w:val="00673D55"/>
    <w:rsid w:val="00673FFF"/>
    <w:rsid w:val="006743D5"/>
    <w:rsid w:val="006743FD"/>
    <w:rsid w:val="00674719"/>
    <w:rsid w:val="00674AF2"/>
    <w:rsid w:val="00674E96"/>
    <w:rsid w:val="0067542E"/>
    <w:rsid w:val="00675B2A"/>
    <w:rsid w:val="00675DA3"/>
    <w:rsid w:val="00676074"/>
    <w:rsid w:val="00676EB7"/>
    <w:rsid w:val="00676FC5"/>
    <w:rsid w:val="00677507"/>
    <w:rsid w:val="00680E44"/>
    <w:rsid w:val="00680F8A"/>
    <w:rsid w:val="00680FB1"/>
    <w:rsid w:val="0068106B"/>
    <w:rsid w:val="00681DF5"/>
    <w:rsid w:val="0068202D"/>
    <w:rsid w:val="006820A3"/>
    <w:rsid w:val="006826BA"/>
    <w:rsid w:val="0068284C"/>
    <w:rsid w:val="00683069"/>
    <w:rsid w:val="00683E21"/>
    <w:rsid w:val="006845E6"/>
    <w:rsid w:val="00684BCE"/>
    <w:rsid w:val="006851AA"/>
    <w:rsid w:val="0068556A"/>
    <w:rsid w:val="00685D0B"/>
    <w:rsid w:val="0068686A"/>
    <w:rsid w:val="00686ACF"/>
    <w:rsid w:val="00686DC2"/>
    <w:rsid w:val="006870B7"/>
    <w:rsid w:val="006871F3"/>
    <w:rsid w:val="006876EE"/>
    <w:rsid w:val="00687BCC"/>
    <w:rsid w:val="00690225"/>
    <w:rsid w:val="00690E93"/>
    <w:rsid w:val="00691133"/>
    <w:rsid w:val="00691320"/>
    <w:rsid w:val="00692182"/>
    <w:rsid w:val="006922A2"/>
    <w:rsid w:val="00692AEC"/>
    <w:rsid w:val="00692CEF"/>
    <w:rsid w:val="0069318B"/>
    <w:rsid w:val="00693904"/>
    <w:rsid w:val="00694339"/>
    <w:rsid w:val="00695018"/>
    <w:rsid w:val="006950BA"/>
    <w:rsid w:val="006955DF"/>
    <w:rsid w:val="00695B98"/>
    <w:rsid w:val="00695E90"/>
    <w:rsid w:val="00696086"/>
    <w:rsid w:val="0069643B"/>
    <w:rsid w:val="006971A4"/>
    <w:rsid w:val="006971E0"/>
    <w:rsid w:val="00697296"/>
    <w:rsid w:val="006A0E1C"/>
    <w:rsid w:val="006A104B"/>
    <w:rsid w:val="006A1283"/>
    <w:rsid w:val="006A28D0"/>
    <w:rsid w:val="006A2968"/>
    <w:rsid w:val="006A2F3B"/>
    <w:rsid w:val="006A30D0"/>
    <w:rsid w:val="006A4A08"/>
    <w:rsid w:val="006A4A15"/>
    <w:rsid w:val="006A4AF6"/>
    <w:rsid w:val="006A4DE9"/>
    <w:rsid w:val="006A5018"/>
    <w:rsid w:val="006A5C4D"/>
    <w:rsid w:val="006A5EAC"/>
    <w:rsid w:val="006A610A"/>
    <w:rsid w:val="006A6408"/>
    <w:rsid w:val="006A6FBB"/>
    <w:rsid w:val="006A7871"/>
    <w:rsid w:val="006A79BB"/>
    <w:rsid w:val="006A7A43"/>
    <w:rsid w:val="006A7D08"/>
    <w:rsid w:val="006A7FCF"/>
    <w:rsid w:val="006B0897"/>
    <w:rsid w:val="006B0BDB"/>
    <w:rsid w:val="006B0D44"/>
    <w:rsid w:val="006B0E04"/>
    <w:rsid w:val="006B118C"/>
    <w:rsid w:val="006B141E"/>
    <w:rsid w:val="006B23D8"/>
    <w:rsid w:val="006B2902"/>
    <w:rsid w:val="006B2BA1"/>
    <w:rsid w:val="006B47E7"/>
    <w:rsid w:val="006B4C3D"/>
    <w:rsid w:val="006B5A26"/>
    <w:rsid w:val="006B5C2C"/>
    <w:rsid w:val="006B62C2"/>
    <w:rsid w:val="006B6A73"/>
    <w:rsid w:val="006B7294"/>
    <w:rsid w:val="006B73CA"/>
    <w:rsid w:val="006B74C8"/>
    <w:rsid w:val="006B7593"/>
    <w:rsid w:val="006C0FAB"/>
    <w:rsid w:val="006C0FC7"/>
    <w:rsid w:val="006C1352"/>
    <w:rsid w:val="006C1824"/>
    <w:rsid w:val="006C1EEA"/>
    <w:rsid w:val="006C230E"/>
    <w:rsid w:val="006C3940"/>
    <w:rsid w:val="006C3A54"/>
    <w:rsid w:val="006C3FC9"/>
    <w:rsid w:val="006C45AC"/>
    <w:rsid w:val="006C4600"/>
    <w:rsid w:val="006C46CF"/>
    <w:rsid w:val="006C4B10"/>
    <w:rsid w:val="006C4D26"/>
    <w:rsid w:val="006C5187"/>
    <w:rsid w:val="006C5C1C"/>
    <w:rsid w:val="006C5C7A"/>
    <w:rsid w:val="006C60A7"/>
    <w:rsid w:val="006C60F4"/>
    <w:rsid w:val="006C6930"/>
    <w:rsid w:val="006C7097"/>
    <w:rsid w:val="006C75F3"/>
    <w:rsid w:val="006C7A05"/>
    <w:rsid w:val="006C7E4C"/>
    <w:rsid w:val="006D0053"/>
    <w:rsid w:val="006D0538"/>
    <w:rsid w:val="006D073F"/>
    <w:rsid w:val="006D1683"/>
    <w:rsid w:val="006D25E5"/>
    <w:rsid w:val="006D289D"/>
    <w:rsid w:val="006D29C1"/>
    <w:rsid w:val="006D29C6"/>
    <w:rsid w:val="006D4886"/>
    <w:rsid w:val="006D514C"/>
    <w:rsid w:val="006D51E0"/>
    <w:rsid w:val="006D572D"/>
    <w:rsid w:val="006D60DC"/>
    <w:rsid w:val="006D683E"/>
    <w:rsid w:val="006D688A"/>
    <w:rsid w:val="006D75A1"/>
    <w:rsid w:val="006D7B0D"/>
    <w:rsid w:val="006E0255"/>
    <w:rsid w:val="006E0336"/>
    <w:rsid w:val="006E0697"/>
    <w:rsid w:val="006E0987"/>
    <w:rsid w:val="006E0B00"/>
    <w:rsid w:val="006E1E4C"/>
    <w:rsid w:val="006E2817"/>
    <w:rsid w:val="006E3C0A"/>
    <w:rsid w:val="006E3C37"/>
    <w:rsid w:val="006E4A44"/>
    <w:rsid w:val="006E5C26"/>
    <w:rsid w:val="006E6427"/>
    <w:rsid w:val="006E68FB"/>
    <w:rsid w:val="006E707E"/>
    <w:rsid w:val="006F0375"/>
    <w:rsid w:val="006F049B"/>
    <w:rsid w:val="006F06D5"/>
    <w:rsid w:val="006F0BAF"/>
    <w:rsid w:val="006F0BB8"/>
    <w:rsid w:val="006F11F9"/>
    <w:rsid w:val="006F1802"/>
    <w:rsid w:val="006F1C74"/>
    <w:rsid w:val="006F1E1C"/>
    <w:rsid w:val="006F2328"/>
    <w:rsid w:val="006F2D53"/>
    <w:rsid w:val="006F2D9F"/>
    <w:rsid w:val="006F3189"/>
    <w:rsid w:val="006F3D03"/>
    <w:rsid w:val="006F3DD9"/>
    <w:rsid w:val="006F4389"/>
    <w:rsid w:val="006F48B6"/>
    <w:rsid w:val="006F4E93"/>
    <w:rsid w:val="006F55CB"/>
    <w:rsid w:val="006F568A"/>
    <w:rsid w:val="006F5C0F"/>
    <w:rsid w:val="006F6A95"/>
    <w:rsid w:val="006F6AEE"/>
    <w:rsid w:val="006F7078"/>
    <w:rsid w:val="006F78E8"/>
    <w:rsid w:val="006F797E"/>
    <w:rsid w:val="007013B3"/>
    <w:rsid w:val="007017E1"/>
    <w:rsid w:val="00702246"/>
    <w:rsid w:val="007023E7"/>
    <w:rsid w:val="00702DC4"/>
    <w:rsid w:val="007032D9"/>
    <w:rsid w:val="00703D0D"/>
    <w:rsid w:val="00703E24"/>
    <w:rsid w:val="00704101"/>
    <w:rsid w:val="0070413C"/>
    <w:rsid w:val="00704C25"/>
    <w:rsid w:val="00704C8F"/>
    <w:rsid w:val="00704DB8"/>
    <w:rsid w:val="0070509E"/>
    <w:rsid w:val="007057F4"/>
    <w:rsid w:val="00705860"/>
    <w:rsid w:val="00705B9F"/>
    <w:rsid w:val="00705CB8"/>
    <w:rsid w:val="007060EC"/>
    <w:rsid w:val="00706334"/>
    <w:rsid w:val="007072EE"/>
    <w:rsid w:val="00707471"/>
    <w:rsid w:val="00707C41"/>
    <w:rsid w:val="007103D0"/>
    <w:rsid w:val="007105DC"/>
    <w:rsid w:val="007107AC"/>
    <w:rsid w:val="0071090B"/>
    <w:rsid w:val="00710BAD"/>
    <w:rsid w:val="0071123E"/>
    <w:rsid w:val="00711696"/>
    <w:rsid w:val="00711BC9"/>
    <w:rsid w:val="00712F44"/>
    <w:rsid w:val="0071418B"/>
    <w:rsid w:val="00714CBB"/>
    <w:rsid w:val="00714FD7"/>
    <w:rsid w:val="007151E9"/>
    <w:rsid w:val="007159DB"/>
    <w:rsid w:val="00715E74"/>
    <w:rsid w:val="0071629F"/>
    <w:rsid w:val="00716B2D"/>
    <w:rsid w:val="00716BA8"/>
    <w:rsid w:val="00716E51"/>
    <w:rsid w:val="00716F3A"/>
    <w:rsid w:val="00717297"/>
    <w:rsid w:val="007174BD"/>
    <w:rsid w:val="00720E1F"/>
    <w:rsid w:val="00721872"/>
    <w:rsid w:val="0072214C"/>
    <w:rsid w:val="00722ACD"/>
    <w:rsid w:val="00722ACE"/>
    <w:rsid w:val="00722D4D"/>
    <w:rsid w:val="00723628"/>
    <w:rsid w:val="00724002"/>
    <w:rsid w:val="00724408"/>
    <w:rsid w:val="007251C5"/>
    <w:rsid w:val="007265EE"/>
    <w:rsid w:val="007270FC"/>
    <w:rsid w:val="00727712"/>
    <w:rsid w:val="00727E3B"/>
    <w:rsid w:val="0073008C"/>
    <w:rsid w:val="0073018C"/>
    <w:rsid w:val="00730F3E"/>
    <w:rsid w:val="0073156A"/>
    <w:rsid w:val="00731E91"/>
    <w:rsid w:val="0073218C"/>
    <w:rsid w:val="00732546"/>
    <w:rsid w:val="00732943"/>
    <w:rsid w:val="00732EE5"/>
    <w:rsid w:val="00733144"/>
    <w:rsid w:val="0073320F"/>
    <w:rsid w:val="007334D1"/>
    <w:rsid w:val="007339D7"/>
    <w:rsid w:val="00733ACA"/>
    <w:rsid w:val="00733E7A"/>
    <w:rsid w:val="00734C81"/>
    <w:rsid w:val="00734E2B"/>
    <w:rsid w:val="00734FA5"/>
    <w:rsid w:val="007356AE"/>
    <w:rsid w:val="00735AB0"/>
    <w:rsid w:val="0073629A"/>
    <w:rsid w:val="00737B22"/>
    <w:rsid w:val="0074106F"/>
    <w:rsid w:val="00741914"/>
    <w:rsid w:val="0074222F"/>
    <w:rsid w:val="00742983"/>
    <w:rsid w:val="00742B4B"/>
    <w:rsid w:val="00743101"/>
    <w:rsid w:val="00743F0E"/>
    <w:rsid w:val="0074409E"/>
    <w:rsid w:val="00744739"/>
    <w:rsid w:val="007449C5"/>
    <w:rsid w:val="00744F51"/>
    <w:rsid w:val="00745211"/>
    <w:rsid w:val="007453DB"/>
    <w:rsid w:val="007455EE"/>
    <w:rsid w:val="00745BFE"/>
    <w:rsid w:val="00745CB2"/>
    <w:rsid w:val="00745D69"/>
    <w:rsid w:val="00746697"/>
    <w:rsid w:val="00746AA2"/>
    <w:rsid w:val="007477F6"/>
    <w:rsid w:val="0074786F"/>
    <w:rsid w:val="00747AC2"/>
    <w:rsid w:val="00750A15"/>
    <w:rsid w:val="00750B03"/>
    <w:rsid w:val="00751767"/>
    <w:rsid w:val="00751959"/>
    <w:rsid w:val="00751D39"/>
    <w:rsid w:val="00753941"/>
    <w:rsid w:val="00753DFD"/>
    <w:rsid w:val="00753E33"/>
    <w:rsid w:val="00753E5A"/>
    <w:rsid w:val="00753F1A"/>
    <w:rsid w:val="007542BE"/>
    <w:rsid w:val="00754B2D"/>
    <w:rsid w:val="00754DDA"/>
    <w:rsid w:val="007551A1"/>
    <w:rsid w:val="007563DD"/>
    <w:rsid w:val="0075693A"/>
    <w:rsid w:val="0075731E"/>
    <w:rsid w:val="0075779B"/>
    <w:rsid w:val="00757A5E"/>
    <w:rsid w:val="00760598"/>
    <w:rsid w:val="007608B8"/>
    <w:rsid w:val="00761079"/>
    <w:rsid w:val="00761B87"/>
    <w:rsid w:val="007626F4"/>
    <w:rsid w:val="00762D8E"/>
    <w:rsid w:val="00763015"/>
    <w:rsid w:val="0076396D"/>
    <w:rsid w:val="007641A9"/>
    <w:rsid w:val="007641C7"/>
    <w:rsid w:val="007647BB"/>
    <w:rsid w:val="00764C2D"/>
    <w:rsid w:val="00764E48"/>
    <w:rsid w:val="0076503E"/>
    <w:rsid w:val="00765B11"/>
    <w:rsid w:val="00766985"/>
    <w:rsid w:val="00766B33"/>
    <w:rsid w:val="00770222"/>
    <w:rsid w:val="0077022F"/>
    <w:rsid w:val="00770A7B"/>
    <w:rsid w:val="00770D9C"/>
    <w:rsid w:val="00771545"/>
    <w:rsid w:val="00771588"/>
    <w:rsid w:val="0077281B"/>
    <w:rsid w:val="007733C8"/>
    <w:rsid w:val="007738C6"/>
    <w:rsid w:val="0077395D"/>
    <w:rsid w:val="00774891"/>
    <w:rsid w:val="00774D59"/>
    <w:rsid w:val="00774E3C"/>
    <w:rsid w:val="00775061"/>
    <w:rsid w:val="007752EC"/>
    <w:rsid w:val="00775CFE"/>
    <w:rsid w:val="00775DDD"/>
    <w:rsid w:val="00776A62"/>
    <w:rsid w:val="00777113"/>
    <w:rsid w:val="0077742F"/>
    <w:rsid w:val="00777E3F"/>
    <w:rsid w:val="00780C04"/>
    <w:rsid w:val="007812DE"/>
    <w:rsid w:val="007814B1"/>
    <w:rsid w:val="007824E5"/>
    <w:rsid w:val="00782A05"/>
    <w:rsid w:val="00783108"/>
    <w:rsid w:val="0078337E"/>
    <w:rsid w:val="0078341E"/>
    <w:rsid w:val="0078479F"/>
    <w:rsid w:val="007850E4"/>
    <w:rsid w:val="007855D7"/>
    <w:rsid w:val="00785A3B"/>
    <w:rsid w:val="00785A63"/>
    <w:rsid w:val="00785D56"/>
    <w:rsid w:val="007864ED"/>
    <w:rsid w:val="00786765"/>
    <w:rsid w:val="007869CD"/>
    <w:rsid w:val="00786AD2"/>
    <w:rsid w:val="00786CE6"/>
    <w:rsid w:val="00786E1A"/>
    <w:rsid w:val="00786F6B"/>
    <w:rsid w:val="0078787D"/>
    <w:rsid w:val="00787E56"/>
    <w:rsid w:val="00787E66"/>
    <w:rsid w:val="007906E4"/>
    <w:rsid w:val="00790993"/>
    <w:rsid w:val="00790A9C"/>
    <w:rsid w:val="00790E57"/>
    <w:rsid w:val="007916E9"/>
    <w:rsid w:val="00791F71"/>
    <w:rsid w:val="007924E8"/>
    <w:rsid w:val="00792550"/>
    <w:rsid w:val="0079364C"/>
    <w:rsid w:val="0079395B"/>
    <w:rsid w:val="007955DF"/>
    <w:rsid w:val="00795F24"/>
    <w:rsid w:val="0079665C"/>
    <w:rsid w:val="00797500"/>
    <w:rsid w:val="00797947"/>
    <w:rsid w:val="00797CF8"/>
    <w:rsid w:val="007A01FC"/>
    <w:rsid w:val="007A08F5"/>
    <w:rsid w:val="007A13C5"/>
    <w:rsid w:val="007A1696"/>
    <w:rsid w:val="007A2E23"/>
    <w:rsid w:val="007A35F9"/>
    <w:rsid w:val="007A39BD"/>
    <w:rsid w:val="007A3BCC"/>
    <w:rsid w:val="007A3CF8"/>
    <w:rsid w:val="007A51E0"/>
    <w:rsid w:val="007A5741"/>
    <w:rsid w:val="007A6620"/>
    <w:rsid w:val="007A6AFC"/>
    <w:rsid w:val="007A6EB0"/>
    <w:rsid w:val="007A76B0"/>
    <w:rsid w:val="007B0050"/>
    <w:rsid w:val="007B09E4"/>
    <w:rsid w:val="007B0BC5"/>
    <w:rsid w:val="007B0C46"/>
    <w:rsid w:val="007B0D28"/>
    <w:rsid w:val="007B10D3"/>
    <w:rsid w:val="007B1281"/>
    <w:rsid w:val="007B1AFF"/>
    <w:rsid w:val="007B28EA"/>
    <w:rsid w:val="007B3D82"/>
    <w:rsid w:val="007B441A"/>
    <w:rsid w:val="007B4CDB"/>
    <w:rsid w:val="007B565A"/>
    <w:rsid w:val="007B56DD"/>
    <w:rsid w:val="007B577D"/>
    <w:rsid w:val="007B57B7"/>
    <w:rsid w:val="007B5E00"/>
    <w:rsid w:val="007B5E2E"/>
    <w:rsid w:val="007B6313"/>
    <w:rsid w:val="007B6609"/>
    <w:rsid w:val="007B780D"/>
    <w:rsid w:val="007C030A"/>
    <w:rsid w:val="007C0673"/>
    <w:rsid w:val="007C07D3"/>
    <w:rsid w:val="007C0A00"/>
    <w:rsid w:val="007C1179"/>
    <w:rsid w:val="007C11A3"/>
    <w:rsid w:val="007C1735"/>
    <w:rsid w:val="007C1E6B"/>
    <w:rsid w:val="007C2398"/>
    <w:rsid w:val="007C27DB"/>
    <w:rsid w:val="007C2A5B"/>
    <w:rsid w:val="007C2FAA"/>
    <w:rsid w:val="007C2FF8"/>
    <w:rsid w:val="007C4B16"/>
    <w:rsid w:val="007C4E2E"/>
    <w:rsid w:val="007C4FB3"/>
    <w:rsid w:val="007C5EB3"/>
    <w:rsid w:val="007C6202"/>
    <w:rsid w:val="007C6242"/>
    <w:rsid w:val="007C63FD"/>
    <w:rsid w:val="007C65D3"/>
    <w:rsid w:val="007C6776"/>
    <w:rsid w:val="007C688C"/>
    <w:rsid w:val="007C689E"/>
    <w:rsid w:val="007C76DE"/>
    <w:rsid w:val="007C76E1"/>
    <w:rsid w:val="007C79A2"/>
    <w:rsid w:val="007C7A22"/>
    <w:rsid w:val="007C7BE5"/>
    <w:rsid w:val="007D01C2"/>
    <w:rsid w:val="007D0739"/>
    <w:rsid w:val="007D0A1D"/>
    <w:rsid w:val="007D104C"/>
    <w:rsid w:val="007D17AD"/>
    <w:rsid w:val="007D2676"/>
    <w:rsid w:val="007D27A3"/>
    <w:rsid w:val="007D2AD6"/>
    <w:rsid w:val="007D3349"/>
    <w:rsid w:val="007D33EE"/>
    <w:rsid w:val="007D443E"/>
    <w:rsid w:val="007D49B7"/>
    <w:rsid w:val="007D628A"/>
    <w:rsid w:val="007D6B9E"/>
    <w:rsid w:val="007D77C3"/>
    <w:rsid w:val="007D7C03"/>
    <w:rsid w:val="007E0969"/>
    <w:rsid w:val="007E122B"/>
    <w:rsid w:val="007E225A"/>
    <w:rsid w:val="007E2283"/>
    <w:rsid w:val="007E24AD"/>
    <w:rsid w:val="007E2821"/>
    <w:rsid w:val="007E3520"/>
    <w:rsid w:val="007E3B0B"/>
    <w:rsid w:val="007E4841"/>
    <w:rsid w:val="007E487F"/>
    <w:rsid w:val="007E57C4"/>
    <w:rsid w:val="007E5D97"/>
    <w:rsid w:val="007E5E7B"/>
    <w:rsid w:val="007E5FA9"/>
    <w:rsid w:val="007E637C"/>
    <w:rsid w:val="007E7BB0"/>
    <w:rsid w:val="007F0D8B"/>
    <w:rsid w:val="007F1E2F"/>
    <w:rsid w:val="007F261F"/>
    <w:rsid w:val="007F2C6C"/>
    <w:rsid w:val="007F422D"/>
    <w:rsid w:val="007F4B19"/>
    <w:rsid w:val="007F4BD8"/>
    <w:rsid w:val="007F546F"/>
    <w:rsid w:val="007F66AC"/>
    <w:rsid w:val="007F6A79"/>
    <w:rsid w:val="00801379"/>
    <w:rsid w:val="0080154A"/>
    <w:rsid w:val="008016B9"/>
    <w:rsid w:val="00801B5A"/>
    <w:rsid w:val="00801D55"/>
    <w:rsid w:val="008027EE"/>
    <w:rsid w:val="00802AEC"/>
    <w:rsid w:val="00802CE7"/>
    <w:rsid w:val="00802F17"/>
    <w:rsid w:val="008031A4"/>
    <w:rsid w:val="008036C2"/>
    <w:rsid w:val="00803FC4"/>
    <w:rsid w:val="008049C3"/>
    <w:rsid w:val="00805677"/>
    <w:rsid w:val="00806EB1"/>
    <w:rsid w:val="00807712"/>
    <w:rsid w:val="00810AA5"/>
    <w:rsid w:val="00811F12"/>
    <w:rsid w:val="0081200E"/>
    <w:rsid w:val="00812283"/>
    <w:rsid w:val="00812863"/>
    <w:rsid w:val="0081299C"/>
    <w:rsid w:val="00812C5C"/>
    <w:rsid w:val="008143EE"/>
    <w:rsid w:val="008148B0"/>
    <w:rsid w:val="00814A38"/>
    <w:rsid w:val="00815971"/>
    <w:rsid w:val="00815A3C"/>
    <w:rsid w:val="00815AC8"/>
    <w:rsid w:val="00815C03"/>
    <w:rsid w:val="00815C2D"/>
    <w:rsid w:val="008160D1"/>
    <w:rsid w:val="00816FB4"/>
    <w:rsid w:val="0081713C"/>
    <w:rsid w:val="008175E6"/>
    <w:rsid w:val="00820D09"/>
    <w:rsid w:val="00820F1D"/>
    <w:rsid w:val="008214FD"/>
    <w:rsid w:val="00821837"/>
    <w:rsid w:val="0082196B"/>
    <w:rsid w:val="00822174"/>
    <w:rsid w:val="00824071"/>
    <w:rsid w:val="008240BE"/>
    <w:rsid w:val="00824DBF"/>
    <w:rsid w:val="0082545D"/>
    <w:rsid w:val="0082603D"/>
    <w:rsid w:val="008268EA"/>
    <w:rsid w:val="0082752D"/>
    <w:rsid w:val="008277E1"/>
    <w:rsid w:val="00827834"/>
    <w:rsid w:val="00827DBA"/>
    <w:rsid w:val="00830672"/>
    <w:rsid w:val="00830E5A"/>
    <w:rsid w:val="00830E97"/>
    <w:rsid w:val="00831110"/>
    <w:rsid w:val="008311D5"/>
    <w:rsid w:val="00831806"/>
    <w:rsid w:val="00831ACB"/>
    <w:rsid w:val="0083267C"/>
    <w:rsid w:val="00832C49"/>
    <w:rsid w:val="008330A7"/>
    <w:rsid w:val="00833789"/>
    <w:rsid w:val="00834311"/>
    <w:rsid w:val="008357C4"/>
    <w:rsid w:val="00835AF3"/>
    <w:rsid w:val="00835B70"/>
    <w:rsid w:val="00835C3E"/>
    <w:rsid w:val="0083605A"/>
    <w:rsid w:val="008368DA"/>
    <w:rsid w:val="008402FF"/>
    <w:rsid w:val="0084076F"/>
    <w:rsid w:val="00841DC9"/>
    <w:rsid w:val="00841F53"/>
    <w:rsid w:val="00842F11"/>
    <w:rsid w:val="0084369F"/>
    <w:rsid w:val="008438D1"/>
    <w:rsid w:val="00843B16"/>
    <w:rsid w:val="00843DFC"/>
    <w:rsid w:val="0084410A"/>
    <w:rsid w:val="008446ED"/>
    <w:rsid w:val="00846164"/>
    <w:rsid w:val="008467FB"/>
    <w:rsid w:val="008503B9"/>
    <w:rsid w:val="00850907"/>
    <w:rsid w:val="0085250E"/>
    <w:rsid w:val="00852DFF"/>
    <w:rsid w:val="008530F3"/>
    <w:rsid w:val="008547D0"/>
    <w:rsid w:val="008569B8"/>
    <w:rsid w:val="00856B5F"/>
    <w:rsid w:val="00856F59"/>
    <w:rsid w:val="008573FF"/>
    <w:rsid w:val="00857977"/>
    <w:rsid w:val="00857C01"/>
    <w:rsid w:val="00857C50"/>
    <w:rsid w:val="008605C5"/>
    <w:rsid w:val="00860A27"/>
    <w:rsid w:val="00860C90"/>
    <w:rsid w:val="00860FAC"/>
    <w:rsid w:val="00861842"/>
    <w:rsid w:val="00861A26"/>
    <w:rsid w:val="0086256A"/>
    <w:rsid w:val="008627A3"/>
    <w:rsid w:val="00862AE2"/>
    <w:rsid w:val="00862BD7"/>
    <w:rsid w:val="008634AB"/>
    <w:rsid w:val="0086380C"/>
    <w:rsid w:val="00863B79"/>
    <w:rsid w:val="008648CC"/>
    <w:rsid w:val="00864F0D"/>
    <w:rsid w:val="00864FC9"/>
    <w:rsid w:val="0086515C"/>
    <w:rsid w:val="0086606C"/>
    <w:rsid w:val="00867D49"/>
    <w:rsid w:val="008704EA"/>
    <w:rsid w:val="00870758"/>
    <w:rsid w:val="00870B1E"/>
    <w:rsid w:val="00871001"/>
    <w:rsid w:val="00871081"/>
    <w:rsid w:val="00871F70"/>
    <w:rsid w:val="00872072"/>
    <w:rsid w:val="0087218E"/>
    <w:rsid w:val="008735AE"/>
    <w:rsid w:val="00873B44"/>
    <w:rsid w:val="0087483E"/>
    <w:rsid w:val="00874B57"/>
    <w:rsid w:val="00874EB3"/>
    <w:rsid w:val="00875737"/>
    <w:rsid w:val="00875827"/>
    <w:rsid w:val="00875E8F"/>
    <w:rsid w:val="008767DC"/>
    <w:rsid w:val="00876D7A"/>
    <w:rsid w:val="008770B8"/>
    <w:rsid w:val="00877491"/>
    <w:rsid w:val="0087758B"/>
    <w:rsid w:val="00880588"/>
    <w:rsid w:val="00880613"/>
    <w:rsid w:val="00880F49"/>
    <w:rsid w:val="00881017"/>
    <w:rsid w:val="008825BF"/>
    <w:rsid w:val="00882D08"/>
    <w:rsid w:val="00882DA9"/>
    <w:rsid w:val="008837C6"/>
    <w:rsid w:val="00883992"/>
    <w:rsid w:val="00883A87"/>
    <w:rsid w:val="00884439"/>
    <w:rsid w:val="00884449"/>
    <w:rsid w:val="00884600"/>
    <w:rsid w:val="008846BF"/>
    <w:rsid w:val="00884AAA"/>
    <w:rsid w:val="008854E2"/>
    <w:rsid w:val="00885C5A"/>
    <w:rsid w:val="0088607C"/>
    <w:rsid w:val="008866E5"/>
    <w:rsid w:val="00886B12"/>
    <w:rsid w:val="008877F6"/>
    <w:rsid w:val="00887C3B"/>
    <w:rsid w:val="00890088"/>
    <w:rsid w:val="008906E3"/>
    <w:rsid w:val="00890BC2"/>
    <w:rsid w:val="00891376"/>
    <w:rsid w:val="00891B8A"/>
    <w:rsid w:val="00891E94"/>
    <w:rsid w:val="00892272"/>
    <w:rsid w:val="00893DA0"/>
    <w:rsid w:val="008941D1"/>
    <w:rsid w:val="00894337"/>
    <w:rsid w:val="00894ED0"/>
    <w:rsid w:val="00895CA2"/>
    <w:rsid w:val="0089648E"/>
    <w:rsid w:val="00896C2A"/>
    <w:rsid w:val="008976E6"/>
    <w:rsid w:val="00897974"/>
    <w:rsid w:val="008A008E"/>
    <w:rsid w:val="008A0558"/>
    <w:rsid w:val="008A05AC"/>
    <w:rsid w:val="008A0F4C"/>
    <w:rsid w:val="008A1B40"/>
    <w:rsid w:val="008A1DE0"/>
    <w:rsid w:val="008A2577"/>
    <w:rsid w:val="008A2F8F"/>
    <w:rsid w:val="008A3F49"/>
    <w:rsid w:val="008A4056"/>
    <w:rsid w:val="008A44BF"/>
    <w:rsid w:val="008A5C7F"/>
    <w:rsid w:val="008A5FE9"/>
    <w:rsid w:val="008A659C"/>
    <w:rsid w:val="008A6C5B"/>
    <w:rsid w:val="008A6E9A"/>
    <w:rsid w:val="008A7B54"/>
    <w:rsid w:val="008A7E15"/>
    <w:rsid w:val="008B015C"/>
    <w:rsid w:val="008B0773"/>
    <w:rsid w:val="008B10B5"/>
    <w:rsid w:val="008B1270"/>
    <w:rsid w:val="008B2499"/>
    <w:rsid w:val="008B2B0F"/>
    <w:rsid w:val="008B31E0"/>
    <w:rsid w:val="008B3265"/>
    <w:rsid w:val="008B3B2E"/>
    <w:rsid w:val="008B4D51"/>
    <w:rsid w:val="008B4D5E"/>
    <w:rsid w:val="008B52BA"/>
    <w:rsid w:val="008B53B8"/>
    <w:rsid w:val="008B5ED9"/>
    <w:rsid w:val="008B6DD0"/>
    <w:rsid w:val="008B6F48"/>
    <w:rsid w:val="008B6F9B"/>
    <w:rsid w:val="008B6FE8"/>
    <w:rsid w:val="008B7543"/>
    <w:rsid w:val="008B7563"/>
    <w:rsid w:val="008B7C83"/>
    <w:rsid w:val="008B7CC8"/>
    <w:rsid w:val="008C0351"/>
    <w:rsid w:val="008C059B"/>
    <w:rsid w:val="008C0D0C"/>
    <w:rsid w:val="008C1276"/>
    <w:rsid w:val="008C18ED"/>
    <w:rsid w:val="008C1C5F"/>
    <w:rsid w:val="008C1F60"/>
    <w:rsid w:val="008C241F"/>
    <w:rsid w:val="008C24E6"/>
    <w:rsid w:val="008C2736"/>
    <w:rsid w:val="008C38A7"/>
    <w:rsid w:val="008C440B"/>
    <w:rsid w:val="008C61AD"/>
    <w:rsid w:val="008C69F5"/>
    <w:rsid w:val="008C6B86"/>
    <w:rsid w:val="008C6E92"/>
    <w:rsid w:val="008C7093"/>
    <w:rsid w:val="008C7769"/>
    <w:rsid w:val="008C7CB6"/>
    <w:rsid w:val="008D05C4"/>
    <w:rsid w:val="008D0D9C"/>
    <w:rsid w:val="008D1E8A"/>
    <w:rsid w:val="008D1EB8"/>
    <w:rsid w:val="008D2727"/>
    <w:rsid w:val="008D3036"/>
    <w:rsid w:val="008D463A"/>
    <w:rsid w:val="008D4B40"/>
    <w:rsid w:val="008D51ED"/>
    <w:rsid w:val="008D5D14"/>
    <w:rsid w:val="008D5E9D"/>
    <w:rsid w:val="008D67AB"/>
    <w:rsid w:val="008D6A5F"/>
    <w:rsid w:val="008D726E"/>
    <w:rsid w:val="008D781E"/>
    <w:rsid w:val="008D7A73"/>
    <w:rsid w:val="008E040E"/>
    <w:rsid w:val="008E0C7A"/>
    <w:rsid w:val="008E1141"/>
    <w:rsid w:val="008E18E0"/>
    <w:rsid w:val="008E1DC2"/>
    <w:rsid w:val="008E336B"/>
    <w:rsid w:val="008E3713"/>
    <w:rsid w:val="008E4283"/>
    <w:rsid w:val="008E442F"/>
    <w:rsid w:val="008E4E2E"/>
    <w:rsid w:val="008E55E2"/>
    <w:rsid w:val="008E5992"/>
    <w:rsid w:val="008E6675"/>
    <w:rsid w:val="008E6BBF"/>
    <w:rsid w:val="008E6BFC"/>
    <w:rsid w:val="008E78AE"/>
    <w:rsid w:val="008E7B68"/>
    <w:rsid w:val="008F1376"/>
    <w:rsid w:val="008F2059"/>
    <w:rsid w:val="008F269E"/>
    <w:rsid w:val="008F2BAB"/>
    <w:rsid w:val="008F3F4F"/>
    <w:rsid w:val="008F4618"/>
    <w:rsid w:val="008F50EE"/>
    <w:rsid w:val="008F5863"/>
    <w:rsid w:val="008F5CF6"/>
    <w:rsid w:val="008F602E"/>
    <w:rsid w:val="008F61B2"/>
    <w:rsid w:val="008F76AA"/>
    <w:rsid w:val="008F782C"/>
    <w:rsid w:val="008F7EB2"/>
    <w:rsid w:val="008F7FC2"/>
    <w:rsid w:val="00900167"/>
    <w:rsid w:val="0090080D"/>
    <w:rsid w:val="00900A38"/>
    <w:rsid w:val="00900B91"/>
    <w:rsid w:val="00901557"/>
    <w:rsid w:val="00901767"/>
    <w:rsid w:val="00901A26"/>
    <w:rsid w:val="00902088"/>
    <w:rsid w:val="009020C5"/>
    <w:rsid w:val="00902C2A"/>
    <w:rsid w:val="0090336C"/>
    <w:rsid w:val="00903750"/>
    <w:rsid w:val="00903D81"/>
    <w:rsid w:val="00904195"/>
    <w:rsid w:val="00904468"/>
    <w:rsid w:val="00906191"/>
    <w:rsid w:val="0090636E"/>
    <w:rsid w:val="00906571"/>
    <w:rsid w:val="0090659F"/>
    <w:rsid w:val="0090705B"/>
    <w:rsid w:val="00907420"/>
    <w:rsid w:val="00907AA5"/>
    <w:rsid w:val="00907C8B"/>
    <w:rsid w:val="0091088D"/>
    <w:rsid w:val="00911EFD"/>
    <w:rsid w:val="009123E7"/>
    <w:rsid w:val="00912500"/>
    <w:rsid w:val="0091266F"/>
    <w:rsid w:val="009129D6"/>
    <w:rsid w:val="00913043"/>
    <w:rsid w:val="00913F68"/>
    <w:rsid w:val="0091405E"/>
    <w:rsid w:val="00914AF0"/>
    <w:rsid w:val="0091526E"/>
    <w:rsid w:val="00915300"/>
    <w:rsid w:val="00915E05"/>
    <w:rsid w:val="009162B4"/>
    <w:rsid w:val="009162C5"/>
    <w:rsid w:val="00917188"/>
    <w:rsid w:val="00917531"/>
    <w:rsid w:val="00917625"/>
    <w:rsid w:val="00917CD8"/>
    <w:rsid w:val="009209FC"/>
    <w:rsid w:val="009220EA"/>
    <w:rsid w:val="00922138"/>
    <w:rsid w:val="009224A2"/>
    <w:rsid w:val="009229AA"/>
    <w:rsid w:val="00922C89"/>
    <w:rsid w:val="00923082"/>
    <w:rsid w:val="009230C4"/>
    <w:rsid w:val="00924034"/>
    <w:rsid w:val="00924E20"/>
    <w:rsid w:val="00925006"/>
    <w:rsid w:val="009252C0"/>
    <w:rsid w:val="009253AB"/>
    <w:rsid w:val="00925937"/>
    <w:rsid w:val="0092772E"/>
    <w:rsid w:val="00927CE2"/>
    <w:rsid w:val="00930594"/>
    <w:rsid w:val="00930EE1"/>
    <w:rsid w:val="00930F40"/>
    <w:rsid w:val="00930FF1"/>
    <w:rsid w:val="00931444"/>
    <w:rsid w:val="00931BD0"/>
    <w:rsid w:val="00932CEE"/>
    <w:rsid w:val="00933248"/>
    <w:rsid w:val="00933290"/>
    <w:rsid w:val="00933551"/>
    <w:rsid w:val="00933EAA"/>
    <w:rsid w:val="009346E4"/>
    <w:rsid w:val="00937017"/>
    <w:rsid w:val="00937239"/>
    <w:rsid w:val="00937A4A"/>
    <w:rsid w:val="00940218"/>
    <w:rsid w:val="009406D7"/>
    <w:rsid w:val="009418DA"/>
    <w:rsid w:val="00943736"/>
    <w:rsid w:val="009439E8"/>
    <w:rsid w:val="00943F16"/>
    <w:rsid w:val="009447AD"/>
    <w:rsid w:val="009447EA"/>
    <w:rsid w:val="009449F1"/>
    <w:rsid w:val="00944A3C"/>
    <w:rsid w:val="00944E03"/>
    <w:rsid w:val="00944F0A"/>
    <w:rsid w:val="00945330"/>
    <w:rsid w:val="0094587B"/>
    <w:rsid w:val="00945BC3"/>
    <w:rsid w:val="00946195"/>
    <w:rsid w:val="0094642A"/>
    <w:rsid w:val="0094667E"/>
    <w:rsid w:val="009467DA"/>
    <w:rsid w:val="00950EB9"/>
    <w:rsid w:val="00951704"/>
    <w:rsid w:val="0095238E"/>
    <w:rsid w:val="0095383A"/>
    <w:rsid w:val="00953D4A"/>
    <w:rsid w:val="00954072"/>
    <w:rsid w:val="00954F66"/>
    <w:rsid w:val="00955386"/>
    <w:rsid w:val="00955470"/>
    <w:rsid w:val="00956B4C"/>
    <w:rsid w:val="00957630"/>
    <w:rsid w:val="00957C10"/>
    <w:rsid w:val="00960D68"/>
    <w:rsid w:val="00961548"/>
    <w:rsid w:val="0096338A"/>
    <w:rsid w:val="0096414A"/>
    <w:rsid w:val="00964659"/>
    <w:rsid w:val="009648C2"/>
    <w:rsid w:val="00965B7D"/>
    <w:rsid w:val="009669D6"/>
    <w:rsid w:val="00966AA0"/>
    <w:rsid w:val="00967142"/>
    <w:rsid w:val="00967705"/>
    <w:rsid w:val="00970007"/>
    <w:rsid w:val="009707A8"/>
    <w:rsid w:val="009708DD"/>
    <w:rsid w:val="00970F67"/>
    <w:rsid w:val="00972295"/>
    <w:rsid w:val="00972350"/>
    <w:rsid w:val="009729EB"/>
    <w:rsid w:val="0097302F"/>
    <w:rsid w:val="00973A91"/>
    <w:rsid w:val="00973CD1"/>
    <w:rsid w:val="00974040"/>
    <w:rsid w:val="00974487"/>
    <w:rsid w:val="00974D2D"/>
    <w:rsid w:val="00974D4E"/>
    <w:rsid w:val="00974E88"/>
    <w:rsid w:val="00975984"/>
    <w:rsid w:val="00975CD5"/>
    <w:rsid w:val="00975EE6"/>
    <w:rsid w:val="00976469"/>
    <w:rsid w:val="009765B4"/>
    <w:rsid w:val="00976792"/>
    <w:rsid w:val="00976B91"/>
    <w:rsid w:val="009776EB"/>
    <w:rsid w:val="00977C37"/>
    <w:rsid w:val="00977DA3"/>
    <w:rsid w:val="00980828"/>
    <w:rsid w:val="0098145A"/>
    <w:rsid w:val="0098153C"/>
    <w:rsid w:val="009823C1"/>
    <w:rsid w:val="0098281D"/>
    <w:rsid w:val="00982C7E"/>
    <w:rsid w:val="00982F7C"/>
    <w:rsid w:val="00984D32"/>
    <w:rsid w:val="00985820"/>
    <w:rsid w:val="009869C0"/>
    <w:rsid w:val="00987710"/>
    <w:rsid w:val="00987F08"/>
    <w:rsid w:val="009900E9"/>
    <w:rsid w:val="00991526"/>
    <w:rsid w:val="009916DB"/>
    <w:rsid w:val="009929A8"/>
    <w:rsid w:val="00992D6E"/>
    <w:rsid w:val="00993125"/>
    <w:rsid w:val="00993BE8"/>
    <w:rsid w:val="009940E3"/>
    <w:rsid w:val="0099419C"/>
    <w:rsid w:val="00994448"/>
    <w:rsid w:val="00994C18"/>
    <w:rsid w:val="00995291"/>
    <w:rsid w:val="00996666"/>
    <w:rsid w:val="00996D34"/>
    <w:rsid w:val="00996DCE"/>
    <w:rsid w:val="00996E72"/>
    <w:rsid w:val="00997304"/>
    <w:rsid w:val="00997B77"/>
    <w:rsid w:val="009A1030"/>
    <w:rsid w:val="009A1C10"/>
    <w:rsid w:val="009A1CB1"/>
    <w:rsid w:val="009A2F85"/>
    <w:rsid w:val="009A35D9"/>
    <w:rsid w:val="009A39E2"/>
    <w:rsid w:val="009A3D54"/>
    <w:rsid w:val="009A4552"/>
    <w:rsid w:val="009A505C"/>
    <w:rsid w:val="009A5D43"/>
    <w:rsid w:val="009A5F0A"/>
    <w:rsid w:val="009A6717"/>
    <w:rsid w:val="009A6958"/>
    <w:rsid w:val="009B2188"/>
    <w:rsid w:val="009B2A92"/>
    <w:rsid w:val="009B376F"/>
    <w:rsid w:val="009B4134"/>
    <w:rsid w:val="009B58A5"/>
    <w:rsid w:val="009B5B08"/>
    <w:rsid w:val="009B5C59"/>
    <w:rsid w:val="009B5EF9"/>
    <w:rsid w:val="009B6870"/>
    <w:rsid w:val="009B6C0E"/>
    <w:rsid w:val="009B7037"/>
    <w:rsid w:val="009B7191"/>
    <w:rsid w:val="009C0073"/>
    <w:rsid w:val="009C02F5"/>
    <w:rsid w:val="009C0721"/>
    <w:rsid w:val="009C0976"/>
    <w:rsid w:val="009C0FD2"/>
    <w:rsid w:val="009C129E"/>
    <w:rsid w:val="009C1430"/>
    <w:rsid w:val="009C1522"/>
    <w:rsid w:val="009C1646"/>
    <w:rsid w:val="009C356E"/>
    <w:rsid w:val="009C3A40"/>
    <w:rsid w:val="009C3B90"/>
    <w:rsid w:val="009C4730"/>
    <w:rsid w:val="009C4D29"/>
    <w:rsid w:val="009C50C9"/>
    <w:rsid w:val="009C5A57"/>
    <w:rsid w:val="009C6E42"/>
    <w:rsid w:val="009C70F9"/>
    <w:rsid w:val="009C7EA0"/>
    <w:rsid w:val="009D0225"/>
    <w:rsid w:val="009D08D9"/>
    <w:rsid w:val="009D09BB"/>
    <w:rsid w:val="009D1304"/>
    <w:rsid w:val="009D14C6"/>
    <w:rsid w:val="009D1C32"/>
    <w:rsid w:val="009D1DB7"/>
    <w:rsid w:val="009D2E95"/>
    <w:rsid w:val="009D4E0E"/>
    <w:rsid w:val="009D6ABE"/>
    <w:rsid w:val="009D789B"/>
    <w:rsid w:val="009D7ECD"/>
    <w:rsid w:val="009E058D"/>
    <w:rsid w:val="009E0F33"/>
    <w:rsid w:val="009E16B7"/>
    <w:rsid w:val="009E188C"/>
    <w:rsid w:val="009E3F48"/>
    <w:rsid w:val="009E41C9"/>
    <w:rsid w:val="009E41F3"/>
    <w:rsid w:val="009E47FD"/>
    <w:rsid w:val="009E49C3"/>
    <w:rsid w:val="009E601C"/>
    <w:rsid w:val="009E6235"/>
    <w:rsid w:val="009E6992"/>
    <w:rsid w:val="009E6BB4"/>
    <w:rsid w:val="009E6ED7"/>
    <w:rsid w:val="009E7205"/>
    <w:rsid w:val="009E7AA7"/>
    <w:rsid w:val="009F074A"/>
    <w:rsid w:val="009F0C43"/>
    <w:rsid w:val="009F10E9"/>
    <w:rsid w:val="009F1220"/>
    <w:rsid w:val="009F12DA"/>
    <w:rsid w:val="009F15B3"/>
    <w:rsid w:val="009F2041"/>
    <w:rsid w:val="009F2170"/>
    <w:rsid w:val="009F21FA"/>
    <w:rsid w:val="009F237D"/>
    <w:rsid w:val="009F2502"/>
    <w:rsid w:val="009F291D"/>
    <w:rsid w:val="009F30A4"/>
    <w:rsid w:val="009F383A"/>
    <w:rsid w:val="009F4580"/>
    <w:rsid w:val="009F4BA7"/>
    <w:rsid w:val="009F4C52"/>
    <w:rsid w:val="009F4EC7"/>
    <w:rsid w:val="009F5444"/>
    <w:rsid w:val="009F5621"/>
    <w:rsid w:val="009F5EDF"/>
    <w:rsid w:val="009F6869"/>
    <w:rsid w:val="009F6CF0"/>
    <w:rsid w:val="009F7725"/>
    <w:rsid w:val="009F7A10"/>
    <w:rsid w:val="009F7B41"/>
    <w:rsid w:val="009F7B83"/>
    <w:rsid w:val="009F7E8B"/>
    <w:rsid w:val="00A0011A"/>
    <w:rsid w:val="00A00B4D"/>
    <w:rsid w:val="00A00FD5"/>
    <w:rsid w:val="00A01084"/>
    <w:rsid w:val="00A015D7"/>
    <w:rsid w:val="00A02366"/>
    <w:rsid w:val="00A0429F"/>
    <w:rsid w:val="00A043B2"/>
    <w:rsid w:val="00A046AD"/>
    <w:rsid w:val="00A04B4A"/>
    <w:rsid w:val="00A054E4"/>
    <w:rsid w:val="00A05553"/>
    <w:rsid w:val="00A05920"/>
    <w:rsid w:val="00A05B6E"/>
    <w:rsid w:val="00A06B73"/>
    <w:rsid w:val="00A06E14"/>
    <w:rsid w:val="00A070DC"/>
    <w:rsid w:val="00A07759"/>
    <w:rsid w:val="00A07ABE"/>
    <w:rsid w:val="00A10027"/>
    <w:rsid w:val="00A106BE"/>
    <w:rsid w:val="00A10B6B"/>
    <w:rsid w:val="00A1147E"/>
    <w:rsid w:val="00A11940"/>
    <w:rsid w:val="00A11F2D"/>
    <w:rsid w:val="00A12105"/>
    <w:rsid w:val="00A12325"/>
    <w:rsid w:val="00A12F3C"/>
    <w:rsid w:val="00A141E0"/>
    <w:rsid w:val="00A14320"/>
    <w:rsid w:val="00A14F8F"/>
    <w:rsid w:val="00A15748"/>
    <w:rsid w:val="00A168A3"/>
    <w:rsid w:val="00A168DA"/>
    <w:rsid w:val="00A16CB5"/>
    <w:rsid w:val="00A16E13"/>
    <w:rsid w:val="00A17056"/>
    <w:rsid w:val="00A1746E"/>
    <w:rsid w:val="00A17954"/>
    <w:rsid w:val="00A17E61"/>
    <w:rsid w:val="00A20F84"/>
    <w:rsid w:val="00A21387"/>
    <w:rsid w:val="00A2145B"/>
    <w:rsid w:val="00A216F5"/>
    <w:rsid w:val="00A2180A"/>
    <w:rsid w:val="00A21BD6"/>
    <w:rsid w:val="00A222E7"/>
    <w:rsid w:val="00A2297D"/>
    <w:rsid w:val="00A22E0D"/>
    <w:rsid w:val="00A232C8"/>
    <w:rsid w:val="00A23854"/>
    <w:rsid w:val="00A23CB2"/>
    <w:rsid w:val="00A23E10"/>
    <w:rsid w:val="00A2402E"/>
    <w:rsid w:val="00A24498"/>
    <w:rsid w:val="00A246E0"/>
    <w:rsid w:val="00A247E2"/>
    <w:rsid w:val="00A24C51"/>
    <w:rsid w:val="00A25474"/>
    <w:rsid w:val="00A25693"/>
    <w:rsid w:val="00A256E7"/>
    <w:rsid w:val="00A2575B"/>
    <w:rsid w:val="00A27199"/>
    <w:rsid w:val="00A2785B"/>
    <w:rsid w:val="00A279DB"/>
    <w:rsid w:val="00A300E1"/>
    <w:rsid w:val="00A30682"/>
    <w:rsid w:val="00A310D5"/>
    <w:rsid w:val="00A31A5D"/>
    <w:rsid w:val="00A321FA"/>
    <w:rsid w:val="00A32B88"/>
    <w:rsid w:val="00A32E1D"/>
    <w:rsid w:val="00A33F0A"/>
    <w:rsid w:val="00A34464"/>
    <w:rsid w:val="00A34D88"/>
    <w:rsid w:val="00A35035"/>
    <w:rsid w:val="00A37095"/>
    <w:rsid w:val="00A3765E"/>
    <w:rsid w:val="00A41057"/>
    <w:rsid w:val="00A410C4"/>
    <w:rsid w:val="00A41B19"/>
    <w:rsid w:val="00A41B50"/>
    <w:rsid w:val="00A41CCD"/>
    <w:rsid w:val="00A42375"/>
    <w:rsid w:val="00A424CA"/>
    <w:rsid w:val="00A42678"/>
    <w:rsid w:val="00A42F4D"/>
    <w:rsid w:val="00A430BC"/>
    <w:rsid w:val="00A432B0"/>
    <w:rsid w:val="00A435D0"/>
    <w:rsid w:val="00A43987"/>
    <w:rsid w:val="00A44977"/>
    <w:rsid w:val="00A44C1D"/>
    <w:rsid w:val="00A45246"/>
    <w:rsid w:val="00A4596E"/>
    <w:rsid w:val="00A45F02"/>
    <w:rsid w:val="00A471E3"/>
    <w:rsid w:val="00A474C2"/>
    <w:rsid w:val="00A47B93"/>
    <w:rsid w:val="00A47D83"/>
    <w:rsid w:val="00A5013F"/>
    <w:rsid w:val="00A50618"/>
    <w:rsid w:val="00A51408"/>
    <w:rsid w:val="00A53519"/>
    <w:rsid w:val="00A5383A"/>
    <w:rsid w:val="00A542E0"/>
    <w:rsid w:val="00A5460F"/>
    <w:rsid w:val="00A548E0"/>
    <w:rsid w:val="00A54BA4"/>
    <w:rsid w:val="00A55307"/>
    <w:rsid w:val="00A55920"/>
    <w:rsid w:val="00A55D57"/>
    <w:rsid w:val="00A56394"/>
    <w:rsid w:val="00A5647E"/>
    <w:rsid w:val="00A5657F"/>
    <w:rsid w:val="00A600A3"/>
    <w:rsid w:val="00A60675"/>
    <w:rsid w:val="00A61903"/>
    <w:rsid w:val="00A625AD"/>
    <w:rsid w:val="00A6314B"/>
    <w:rsid w:val="00A632D8"/>
    <w:rsid w:val="00A637B6"/>
    <w:rsid w:val="00A637D5"/>
    <w:rsid w:val="00A63EF0"/>
    <w:rsid w:val="00A64300"/>
    <w:rsid w:val="00A644C0"/>
    <w:rsid w:val="00A648BF"/>
    <w:rsid w:val="00A64E64"/>
    <w:rsid w:val="00A6553C"/>
    <w:rsid w:val="00A6617E"/>
    <w:rsid w:val="00A667BF"/>
    <w:rsid w:val="00A669E0"/>
    <w:rsid w:val="00A66AD3"/>
    <w:rsid w:val="00A66BE8"/>
    <w:rsid w:val="00A67859"/>
    <w:rsid w:val="00A70F4D"/>
    <w:rsid w:val="00A71F00"/>
    <w:rsid w:val="00A72393"/>
    <w:rsid w:val="00A7246E"/>
    <w:rsid w:val="00A7265B"/>
    <w:rsid w:val="00A72D7B"/>
    <w:rsid w:val="00A73968"/>
    <w:rsid w:val="00A74602"/>
    <w:rsid w:val="00A74612"/>
    <w:rsid w:val="00A74F39"/>
    <w:rsid w:val="00A75CAE"/>
    <w:rsid w:val="00A75EA9"/>
    <w:rsid w:val="00A76187"/>
    <w:rsid w:val="00A761E4"/>
    <w:rsid w:val="00A7671C"/>
    <w:rsid w:val="00A774C8"/>
    <w:rsid w:val="00A77712"/>
    <w:rsid w:val="00A77C9B"/>
    <w:rsid w:val="00A801C6"/>
    <w:rsid w:val="00A80AA6"/>
    <w:rsid w:val="00A81763"/>
    <w:rsid w:val="00A81CD1"/>
    <w:rsid w:val="00A81ECC"/>
    <w:rsid w:val="00A82432"/>
    <w:rsid w:val="00A8286C"/>
    <w:rsid w:val="00A82A5C"/>
    <w:rsid w:val="00A82D82"/>
    <w:rsid w:val="00A82F77"/>
    <w:rsid w:val="00A83945"/>
    <w:rsid w:val="00A8411C"/>
    <w:rsid w:val="00A845CE"/>
    <w:rsid w:val="00A84C85"/>
    <w:rsid w:val="00A84CAC"/>
    <w:rsid w:val="00A85991"/>
    <w:rsid w:val="00A85A3B"/>
    <w:rsid w:val="00A85D51"/>
    <w:rsid w:val="00A86DAE"/>
    <w:rsid w:val="00A872ED"/>
    <w:rsid w:val="00A87ABE"/>
    <w:rsid w:val="00A87B40"/>
    <w:rsid w:val="00A904DE"/>
    <w:rsid w:val="00A908C4"/>
    <w:rsid w:val="00A90A2C"/>
    <w:rsid w:val="00A921DC"/>
    <w:rsid w:val="00A9269C"/>
    <w:rsid w:val="00A93188"/>
    <w:rsid w:val="00A94BFF"/>
    <w:rsid w:val="00A95DE2"/>
    <w:rsid w:val="00A95F96"/>
    <w:rsid w:val="00A966C7"/>
    <w:rsid w:val="00A96B2C"/>
    <w:rsid w:val="00A96B6E"/>
    <w:rsid w:val="00A971CB"/>
    <w:rsid w:val="00A97398"/>
    <w:rsid w:val="00A9766A"/>
    <w:rsid w:val="00AA032C"/>
    <w:rsid w:val="00AA0B09"/>
    <w:rsid w:val="00AA0B82"/>
    <w:rsid w:val="00AA1394"/>
    <w:rsid w:val="00AA142B"/>
    <w:rsid w:val="00AA2335"/>
    <w:rsid w:val="00AA29B2"/>
    <w:rsid w:val="00AA2EA4"/>
    <w:rsid w:val="00AA34D6"/>
    <w:rsid w:val="00AA3F57"/>
    <w:rsid w:val="00AA4810"/>
    <w:rsid w:val="00AA4F1A"/>
    <w:rsid w:val="00AA52EF"/>
    <w:rsid w:val="00AA65F2"/>
    <w:rsid w:val="00AA6608"/>
    <w:rsid w:val="00AA6F9C"/>
    <w:rsid w:val="00AA72E1"/>
    <w:rsid w:val="00AA7828"/>
    <w:rsid w:val="00AA7B67"/>
    <w:rsid w:val="00AB0613"/>
    <w:rsid w:val="00AB0F64"/>
    <w:rsid w:val="00AB1DB8"/>
    <w:rsid w:val="00AB28CA"/>
    <w:rsid w:val="00AB3757"/>
    <w:rsid w:val="00AB3FCC"/>
    <w:rsid w:val="00AB47D8"/>
    <w:rsid w:val="00AB480D"/>
    <w:rsid w:val="00AB482F"/>
    <w:rsid w:val="00AB50D5"/>
    <w:rsid w:val="00AB572B"/>
    <w:rsid w:val="00AB6E4B"/>
    <w:rsid w:val="00AB7182"/>
    <w:rsid w:val="00AB78EA"/>
    <w:rsid w:val="00AB7C80"/>
    <w:rsid w:val="00AC01F0"/>
    <w:rsid w:val="00AC024C"/>
    <w:rsid w:val="00AC0496"/>
    <w:rsid w:val="00AC064C"/>
    <w:rsid w:val="00AC11D4"/>
    <w:rsid w:val="00AC17E3"/>
    <w:rsid w:val="00AC18DB"/>
    <w:rsid w:val="00AC1A4E"/>
    <w:rsid w:val="00AC1AF6"/>
    <w:rsid w:val="00AC224E"/>
    <w:rsid w:val="00AC3337"/>
    <w:rsid w:val="00AC35CC"/>
    <w:rsid w:val="00AC381E"/>
    <w:rsid w:val="00AC4B42"/>
    <w:rsid w:val="00AC4E32"/>
    <w:rsid w:val="00AC5525"/>
    <w:rsid w:val="00AC5645"/>
    <w:rsid w:val="00AC5EAB"/>
    <w:rsid w:val="00AC5F53"/>
    <w:rsid w:val="00AC66BB"/>
    <w:rsid w:val="00AC672F"/>
    <w:rsid w:val="00AC6E21"/>
    <w:rsid w:val="00AC6F6D"/>
    <w:rsid w:val="00AC73BD"/>
    <w:rsid w:val="00AC7409"/>
    <w:rsid w:val="00AC75C3"/>
    <w:rsid w:val="00AD045E"/>
    <w:rsid w:val="00AD06A0"/>
    <w:rsid w:val="00AD0907"/>
    <w:rsid w:val="00AD1689"/>
    <w:rsid w:val="00AD1B5B"/>
    <w:rsid w:val="00AD22B0"/>
    <w:rsid w:val="00AD2B61"/>
    <w:rsid w:val="00AD2CEB"/>
    <w:rsid w:val="00AD335D"/>
    <w:rsid w:val="00AD43FE"/>
    <w:rsid w:val="00AD523F"/>
    <w:rsid w:val="00AD539C"/>
    <w:rsid w:val="00AD57D1"/>
    <w:rsid w:val="00AD5D51"/>
    <w:rsid w:val="00AD61DB"/>
    <w:rsid w:val="00AD6F20"/>
    <w:rsid w:val="00AD7450"/>
    <w:rsid w:val="00AD753B"/>
    <w:rsid w:val="00AD7689"/>
    <w:rsid w:val="00AD786A"/>
    <w:rsid w:val="00AD7B3B"/>
    <w:rsid w:val="00AE02E6"/>
    <w:rsid w:val="00AE0325"/>
    <w:rsid w:val="00AE101E"/>
    <w:rsid w:val="00AE14FB"/>
    <w:rsid w:val="00AE160F"/>
    <w:rsid w:val="00AE1A8F"/>
    <w:rsid w:val="00AE2626"/>
    <w:rsid w:val="00AE2788"/>
    <w:rsid w:val="00AE2E6F"/>
    <w:rsid w:val="00AE31E3"/>
    <w:rsid w:val="00AE3692"/>
    <w:rsid w:val="00AE3FF4"/>
    <w:rsid w:val="00AE4195"/>
    <w:rsid w:val="00AE44B6"/>
    <w:rsid w:val="00AE4768"/>
    <w:rsid w:val="00AE4875"/>
    <w:rsid w:val="00AE4953"/>
    <w:rsid w:val="00AE49D7"/>
    <w:rsid w:val="00AE4F7B"/>
    <w:rsid w:val="00AE52C7"/>
    <w:rsid w:val="00AE5D17"/>
    <w:rsid w:val="00AE61FD"/>
    <w:rsid w:val="00AE64AC"/>
    <w:rsid w:val="00AE6920"/>
    <w:rsid w:val="00AE78B0"/>
    <w:rsid w:val="00AE7D44"/>
    <w:rsid w:val="00AF0700"/>
    <w:rsid w:val="00AF0BE5"/>
    <w:rsid w:val="00AF173A"/>
    <w:rsid w:val="00AF17B3"/>
    <w:rsid w:val="00AF1DD1"/>
    <w:rsid w:val="00AF25AA"/>
    <w:rsid w:val="00AF3A78"/>
    <w:rsid w:val="00AF3B45"/>
    <w:rsid w:val="00AF3BFD"/>
    <w:rsid w:val="00AF4193"/>
    <w:rsid w:val="00AF4615"/>
    <w:rsid w:val="00AF5959"/>
    <w:rsid w:val="00AF5AA0"/>
    <w:rsid w:val="00AF6150"/>
    <w:rsid w:val="00AF65E4"/>
    <w:rsid w:val="00AF7E03"/>
    <w:rsid w:val="00AF7E57"/>
    <w:rsid w:val="00B00A51"/>
    <w:rsid w:val="00B00C4F"/>
    <w:rsid w:val="00B010DE"/>
    <w:rsid w:val="00B014F3"/>
    <w:rsid w:val="00B023E8"/>
    <w:rsid w:val="00B02C74"/>
    <w:rsid w:val="00B042F8"/>
    <w:rsid w:val="00B049AC"/>
    <w:rsid w:val="00B04C29"/>
    <w:rsid w:val="00B0734B"/>
    <w:rsid w:val="00B07851"/>
    <w:rsid w:val="00B07943"/>
    <w:rsid w:val="00B11251"/>
    <w:rsid w:val="00B114AE"/>
    <w:rsid w:val="00B11B41"/>
    <w:rsid w:val="00B123F3"/>
    <w:rsid w:val="00B1284C"/>
    <w:rsid w:val="00B12B55"/>
    <w:rsid w:val="00B12CF3"/>
    <w:rsid w:val="00B13843"/>
    <w:rsid w:val="00B13901"/>
    <w:rsid w:val="00B14ECD"/>
    <w:rsid w:val="00B151E2"/>
    <w:rsid w:val="00B152CE"/>
    <w:rsid w:val="00B15999"/>
    <w:rsid w:val="00B16A9B"/>
    <w:rsid w:val="00B16B1E"/>
    <w:rsid w:val="00B2065C"/>
    <w:rsid w:val="00B20AD7"/>
    <w:rsid w:val="00B212AF"/>
    <w:rsid w:val="00B212D8"/>
    <w:rsid w:val="00B21EA4"/>
    <w:rsid w:val="00B22C2D"/>
    <w:rsid w:val="00B23BA4"/>
    <w:rsid w:val="00B23CC1"/>
    <w:rsid w:val="00B24230"/>
    <w:rsid w:val="00B24726"/>
    <w:rsid w:val="00B255D0"/>
    <w:rsid w:val="00B2594C"/>
    <w:rsid w:val="00B26A80"/>
    <w:rsid w:val="00B275AD"/>
    <w:rsid w:val="00B277D7"/>
    <w:rsid w:val="00B27A79"/>
    <w:rsid w:val="00B27E29"/>
    <w:rsid w:val="00B30033"/>
    <w:rsid w:val="00B304FD"/>
    <w:rsid w:val="00B309C6"/>
    <w:rsid w:val="00B30B7D"/>
    <w:rsid w:val="00B30B98"/>
    <w:rsid w:val="00B30E0A"/>
    <w:rsid w:val="00B3101F"/>
    <w:rsid w:val="00B31C8F"/>
    <w:rsid w:val="00B31F4F"/>
    <w:rsid w:val="00B32A98"/>
    <w:rsid w:val="00B33286"/>
    <w:rsid w:val="00B33F6B"/>
    <w:rsid w:val="00B3421F"/>
    <w:rsid w:val="00B346DB"/>
    <w:rsid w:val="00B3489B"/>
    <w:rsid w:val="00B35738"/>
    <w:rsid w:val="00B3642F"/>
    <w:rsid w:val="00B36C0D"/>
    <w:rsid w:val="00B37CFF"/>
    <w:rsid w:val="00B404F0"/>
    <w:rsid w:val="00B41647"/>
    <w:rsid w:val="00B41711"/>
    <w:rsid w:val="00B419BE"/>
    <w:rsid w:val="00B41F22"/>
    <w:rsid w:val="00B42138"/>
    <w:rsid w:val="00B42628"/>
    <w:rsid w:val="00B42B65"/>
    <w:rsid w:val="00B42EDE"/>
    <w:rsid w:val="00B43056"/>
    <w:rsid w:val="00B43CCA"/>
    <w:rsid w:val="00B44868"/>
    <w:rsid w:val="00B44E76"/>
    <w:rsid w:val="00B4604A"/>
    <w:rsid w:val="00B465DE"/>
    <w:rsid w:val="00B46A77"/>
    <w:rsid w:val="00B47491"/>
    <w:rsid w:val="00B477E0"/>
    <w:rsid w:val="00B47A8F"/>
    <w:rsid w:val="00B5020A"/>
    <w:rsid w:val="00B5030B"/>
    <w:rsid w:val="00B5032E"/>
    <w:rsid w:val="00B50859"/>
    <w:rsid w:val="00B509F5"/>
    <w:rsid w:val="00B51A7E"/>
    <w:rsid w:val="00B5200B"/>
    <w:rsid w:val="00B52720"/>
    <w:rsid w:val="00B52854"/>
    <w:rsid w:val="00B536F2"/>
    <w:rsid w:val="00B54395"/>
    <w:rsid w:val="00B54876"/>
    <w:rsid w:val="00B548B7"/>
    <w:rsid w:val="00B55160"/>
    <w:rsid w:val="00B55C3E"/>
    <w:rsid w:val="00B56523"/>
    <w:rsid w:val="00B56C2C"/>
    <w:rsid w:val="00B56D52"/>
    <w:rsid w:val="00B57339"/>
    <w:rsid w:val="00B57480"/>
    <w:rsid w:val="00B57944"/>
    <w:rsid w:val="00B602BC"/>
    <w:rsid w:val="00B60932"/>
    <w:rsid w:val="00B60937"/>
    <w:rsid w:val="00B61658"/>
    <w:rsid w:val="00B616D2"/>
    <w:rsid w:val="00B6285C"/>
    <w:rsid w:val="00B62B33"/>
    <w:rsid w:val="00B63F61"/>
    <w:rsid w:val="00B6411F"/>
    <w:rsid w:val="00B64564"/>
    <w:rsid w:val="00B64639"/>
    <w:rsid w:val="00B64817"/>
    <w:rsid w:val="00B661E0"/>
    <w:rsid w:val="00B6675E"/>
    <w:rsid w:val="00B66861"/>
    <w:rsid w:val="00B677FF"/>
    <w:rsid w:val="00B6789D"/>
    <w:rsid w:val="00B67B4C"/>
    <w:rsid w:val="00B67E5F"/>
    <w:rsid w:val="00B700DA"/>
    <w:rsid w:val="00B705A7"/>
    <w:rsid w:val="00B70614"/>
    <w:rsid w:val="00B70D2D"/>
    <w:rsid w:val="00B71251"/>
    <w:rsid w:val="00B712AB"/>
    <w:rsid w:val="00B71355"/>
    <w:rsid w:val="00B71C55"/>
    <w:rsid w:val="00B72F32"/>
    <w:rsid w:val="00B734DD"/>
    <w:rsid w:val="00B74499"/>
    <w:rsid w:val="00B74EFD"/>
    <w:rsid w:val="00B757CE"/>
    <w:rsid w:val="00B757E2"/>
    <w:rsid w:val="00B75F55"/>
    <w:rsid w:val="00B7608E"/>
    <w:rsid w:val="00B7611E"/>
    <w:rsid w:val="00B76BCA"/>
    <w:rsid w:val="00B76D5E"/>
    <w:rsid w:val="00B77023"/>
    <w:rsid w:val="00B77448"/>
    <w:rsid w:val="00B802EF"/>
    <w:rsid w:val="00B81B0E"/>
    <w:rsid w:val="00B81CBA"/>
    <w:rsid w:val="00B820D0"/>
    <w:rsid w:val="00B8292A"/>
    <w:rsid w:val="00B82D29"/>
    <w:rsid w:val="00B82D4E"/>
    <w:rsid w:val="00B836CD"/>
    <w:rsid w:val="00B836DA"/>
    <w:rsid w:val="00B83869"/>
    <w:rsid w:val="00B83AC4"/>
    <w:rsid w:val="00B83D2A"/>
    <w:rsid w:val="00B849C4"/>
    <w:rsid w:val="00B8507C"/>
    <w:rsid w:val="00B8563D"/>
    <w:rsid w:val="00B85773"/>
    <w:rsid w:val="00B85B3F"/>
    <w:rsid w:val="00B85C18"/>
    <w:rsid w:val="00B85F67"/>
    <w:rsid w:val="00B86432"/>
    <w:rsid w:val="00B869BA"/>
    <w:rsid w:val="00B87126"/>
    <w:rsid w:val="00B873B5"/>
    <w:rsid w:val="00B908F5"/>
    <w:rsid w:val="00B91906"/>
    <w:rsid w:val="00B91F2D"/>
    <w:rsid w:val="00B92F29"/>
    <w:rsid w:val="00B9411F"/>
    <w:rsid w:val="00B9432B"/>
    <w:rsid w:val="00B9436D"/>
    <w:rsid w:val="00B94774"/>
    <w:rsid w:val="00B94AE0"/>
    <w:rsid w:val="00B94BDC"/>
    <w:rsid w:val="00B95475"/>
    <w:rsid w:val="00B95997"/>
    <w:rsid w:val="00B96287"/>
    <w:rsid w:val="00B9655D"/>
    <w:rsid w:val="00B96575"/>
    <w:rsid w:val="00B96D64"/>
    <w:rsid w:val="00B97E81"/>
    <w:rsid w:val="00BA0329"/>
    <w:rsid w:val="00BA1456"/>
    <w:rsid w:val="00BA1804"/>
    <w:rsid w:val="00BA1CE8"/>
    <w:rsid w:val="00BA1EA3"/>
    <w:rsid w:val="00BA25CE"/>
    <w:rsid w:val="00BA3660"/>
    <w:rsid w:val="00BA4084"/>
    <w:rsid w:val="00BA482B"/>
    <w:rsid w:val="00BA4F8C"/>
    <w:rsid w:val="00BA54DE"/>
    <w:rsid w:val="00BA5DB0"/>
    <w:rsid w:val="00BA610A"/>
    <w:rsid w:val="00BA6510"/>
    <w:rsid w:val="00BA70DA"/>
    <w:rsid w:val="00BA74BA"/>
    <w:rsid w:val="00BB0765"/>
    <w:rsid w:val="00BB0D72"/>
    <w:rsid w:val="00BB2637"/>
    <w:rsid w:val="00BB2694"/>
    <w:rsid w:val="00BB2B37"/>
    <w:rsid w:val="00BB2E06"/>
    <w:rsid w:val="00BB2F32"/>
    <w:rsid w:val="00BB32AF"/>
    <w:rsid w:val="00BB4463"/>
    <w:rsid w:val="00BB4754"/>
    <w:rsid w:val="00BB4AF9"/>
    <w:rsid w:val="00BB5E39"/>
    <w:rsid w:val="00BB5F02"/>
    <w:rsid w:val="00BB7446"/>
    <w:rsid w:val="00BB7867"/>
    <w:rsid w:val="00BB7A2F"/>
    <w:rsid w:val="00BB7D3A"/>
    <w:rsid w:val="00BB7FD3"/>
    <w:rsid w:val="00BC0971"/>
    <w:rsid w:val="00BC0A78"/>
    <w:rsid w:val="00BC0DDD"/>
    <w:rsid w:val="00BC0E7C"/>
    <w:rsid w:val="00BC21D4"/>
    <w:rsid w:val="00BC2F77"/>
    <w:rsid w:val="00BC305E"/>
    <w:rsid w:val="00BC3137"/>
    <w:rsid w:val="00BC31C0"/>
    <w:rsid w:val="00BC32D6"/>
    <w:rsid w:val="00BC35B0"/>
    <w:rsid w:val="00BC4233"/>
    <w:rsid w:val="00BC470B"/>
    <w:rsid w:val="00BC48FC"/>
    <w:rsid w:val="00BC49FD"/>
    <w:rsid w:val="00BC4E99"/>
    <w:rsid w:val="00BC5027"/>
    <w:rsid w:val="00BC51DE"/>
    <w:rsid w:val="00BC520E"/>
    <w:rsid w:val="00BC5A5B"/>
    <w:rsid w:val="00BC5FF7"/>
    <w:rsid w:val="00BC6284"/>
    <w:rsid w:val="00BC62F9"/>
    <w:rsid w:val="00BC641F"/>
    <w:rsid w:val="00BD0A78"/>
    <w:rsid w:val="00BD0CE4"/>
    <w:rsid w:val="00BD0E36"/>
    <w:rsid w:val="00BD0F85"/>
    <w:rsid w:val="00BD1099"/>
    <w:rsid w:val="00BD10C2"/>
    <w:rsid w:val="00BD15CF"/>
    <w:rsid w:val="00BD21DC"/>
    <w:rsid w:val="00BD24C8"/>
    <w:rsid w:val="00BD2670"/>
    <w:rsid w:val="00BD29D8"/>
    <w:rsid w:val="00BD2B41"/>
    <w:rsid w:val="00BD3E03"/>
    <w:rsid w:val="00BD4E6C"/>
    <w:rsid w:val="00BD4EE2"/>
    <w:rsid w:val="00BD4F57"/>
    <w:rsid w:val="00BD533B"/>
    <w:rsid w:val="00BD55CE"/>
    <w:rsid w:val="00BD5D2D"/>
    <w:rsid w:val="00BD5ED8"/>
    <w:rsid w:val="00BD61AD"/>
    <w:rsid w:val="00BD6950"/>
    <w:rsid w:val="00BD6D8D"/>
    <w:rsid w:val="00BD6D8F"/>
    <w:rsid w:val="00BD6DD9"/>
    <w:rsid w:val="00BD70A1"/>
    <w:rsid w:val="00BD76A7"/>
    <w:rsid w:val="00BD7FF9"/>
    <w:rsid w:val="00BE0004"/>
    <w:rsid w:val="00BE0209"/>
    <w:rsid w:val="00BE1EA2"/>
    <w:rsid w:val="00BE2354"/>
    <w:rsid w:val="00BE235B"/>
    <w:rsid w:val="00BE3B44"/>
    <w:rsid w:val="00BE4843"/>
    <w:rsid w:val="00BE4A55"/>
    <w:rsid w:val="00BE4BC5"/>
    <w:rsid w:val="00BE5303"/>
    <w:rsid w:val="00BE58F2"/>
    <w:rsid w:val="00BE5DAD"/>
    <w:rsid w:val="00BE622C"/>
    <w:rsid w:val="00BE650D"/>
    <w:rsid w:val="00BE7867"/>
    <w:rsid w:val="00BE7FF8"/>
    <w:rsid w:val="00BF01DE"/>
    <w:rsid w:val="00BF057E"/>
    <w:rsid w:val="00BF0CD1"/>
    <w:rsid w:val="00BF1BD3"/>
    <w:rsid w:val="00BF1EC3"/>
    <w:rsid w:val="00BF2A10"/>
    <w:rsid w:val="00BF418C"/>
    <w:rsid w:val="00BF429B"/>
    <w:rsid w:val="00BF4713"/>
    <w:rsid w:val="00BF4ED6"/>
    <w:rsid w:val="00BF5116"/>
    <w:rsid w:val="00BF524E"/>
    <w:rsid w:val="00BF52E0"/>
    <w:rsid w:val="00BF5928"/>
    <w:rsid w:val="00BF5A09"/>
    <w:rsid w:val="00BF6B96"/>
    <w:rsid w:val="00C001C1"/>
    <w:rsid w:val="00C01378"/>
    <w:rsid w:val="00C01AF6"/>
    <w:rsid w:val="00C01E28"/>
    <w:rsid w:val="00C027F9"/>
    <w:rsid w:val="00C0314A"/>
    <w:rsid w:val="00C03238"/>
    <w:rsid w:val="00C03528"/>
    <w:rsid w:val="00C0388A"/>
    <w:rsid w:val="00C04549"/>
    <w:rsid w:val="00C04B89"/>
    <w:rsid w:val="00C05677"/>
    <w:rsid w:val="00C05995"/>
    <w:rsid w:val="00C05DF1"/>
    <w:rsid w:val="00C06188"/>
    <w:rsid w:val="00C0660C"/>
    <w:rsid w:val="00C06D80"/>
    <w:rsid w:val="00C0718C"/>
    <w:rsid w:val="00C102D0"/>
    <w:rsid w:val="00C1046B"/>
    <w:rsid w:val="00C11381"/>
    <w:rsid w:val="00C120B7"/>
    <w:rsid w:val="00C1224F"/>
    <w:rsid w:val="00C125AB"/>
    <w:rsid w:val="00C134EC"/>
    <w:rsid w:val="00C13789"/>
    <w:rsid w:val="00C13B2E"/>
    <w:rsid w:val="00C13DD1"/>
    <w:rsid w:val="00C14BE7"/>
    <w:rsid w:val="00C15261"/>
    <w:rsid w:val="00C154AC"/>
    <w:rsid w:val="00C15638"/>
    <w:rsid w:val="00C159C7"/>
    <w:rsid w:val="00C15A59"/>
    <w:rsid w:val="00C16729"/>
    <w:rsid w:val="00C17BF6"/>
    <w:rsid w:val="00C17C45"/>
    <w:rsid w:val="00C17DC9"/>
    <w:rsid w:val="00C203D9"/>
    <w:rsid w:val="00C20417"/>
    <w:rsid w:val="00C20664"/>
    <w:rsid w:val="00C213CB"/>
    <w:rsid w:val="00C21493"/>
    <w:rsid w:val="00C21B95"/>
    <w:rsid w:val="00C22299"/>
    <w:rsid w:val="00C22A1A"/>
    <w:rsid w:val="00C22A76"/>
    <w:rsid w:val="00C231BC"/>
    <w:rsid w:val="00C23E1D"/>
    <w:rsid w:val="00C23ECA"/>
    <w:rsid w:val="00C24290"/>
    <w:rsid w:val="00C24B9A"/>
    <w:rsid w:val="00C24BAA"/>
    <w:rsid w:val="00C251F0"/>
    <w:rsid w:val="00C2522C"/>
    <w:rsid w:val="00C260B0"/>
    <w:rsid w:val="00C2692F"/>
    <w:rsid w:val="00C26CAC"/>
    <w:rsid w:val="00C26E69"/>
    <w:rsid w:val="00C273C2"/>
    <w:rsid w:val="00C27E5E"/>
    <w:rsid w:val="00C31136"/>
    <w:rsid w:val="00C319E3"/>
    <w:rsid w:val="00C31DC3"/>
    <w:rsid w:val="00C325D0"/>
    <w:rsid w:val="00C32730"/>
    <w:rsid w:val="00C32A51"/>
    <w:rsid w:val="00C32A8D"/>
    <w:rsid w:val="00C33453"/>
    <w:rsid w:val="00C3388C"/>
    <w:rsid w:val="00C34AB3"/>
    <w:rsid w:val="00C35434"/>
    <w:rsid w:val="00C35DFD"/>
    <w:rsid w:val="00C366D8"/>
    <w:rsid w:val="00C36A22"/>
    <w:rsid w:val="00C36B41"/>
    <w:rsid w:val="00C36FBA"/>
    <w:rsid w:val="00C37DCB"/>
    <w:rsid w:val="00C37F73"/>
    <w:rsid w:val="00C400A4"/>
    <w:rsid w:val="00C4074C"/>
    <w:rsid w:val="00C40C01"/>
    <w:rsid w:val="00C40F67"/>
    <w:rsid w:val="00C41034"/>
    <w:rsid w:val="00C410BB"/>
    <w:rsid w:val="00C423AB"/>
    <w:rsid w:val="00C423B1"/>
    <w:rsid w:val="00C4280B"/>
    <w:rsid w:val="00C42B57"/>
    <w:rsid w:val="00C4367E"/>
    <w:rsid w:val="00C43ED4"/>
    <w:rsid w:val="00C442C6"/>
    <w:rsid w:val="00C452A6"/>
    <w:rsid w:val="00C45F14"/>
    <w:rsid w:val="00C4611E"/>
    <w:rsid w:val="00C469D7"/>
    <w:rsid w:val="00C472D3"/>
    <w:rsid w:val="00C477FA"/>
    <w:rsid w:val="00C47805"/>
    <w:rsid w:val="00C47948"/>
    <w:rsid w:val="00C479EB"/>
    <w:rsid w:val="00C47E38"/>
    <w:rsid w:val="00C51496"/>
    <w:rsid w:val="00C516A7"/>
    <w:rsid w:val="00C51CE6"/>
    <w:rsid w:val="00C51FBA"/>
    <w:rsid w:val="00C52080"/>
    <w:rsid w:val="00C52D25"/>
    <w:rsid w:val="00C53815"/>
    <w:rsid w:val="00C53EBD"/>
    <w:rsid w:val="00C5452A"/>
    <w:rsid w:val="00C54531"/>
    <w:rsid w:val="00C55450"/>
    <w:rsid w:val="00C55C17"/>
    <w:rsid w:val="00C56F96"/>
    <w:rsid w:val="00C5797D"/>
    <w:rsid w:val="00C57AEB"/>
    <w:rsid w:val="00C57F97"/>
    <w:rsid w:val="00C605C8"/>
    <w:rsid w:val="00C60775"/>
    <w:rsid w:val="00C611CD"/>
    <w:rsid w:val="00C6162A"/>
    <w:rsid w:val="00C61833"/>
    <w:rsid w:val="00C618B3"/>
    <w:rsid w:val="00C618DE"/>
    <w:rsid w:val="00C61F31"/>
    <w:rsid w:val="00C627C9"/>
    <w:rsid w:val="00C62F5E"/>
    <w:rsid w:val="00C6352A"/>
    <w:rsid w:val="00C64356"/>
    <w:rsid w:val="00C64581"/>
    <w:rsid w:val="00C64BEA"/>
    <w:rsid w:val="00C658D3"/>
    <w:rsid w:val="00C66B8A"/>
    <w:rsid w:val="00C66C61"/>
    <w:rsid w:val="00C66C9D"/>
    <w:rsid w:val="00C672D3"/>
    <w:rsid w:val="00C6737F"/>
    <w:rsid w:val="00C67531"/>
    <w:rsid w:val="00C67631"/>
    <w:rsid w:val="00C676A9"/>
    <w:rsid w:val="00C67DE9"/>
    <w:rsid w:val="00C700D5"/>
    <w:rsid w:val="00C70FB0"/>
    <w:rsid w:val="00C7119B"/>
    <w:rsid w:val="00C71424"/>
    <w:rsid w:val="00C7145A"/>
    <w:rsid w:val="00C71726"/>
    <w:rsid w:val="00C71CB6"/>
    <w:rsid w:val="00C72063"/>
    <w:rsid w:val="00C727DE"/>
    <w:rsid w:val="00C72AEA"/>
    <w:rsid w:val="00C72CF8"/>
    <w:rsid w:val="00C7304B"/>
    <w:rsid w:val="00C73073"/>
    <w:rsid w:val="00C73800"/>
    <w:rsid w:val="00C73993"/>
    <w:rsid w:val="00C746D3"/>
    <w:rsid w:val="00C7567C"/>
    <w:rsid w:val="00C759C4"/>
    <w:rsid w:val="00C759FF"/>
    <w:rsid w:val="00C75BE5"/>
    <w:rsid w:val="00C760CA"/>
    <w:rsid w:val="00C760E1"/>
    <w:rsid w:val="00C76243"/>
    <w:rsid w:val="00C76405"/>
    <w:rsid w:val="00C76536"/>
    <w:rsid w:val="00C76B40"/>
    <w:rsid w:val="00C77568"/>
    <w:rsid w:val="00C77E0E"/>
    <w:rsid w:val="00C8035F"/>
    <w:rsid w:val="00C80DD1"/>
    <w:rsid w:val="00C80FCC"/>
    <w:rsid w:val="00C820E1"/>
    <w:rsid w:val="00C830A5"/>
    <w:rsid w:val="00C83AE0"/>
    <w:rsid w:val="00C83FCF"/>
    <w:rsid w:val="00C84351"/>
    <w:rsid w:val="00C8465C"/>
    <w:rsid w:val="00C85095"/>
    <w:rsid w:val="00C851A9"/>
    <w:rsid w:val="00C8689B"/>
    <w:rsid w:val="00C86D85"/>
    <w:rsid w:val="00C87D50"/>
    <w:rsid w:val="00C9041A"/>
    <w:rsid w:val="00C90516"/>
    <w:rsid w:val="00C90959"/>
    <w:rsid w:val="00C90D9E"/>
    <w:rsid w:val="00C919DE"/>
    <w:rsid w:val="00C91FFF"/>
    <w:rsid w:val="00C92332"/>
    <w:rsid w:val="00C925AE"/>
    <w:rsid w:val="00C932AB"/>
    <w:rsid w:val="00C93B16"/>
    <w:rsid w:val="00C94455"/>
    <w:rsid w:val="00C95101"/>
    <w:rsid w:val="00C95759"/>
    <w:rsid w:val="00C95CEF"/>
    <w:rsid w:val="00C960F7"/>
    <w:rsid w:val="00C967DB"/>
    <w:rsid w:val="00C969C0"/>
    <w:rsid w:val="00C969EE"/>
    <w:rsid w:val="00C96BCD"/>
    <w:rsid w:val="00C97735"/>
    <w:rsid w:val="00CA07C3"/>
    <w:rsid w:val="00CA07D6"/>
    <w:rsid w:val="00CA136D"/>
    <w:rsid w:val="00CA13A0"/>
    <w:rsid w:val="00CA176B"/>
    <w:rsid w:val="00CA2852"/>
    <w:rsid w:val="00CA2A83"/>
    <w:rsid w:val="00CA378B"/>
    <w:rsid w:val="00CA3B7C"/>
    <w:rsid w:val="00CA3DC5"/>
    <w:rsid w:val="00CA41B5"/>
    <w:rsid w:val="00CA4703"/>
    <w:rsid w:val="00CA4A4C"/>
    <w:rsid w:val="00CA4F2D"/>
    <w:rsid w:val="00CA505B"/>
    <w:rsid w:val="00CA5550"/>
    <w:rsid w:val="00CA578E"/>
    <w:rsid w:val="00CA633B"/>
    <w:rsid w:val="00CA64ED"/>
    <w:rsid w:val="00CA6CDF"/>
    <w:rsid w:val="00CA6DA4"/>
    <w:rsid w:val="00CA716A"/>
    <w:rsid w:val="00CA7F43"/>
    <w:rsid w:val="00CB0977"/>
    <w:rsid w:val="00CB0F02"/>
    <w:rsid w:val="00CB1DE1"/>
    <w:rsid w:val="00CB2123"/>
    <w:rsid w:val="00CB2EB4"/>
    <w:rsid w:val="00CB4128"/>
    <w:rsid w:val="00CB4780"/>
    <w:rsid w:val="00CB5268"/>
    <w:rsid w:val="00CB535D"/>
    <w:rsid w:val="00CB5493"/>
    <w:rsid w:val="00CB6359"/>
    <w:rsid w:val="00CB63BF"/>
    <w:rsid w:val="00CB6706"/>
    <w:rsid w:val="00CB6838"/>
    <w:rsid w:val="00CB733F"/>
    <w:rsid w:val="00CB7848"/>
    <w:rsid w:val="00CC0190"/>
    <w:rsid w:val="00CC055F"/>
    <w:rsid w:val="00CC088A"/>
    <w:rsid w:val="00CC0EE3"/>
    <w:rsid w:val="00CC104C"/>
    <w:rsid w:val="00CC13E0"/>
    <w:rsid w:val="00CC14C1"/>
    <w:rsid w:val="00CC1BD5"/>
    <w:rsid w:val="00CC285B"/>
    <w:rsid w:val="00CC2AA6"/>
    <w:rsid w:val="00CC2D6F"/>
    <w:rsid w:val="00CC36CC"/>
    <w:rsid w:val="00CC37BD"/>
    <w:rsid w:val="00CC406D"/>
    <w:rsid w:val="00CC478F"/>
    <w:rsid w:val="00CC5083"/>
    <w:rsid w:val="00CC58A1"/>
    <w:rsid w:val="00CC6336"/>
    <w:rsid w:val="00CC6AF3"/>
    <w:rsid w:val="00CC6C75"/>
    <w:rsid w:val="00CC6CA6"/>
    <w:rsid w:val="00CC712E"/>
    <w:rsid w:val="00CC7953"/>
    <w:rsid w:val="00CC7CF1"/>
    <w:rsid w:val="00CC7FB8"/>
    <w:rsid w:val="00CD06EB"/>
    <w:rsid w:val="00CD06F0"/>
    <w:rsid w:val="00CD0918"/>
    <w:rsid w:val="00CD09B9"/>
    <w:rsid w:val="00CD0E24"/>
    <w:rsid w:val="00CD17ED"/>
    <w:rsid w:val="00CD1B72"/>
    <w:rsid w:val="00CD210F"/>
    <w:rsid w:val="00CD29C4"/>
    <w:rsid w:val="00CD2E08"/>
    <w:rsid w:val="00CD384E"/>
    <w:rsid w:val="00CD425B"/>
    <w:rsid w:val="00CD440B"/>
    <w:rsid w:val="00CD4B47"/>
    <w:rsid w:val="00CD4CAE"/>
    <w:rsid w:val="00CD5CF9"/>
    <w:rsid w:val="00CD6688"/>
    <w:rsid w:val="00CD79FF"/>
    <w:rsid w:val="00CD7C7B"/>
    <w:rsid w:val="00CE15E9"/>
    <w:rsid w:val="00CE1D66"/>
    <w:rsid w:val="00CE1FCA"/>
    <w:rsid w:val="00CE29C2"/>
    <w:rsid w:val="00CE3274"/>
    <w:rsid w:val="00CE42F3"/>
    <w:rsid w:val="00CE45B8"/>
    <w:rsid w:val="00CE59B1"/>
    <w:rsid w:val="00CE5DC8"/>
    <w:rsid w:val="00CE5F9E"/>
    <w:rsid w:val="00CE6240"/>
    <w:rsid w:val="00CE69DC"/>
    <w:rsid w:val="00CE6BC1"/>
    <w:rsid w:val="00CE711F"/>
    <w:rsid w:val="00CE752C"/>
    <w:rsid w:val="00CF09AC"/>
    <w:rsid w:val="00CF0B38"/>
    <w:rsid w:val="00CF0C02"/>
    <w:rsid w:val="00CF1417"/>
    <w:rsid w:val="00CF20E6"/>
    <w:rsid w:val="00CF2445"/>
    <w:rsid w:val="00CF28E1"/>
    <w:rsid w:val="00CF318E"/>
    <w:rsid w:val="00CF3439"/>
    <w:rsid w:val="00CF37E1"/>
    <w:rsid w:val="00CF3FF6"/>
    <w:rsid w:val="00CF5797"/>
    <w:rsid w:val="00CF58A3"/>
    <w:rsid w:val="00CF5999"/>
    <w:rsid w:val="00CF7314"/>
    <w:rsid w:val="00CF7DEC"/>
    <w:rsid w:val="00D003CB"/>
    <w:rsid w:val="00D00D7C"/>
    <w:rsid w:val="00D00FBC"/>
    <w:rsid w:val="00D0135B"/>
    <w:rsid w:val="00D01EBE"/>
    <w:rsid w:val="00D01F97"/>
    <w:rsid w:val="00D0204B"/>
    <w:rsid w:val="00D02769"/>
    <w:rsid w:val="00D02FE0"/>
    <w:rsid w:val="00D045DF"/>
    <w:rsid w:val="00D04613"/>
    <w:rsid w:val="00D05036"/>
    <w:rsid w:val="00D054C3"/>
    <w:rsid w:val="00D057A2"/>
    <w:rsid w:val="00D06868"/>
    <w:rsid w:val="00D068E6"/>
    <w:rsid w:val="00D10385"/>
    <w:rsid w:val="00D107D2"/>
    <w:rsid w:val="00D119A3"/>
    <w:rsid w:val="00D11FC7"/>
    <w:rsid w:val="00D120BC"/>
    <w:rsid w:val="00D124E2"/>
    <w:rsid w:val="00D129D0"/>
    <w:rsid w:val="00D13792"/>
    <w:rsid w:val="00D14120"/>
    <w:rsid w:val="00D14201"/>
    <w:rsid w:val="00D14604"/>
    <w:rsid w:val="00D1489D"/>
    <w:rsid w:val="00D149F7"/>
    <w:rsid w:val="00D14A69"/>
    <w:rsid w:val="00D1529B"/>
    <w:rsid w:val="00D1540C"/>
    <w:rsid w:val="00D160A5"/>
    <w:rsid w:val="00D16789"/>
    <w:rsid w:val="00D16B53"/>
    <w:rsid w:val="00D16CF6"/>
    <w:rsid w:val="00D1715E"/>
    <w:rsid w:val="00D173BB"/>
    <w:rsid w:val="00D174CE"/>
    <w:rsid w:val="00D174EE"/>
    <w:rsid w:val="00D1752A"/>
    <w:rsid w:val="00D17E01"/>
    <w:rsid w:val="00D20A48"/>
    <w:rsid w:val="00D20CE5"/>
    <w:rsid w:val="00D210B6"/>
    <w:rsid w:val="00D21A03"/>
    <w:rsid w:val="00D21F11"/>
    <w:rsid w:val="00D220AA"/>
    <w:rsid w:val="00D224EA"/>
    <w:rsid w:val="00D2269A"/>
    <w:rsid w:val="00D2361D"/>
    <w:rsid w:val="00D23BE1"/>
    <w:rsid w:val="00D25046"/>
    <w:rsid w:val="00D2527B"/>
    <w:rsid w:val="00D25A78"/>
    <w:rsid w:val="00D25E24"/>
    <w:rsid w:val="00D26361"/>
    <w:rsid w:val="00D2640E"/>
    <w:rsid w:val="00D27A6E"/>
    <w:rsid w:val="00D3018E"/>
    <w:rsid w:val="00D310E2"/>
    <w:rsid w:val="00D31C38"/>
    <w:rsid w:val="00D321A2"/>
    <w:rsid w:val="00D32B0A"/>
    <w:rsid w:val="00D33207"/>
    <w:rsid w:val="00D33AA9"/>
    <w:rsid w:val="00D33FF3"/>
    <w:rsid w:val="00D340E4"/>
    <w:rsid w:val="00D34454"/>
    <w:rsid w:val="00D3523B"/>
    <w:rsid w:val="00D36008"/>
    <w:rsid w:val="00D3600F"/>
    <w:rsid w:val="00D36130"/>
    <w:rsid w:val="00D368EE"/>
    <w:rsid w:val="00D369AB"/>
    <w:rsid w:val="00D37672"/>
    <w:rsid w:val="00D376F0"/>
    <w:rsid w:val="00D406EB"/>
    <w:rsid w:val="00D40A17"/>
    <w:rsid w:val="00D40A59"/>
    <w:rsid w:val="00D40ABA"/>
    <w:rsid w:val="00D40B3C"/>
    <w:rsid w:val="00D425C8"/>
    <w:rsid w:val="00D426D0"/>
    <w:rsid w:val="00D42C16"/>
    <w:rsid w:val="00D42D32"/>
    <w:rsid w:val="00D42DAD"/>
    <w:rsid w:val="00D43A42"/>
    <w:rsid w:val="00D43D2B"/>
    <w:rsid w:val="00D44DE6"/>
    <w:rsid w:val="00D46861"/>
    <w:rsid w:val="00D46C73"/>
    <w:rsid w:val="00D46CE5"/>
    <w:rsid w:val="00D47945"/>
    <w:rsid w:val="00D50AD1"/>
    <w:rsid w:val="00D50E81"/>
    <w:rsid w:val="00D50FA9"/>
    <w:rsid w:val="00D513B3"/>
    <w:rsid w:val="00D515B1"/>
    <w:rsid w:val="00D5240B"/>
    <w:rsid w:val="00D53517"/>
    <w:rsid w:val="00D53571"/>
    <w:rsid w:val="00D53710"/>
    <w:rsid w:val="00D5386F"/>
    <w:rsid w:val="00D53F96"/>
    <w:rsid w:val="00D547AF"/>
    <w:rsid w:val="00D54C80"/>
    <w:rsid w:val="00D5538B"/>
    <w:rsid w:val="00D556A3"/>
    <w:rsid w:val="00D55A4E"/>
    <w:rsid w:val="00D55F2F"/>
    <w:rsid w:val="00D565EC"/>
    <w:rsid w:val="00D577C0"/>
    <w:rsid w:val="00D60210"/>
    <w:rsid w:val="00D609A9"/>
    <w:rsid w:val="00D60C98"/>
    <w:rsid w:val="00D6135C"/>
    <w:rsid w:val="00D6141B"/>
    <w:rsid w:val="00D61433"/>
    <w:rsid w:val="00D6185A"/>
    <w:rsid w:val="00D61932"/>
    <w:rsid w:val="00D61ADB"/>
    <w:rsid w:val="00D61CED"/>
    <w:rsid w:val="00D62072"/>
    <w:rsid w:val="00D636B7"/>
    <w:rsid w:val="00D643DE"/>
    <w:rsid w:val="00D647BD"/>
    <w:rsid w:val="00D6490B"/>
    <w:rsid w:val="00D652CC"/>
    <w:rsid w:val="00D652D7"/>
    <w:rsid w:val="00D65CC5"/>
    <w:rsid w:val="00D65E74"/>
    <w:rsid w:val="00D70DE6"/>
    <w:rsid w:val="00D710CB"/>
    <w:rsid w:val="00D7120E"/>
    <w:rsid w:val="00D71234"/>
    <w:rsid w:val="00D7150D"/>
    <w:rsid w:val="00D71B38"/>
    <w:rsid w:val="00D72462"/>
    <w:rsid w:val="00D72537"/>
    <w:rsid w:val="00D72997"/>
    <w:rsid w:val="00D73A64"/>
    <w:rsid w:val="00D73BA8"/>
    <w:rsid w:val="00D74068"/>
    <w:rsid w:val="00D74757"/>
    <w:rsid w:val="00D74ACB"/>
    <w:rsid w:val="00D74ACD"/>
    <w:rsid w:val="00D74D61"/>
    <w:rsid w:val="00D750AA"/>
    <w:rsid w:val="00D758EB"/>
    <w:rsid w:val="00D759F3"/>
    <w:rsid w:val="00D75B5E"/>
    <w:rsid w:val="00D75F49"/>
    <w:rsid w:val="00D777C0"/>
    <w:rsid w:val="00D77A20"/>
    <w:rsid w:val="00D77A53"/>
    <w:rsid w:val="00D77C2F"/>
    <w:rsid w:val="00D802A6"/>
    <w:rsid w:val="00D8031F"/>
    <w:rsid w:val="00D808AC"/>
    <w:rsid w:val="00D8191B"/>
    <w:rsid w:val="00D83A0A"/>
    <w:rsid w:val="00D83E3F"/>
    <w:rsid w:val="00D84330"/>
    <w:rsid w:val="00D84350"/>
    <w:rsid w:val="00D846F0"/>
    <w:rsid w:val="00D84F7C"/>
    <w:rsid w:val="00D85893"/>
    <w:rsid w:val="00D8696E"/>
    <w:rsid w:val="00D86A0F"/>
    <w:rsid w:val="00D86F52"/>
    <w:rsid w:val="00D87319"/>
    <w:rsid w:val="00D87F8E"/>
    <w:rsid w:val="00D904F2"/>
    <w:rsid w:val="00D90614"/>
    <w:rsid w:val="00D90CE7"/>
    <w:rsid w:val="00D90F1E"/>
    <w:rsid w:val="00D927CA"/>
    <w:rsid w:val="00D92B84"/>
    <w:rsid w:val="00D92FB5"/>
    <w:rsid w:val="00D93A01"/>
    <w:rsid w:val="00D93CAD"/>
    <w:rsid w:val="00D93E79"/>
    <w:rsid w:val="00D94080"/>
    <w:rsid w:val="00D943F4"/>
    <w:rsid w:val="00D94445"/>
    <w:rsid w:val="00D949A3"/>
    <w:rsid w:val="00D9555C"/>
    <w:rsid w:val="00D95EED"/>
    <w:rsid w:val="00D96072"/>
    <w:rsid w:val="00D96374"/>
    <w:rsid w:val="00D97F06"/>
    <w:rsid w:val="00D97F75"/>
    <w:rsid w:val="00DA0416"/>
    <w:rsid w:val="00DA1042"/>
    <w:rsid w:val="00DA1140"/>
    <w:rsid w:val="00DA1D42"/>
    <w:rsid w:val="00DA1E61"/>
    <w:rsid w:val="00DA21AD"/>
    <w:rsid w:val="00DA21C6"/>
    <w:rsid w:val="00DA256C"/>
    <w:rsid w:val="00DA3E7B"/>
    <w:rsid w:val="00DA46D8"/>
    <w:rsid w:val="00DA47C2"/>
    <w:rsid w:val="00DA4C0E"/>
    <w:rsid w:val="00DA5087"/>
    <w:rsid w:val="00DA508A"/>
    <w:rsid w:val="00DA5CB9"/>
    <w:rsid w:val="00DA6B2A"/>
    <w:rsid w:val="00DA70B4"/>
    <w:rsid w:val="00DA7154"/>
    <w:rsid w:val="00DA7E94"/>
    <w:rsid w:val="00DB023A"/>
    <w:rsid w:val="00DB10A9"/>
    <w:rsid w:val="00DB15CF"/>
    <w:rsid w:val="00DB1DDD"/>
    <w:rsid w:val="00DB2930"/>
    <w:rsid w:val="00DB2CDC"/>
    <w:rsid w:val="00DB3021"/>
    <w:rsid w:val="00DB42C3"/>
    <w:rsid w:val="00DB4BFA"/>
    <w:rsid w:val="00DB4F16"/>
    <w:rsid w:val="00DB5529"/>
    <w:rsid w:val="00DB5C31"/>
    <w:rsid w:val="00DB5C9C"/>
    <w:rsid w:val="00DB6346"/>
    <w:rsid w:val="00DB6650"/>
    <w:rsid w:val="00DB7B1D"/>
    <w:rsid w:val="00DC06BB"/>
    <w:rsid w:val="00DC0E09"/>
    <w:rsid w:val="00DC13B3"/>
    <w:rsid w:val="00DC1766"/>
    <w:rsid w:val="00DC19D8"/>
    <w:rsid w:val="00DC1AA9"/>
    <w:rsid w:val="00DC1B28"/>
    <w:rsid w:val="00DC1CC6"/>
    <w:rsid w:val="00DC2337"/>
    <w:rsid w:val="00DC2779"/>
    <w:rsid w:val="00DC3C7C"/>
    <w:rsid w:val="00DC4177"/>
    <w:rsid w:val="00DC4D8E"/>
    <w:rsid w:val="00DC54D9"/>
    <w:rsid w:val="00DC5725"/>
    <w:rsid w:val="00DC59B6"/>
    <w:rsid w:val="00DC59FC"/>
    <w:rsid w:val="00DC621A"/>
    <w:rsid w:val="00DC6BA8"/>
    <w:rsid w:val="00DC7268"/>
    <w:rsid w:val="00DC72C0"/>
    <w:rsid w:val="00DC7EAC"/>
    <w:rsid w:val="00DD030E"/>
    <w:rsid w:val="00DD084D"/>
    <w:rsid w:val="00DD11B8"/>
    <w:rsid w:val="00DD129B"/>
    <w:rsid w:val="00DD1588"/>
    <w:rsid w:val="00DD1651"/>
    <w:rsid w:val="00DD1657"/>
    <w:rsid w:val="00DD1931"/>
    <w:rsid w:val="00DD196D"/>
    <w:rsid w:val="00DD1C22"/>
    <w:rsid w:val="00DD26D0"/>
    <w:rsid w:val="00DD27C1"/>
    <w:rsid w:val="00DD2FAF"/>
    <w:rsid w:val="00DD31F0"/>
    <w:rsid w:val="00DD33A5"/>
    <w:rsid w:val="00DD3B7C"/>
    <w:rsid w:val="00DD4531"/>
    <w:rsid w:val="00DD5000"/>
    <w:rsid w:val="00DD6880"/>
    <w:rsid w:val="00DD71C4"/>
    <w:rsid w:val="00DD7509"/>
    <w:rsid w:val="00DD7CEC"/>
    <w:rsid w:val="00DE0012"/>
    <w:rsid w:val="00DE012E"/>
    <w:rsid w:val="00DE0337"/>
    <w:rsid w:val="00DE11D4"/>
    <w:rsid w:val="00DE1E3D"/>
    <w:rsid w:val="00DE2006"/>
    <w:rsid w:val="00DE240F"/>
    <w:rsid w:val="00DE355F"/>
    <w:rsid w:val="00DE3563"/>
    <w:rsid w:val="00DE390D"/>
    <w:rsid w:val="00DE46DD"/>
    <w:rsid w:val="00DE4747"/>
    <w:rsid w:val="00DE541A"/>
    <w:rsid w:val="00DE5835"/>
    <w:rsid w:val="00DE5ACA"/>
    <w:rsid w:val="00DE6364"/>
    <w:rsid w:val="00DE6624"/>
    <w:rsid w:val="00DE6DB1"/>
    <w:rsid w:val="00DE6F1C"/>
    <w:rsid w:val="00DE721D"/>
    <w:rsid w:val="00DE7B57"/>
    <w:rsid w:val="00DF0EC3"/>
    <w:rsid w:val="00DF19AE"/>
    <w:rsid w:val="00DF1E7F"/>
    <w:rsid w:val="00DF24CF"/>
    <w:rsid w:val="00DF414C"/>
    <w:rsid w:val="00DF44CA"/>
    <w:rsid w:val="00DF4625"/>
    <w:rsid w:val="00DF4D11"/>
    <w:rsid w:val="00DF512A"/>
    <w:rsid w:val="00DF5168"/>
    <w:rsid w:val="00DF69CC"/>
    <w:rsid w:val="00DF7BEE"/>
    <w:rsid w:val="00DF7C36"/>
    <w:rsid w:val="00E00150"/>
    <w:rsid w:val="00E007DC"/>
    <w:rsid w:val="00E009C9"/>
    <w:rsid w:val="00E00D9A"/>
    <w:rsid w:val="00E01F36"/>
    <w:rsid w:val="00E02865"/>
    <w:rsid w:val="00E028B4"/>
    <w:rsid w:val="00E02F1B"/>
    <w:rsid w:val="00E02F59"/>
    <w:rsid w:val="00E03767"/>
    <w:rsid w:val="00E03A29"/>
    <w:rsid w:val="00E040D9"/>
    <w:rsid w:val="00E04287"/>
    <w:rsid w:val="00E04925"/>
    <w:rsid w:val="00E0528A"/>
    <w:rsid w:val="00E056B5"/>
    <w:rsid w:val="00E0596E"/>
    <w:rsid w:val="00E05CA1"/>
    <w:rsid w:val="00E064F2"/>
    <w:rsid w:val="00E0699C"/>
    <w:rsid w:val="00E071F6"/>
    <w:rsid w:val="00E07435"/>
    <w:rsid w:val="00E0795E"/>
    <w:rsid w:val="00E10155"/>
    <w:rsid w:val="00E1026B"/>
    <w:rsid w:val="00E10EBC"/>
    <w:rsid w:val="00E11483"/>
    <w:rsid w:val="00E11528"/>
    <w:rsid w:val="00E11A3E"/>
    <w:rsid w:val="00E11FDB"/>
    <w:rsid w:val="00E12926"/>
    <w:rsid w:val="00E139EA"/>
    <w:rsid w:val="00E13E00"/>
    <w:rsid w:val="00E14974"/>
    <w:rsid w:val="00E15126"/>
    <w:rsid w:val="00E15280"/>
    <w:rsid w:val="00E153C9"/>
    <w:rsid w:val="00E1541E"/>
    <w:rsid w:val="00E15BF5"/>
    <w:rsid w:val="00E16616"/>
    <w:rsid w:val="00E16DF0"/>
    <w:rsid w:val="00E171CA"/>
    <w:rsid w:val="00E1735A"/>
    <w:rsid w:val="00E17CCB"/>
    <w:rsid w:val="00E200A3"/>
    <w:rsid w:val="00E2112A"/>
    <w:rsid w:val="00E21680"/>
    <w:rsid w:val="00E21D54"/>
    <w:rsid w:val="00E22225"/>
    <w:rsid w:val="00E2295A"/>
    <w:rsid w:val="00E229D9"/>
    <w:rsid w:val="00E22C18"/>
    <w:rsid w:val="00E23145"/>
    <w:rsid w:val="00E23350"/>
    <w:rsid w:val="00E23536"/>
    <w:rsid w:val="00E23764"/>
    <w:rsid w:val="00E23921"/>
    <w:rsid w:val="00E23C1D"/>
    <w:rsid w:val="00E24386"/>
    <w:rsid w:val="00E24B7B"/>
    <w:rsid w:val="00E257F6"/>
    <w:rsid w:val="00E2794B"/>
    <w:rsid w:val="00E3029C"/>
    <w:rsid w:val="00E319BE"/>
    <w:rsid w:val="00E31D54"/>
    <w:rsid w:val="00E3216E"/>
    <w:rsid w:val="00E32248"/>
    <w:rsid w:val="00E32A3A"/>
    <w:rsid w:val="00E32AAE"/>
    <w:rsid w:val="00E33A60"/>
    <w:rsid w:val="00E340F7"/>
    <w:rsid w:val="00E35583"/>
    <w:rsid w:val="00E35B3E"/>
    <w:rsid w:val="00E35DB8"/>
    <w:rsid w:val="00E3648A"/>
    <w:rsid w:val="00E36999"/>
    <w:rsid w:val="00E36DA2"/>
    <w:rsid w:val="00E36EC3"/>
    <w:rsid w:val="00E375CC"/>
    <w:rsid w:val="00E40A71"/>
    <w:rsid w:val="00E4108A"/>
    <w:rsid w:val="00E412BE"/>
    <w:rsid w:val="00E41453"/>
    <w:rsid w:val="00E417D2"/>
    <w:rsid w:val="00E41C97"/>
    <w:rsid w:val="00E420A4"/>
    <w:rsid w:val="00E42BA7"/>
    <w:rsid w:val="00E42D1F"/>
    <w:rsid w:val="00E433E1"/>
    <w:rsid w:val="00E43819"/>
    <w:rsid w:val="00E43B77"/>
    <w:rsid w:val="00E43ED8"/>
    <w:rsid w:val="00E44010"/>
    <w:rsid w:val="00E44841"/>
    <w:rsid w:val="00E44D78"/>
    <w:rsid w:val="00E44F1A"/>
    <w:rsid w:val="00E45487"/>
    <w:rsid w:val="00E45AA4"/>
    <w:rsid w:val="00E46B36"/>
    <w:rsid w:val="00E46C5C"/>
    <w:rsid w:val="00E478C1"/>
    <w:rsid w:val="00E47A06"/>
    <w:rsid w:val="00E50338"/>
    <w:rsid w:val="00E50623"/>
    <w:rsid w:val="00E507B3"/>
    <w:rsid w:val="00E519FE"/>
    <w:rsid w:val="00E51FFF"/>
    <w:rsid w:val="00E520EB"/>
    <w:rsid w:val="00E524DE"/>
    <w:rsid w:val="00E52D4F"/>
    <w:rsid w:val="00E5372F"/>
    <w:rsid w:val="00E546B7"/>
    <w:rsid w:val="00E5485D"/>
    <w:rsid w:val="00E54C51"/>
    <w:rsid w:val="00E5576C"/>
    <w:rsid w:val="00E56BC6"/>
    <w:rsid w:val="00E56C84"/>
    <w:rsid w:val="00E57047"/>
    <w:rsid w:val="00E570B8"/>
    <w:rsid w:val="00E57E9A"/>
    <w:rsid w:val="00E60614"/>
    <w:rsid w:val="00E6089F"/>
    <w:rsid w:val="00E60B8B"/>
    <w:rsid w:val="00E61901"/>
    <w:rsid w:val="00E61930"/>
    <w:rsid w:val="00E61D2F"/>
    <w:rsid w:val="00E62112"/>
    <w:rsid w:val="00E621F0"/>
    <w:rsid w:val="00E62310"/>
    <w:rsid w:val="00E63E30"/>
    <w:rsid w:val="00E640E9"/>
    <w:rsid w:val="00E64FC8"/>
    <w:rsid w:val="00E652C3"/>
    <w:rsid w:val="00E6545F"/>
    <w:rsid w:val="00E65571"/>
    <w:rsid w:val="00E662E9"/>
    <w:rsid w:val="00E66C9E"/>
    <w:rsid w:val="00E66E68"/>
    <w:rsid w:val="00E67393"/>
    <w:rsid w:val="00E67714"/>
    <w:rsid w:val="00E67FA1"/>
    <w:rsid w:val="00E70026"/>
    <w:rsid w:val="00E70821"/>
    <w:rsid w:val="00E72099"/>
    <w:rsid w:val="00E725CB"/>
    <w:rsid w:val="00E73818"/>
    <w:rsid w:val="00E73A70"/>
    <w:rsid w:val="00E73F4F"/>
    <w:rsid w:val="00E7477A"/>
    <w:rsid w:val="00E74976"/>
    <w:rsid w:val="00E74B50"/>
    <w:rsid w:val="00E75451"/>
    <w:rsid w:val="00E757A1"/>
    <w:rsid w:val="00E75982"/>
    <w:rsid w:val="00E75DF4"/>
    <w:rsid w:val="00E75FBC"/>
    <w:rsid w:val="00E7611E"/>
    <w:rsid w:val="00E764C8"/>
    <w:rsid w:val="00E764FA"/>
    <w:rsid w:val="00E7657D"/>
    <w:rsid w:val="00E76BF4"/>
    <w:rsid w:val="00E76F4D"/>
    <w:rsid w:val="00E80384"/>
    <w:rsid w:val="00E80615"/>
    <w:rsid w:val="00E808EA"/>
    <w:rsid w:val="00E80E6A"/>
    <w:rsid w:val="00E80F13"/>
    <w:rsid w:val="00E813DF"/>
    <w:rsid w:val="00E81861"/>
    <w:rsid w:val="00E81A1D"/>
    <w:rsid w:val="00E8203B"/>
    <w:rsid w:val="00E824DE"/>
    <w:rsid w:val="00E825B3"/>
    <w:rsid w:val="00E826D5"/>
    <w:rsid w:val="00E82CE3"/>
    <w:rsid w:val="00E844E5"/>
    <w:rsid w:val="00E84533"/>
    <w:rsid w:val="00E84F86"/>
    <w:rsid w:val="00E854B4"/>
    <w:rsid w:val="00E8595F"/>
    <w:rsid w:val="00E86F06"/>
    <w:rsid w:val="00E876DD"/>
    <w:rsid w:val="00E91A1A"/>
    <w:rsid w:val="00E91E88"/>
    <w:rsid w:val="00E926C8"/>
    <w:rsid w:val="00E92950"/>
    <w:rsid w:val="00E93D7B"/>
    <w:rsid w:val="00E9445B"/>
    <w:rsid w:val="00E9463A"/>
    <w:rsid w:val="00E94AAB"/>
    <w:rsid w:val="00E94D5A"/>
    <w:rsid w:val="00E94E62"/>
    <w:rsid w:val="00E94FD8"/>
    <w:rsid w:val="00E95A2B"/>
    <w:rsid w:val="00E95DEF"/>
    <w:rsid w:val="00E96358"/>
    <w:rsid w:val="00E964AA"/>
    <w:rsid w:val="00E967F8"/>
    <w:rsid w:val="00E97CA8"/>
    <w:rsid w:val="00EA0894"/>
    <w:rsid w:val="00EA08C2"/>
    <w:rsid w:val="00EA0F3B"/>
    <w:rsid w:val="00EA0F4E"/>
    <w:rsid w:val="00EA1203"/>
    <w:rsid w:val="00EA1A9D"/>
    <w:rsid w:val="00EA1E9A"/>
    <w:rsid w:val="00EA1EA5"/>
    <w:rsid w:val="00EA2E89"/>
    <w:rsid w:val="00EA32E1"/>
    <w:rsid w:val="00EA36E3"/>
    <w:rsid w:val="00EA3D2F"/>
    <w:rsid w:val="00EA4097"/>
    <w:rsid w:val="00EA509B"/>
    <w:rsid w:val="00EA66D9"/>
    <w:rsid w:val="00EB08EE"/>
    <w:rsid w:val="00EB15CC"/>
    <w:rsid w:val="00EB161A"/>
    <w:rsid w:val="00EB177B"/>
    <w:rsid w:val="00EB227F"/>
    <w:rsid w:val="00EB2E43"/>
    <w:rsid w:val="00EB2F5D"/>
    <w:rsid w:val="00EB4306"/>
    <w:rsid w:val="00EB4AFE"/>
    <w:rsid w:val="00EB5480"/>
    <w:rsid w:val="00EB57F9"/>
    <w:rsid w:val="00EB6874"/>
    <w:rsid w:val="00EB6A2D"/>
    <w:rsid w:val="00EB6C72"/>
    <w:rsid w:val="00EB6DEB"/>
    <w:rsid w:val="00EB720D"/>
    <w:rsid w:val="00EB7363"/>
    <w:rsid w:val="00EC02CA"/>
    <w:rsid w:val="00EC148C"/>
    <w:rsid w:val="00EC1999"/>
    <w:rsid w:val="00EC2222"/>
    <w:rsid w:val="00EC3F87"/>
    <w:rsid w:val="00EC40E1"/>
    <w:rsid w:val="00EC4532"/>
    <w:rsid w:val="00EC5232"/>
    <w:rsid w:val="00EC59FA"/>
    <w:rsid w:val="00EC5F8F"/>
    <w:rsid w:val="00EC6417"/>
    <w:rsid w:val="00EC676C"/>
    <w:rsid w:val="00EC6FE9"/>
    <w:rsid w:val="00EC7D72"/>
    <w:rsid w:val="00ED0050"/>
    <w:rsid w:val="00ED02AF"/>
    <w:rsid w:val="00ED129F"/>
    <w:rsid w:val="00ED16E6"/>
    <w:rsid w:val="00ED1C02"/>
    <w:rsid w:val="00ED211B"/>
    <w:rsid w:val="00ED260F"/>
    <w:rsid w:val="00ED2759"/>
    <w:rsid w:val="00ED2E63"/>
    <w:rsid w:val="00ED5715"/>
    <w:rsid w:val="00ED57ED"/>
    <w:rsid w:val="00ED59F9"/>
    <w:rsid w:val="00ED5A5A"/>
    <w:rsid w:val="00ED5B7E"/>
    <w:rsid w:val="00ED5DB6"/>
    <w:rsid w:val="00ED609B"/>
    <w:rsid w:val="00ED6191"/>
    <w:rsid w:val="00ED65B2"/>
    <w:rsid w:val="00ED7AD8"/>
    <w:rsid w:val="00ED7E8F"/>
    <w:rsid w:val="00EE0077"/>
    <w:rsid w:val="00EE016F"/>
    <w:rsid w:val="00EE0477"/>
    <w:rsid w:val="00EE0555"/>
    <w:rsid w:val="00EE0E0B"/>
    <w:rsid w:val="00EE100C"/>
    <w:rsid w:val="00EE123B"/>
    <w:rsid w:val="00EE1305"/>
    <w:rsid w:val="00EE2994"/>
    <w:rsid w:val="00EE338E"/>
    <w:rsid w:val="00EE3CF9"/>
    <w:rsid w:val="00EE4535"/>
    <w:rsid w:val="00EE4B95"/>
    <w:rsid w:val="00EE5D94"/>
    <w:rsid w:val="00EE5F91"/>
    <w:rsid w:val="00EE641F"/>
    <w:rsid w:val="00EE723C"/>
    <w:rsid w:val="00EF014D"/>
    <w:rsid w:val="00EF09B5"/>
    <w:rsid w:val="00EF142E"/>
    <w:rsid w:val="00EF190F"/>
    <w:rsid w:val="00EF1C3F"/>
    <w:rsid w:val="00EF2284"/>
    <w:rsid w:val="00EF22D9"/>
    <w:rsid w:val="00EF36D5"/>
    <w:rsid w:val="00EF44A8"/>
    <w:rsid w:val="00EF477B"/>
    <w:rsid w:val="00EF49CF"/>
    <w:rsid w:val="00EF4D5F"/>
    <w:rsid w:val="00EF573B"/>
    <w:rsid w:val="00EF6142"/>
    <w:rsid w:val="00EF68A1"/>
    <w:rsid w:val="00EF75A1"/>
    <w:rsid w:val="00EF75E7"/>
    <w:rsid w:val="00F002DE"/>
    <w:rsid w:val="00F00E66"/>
    <w:rsid w:val="00F010AB"/>
    <w:rsid w:val="00F011C2"/>
    <w:rsid w:val="00F0179D"/>
    <w:rsid w:val="00F01FD6"/>
    <w:rsid w:val="00F02AF2"/>
    <w:rsid w:val="00F02BCD"/>
    <w:rsid w:val="00F04BA2"/>
    <w:rsid w:val="00F050BF"/>
    <w:rsid w:val="00F05117"/>
    <w:rsid w:val="00F051AA"/>
    <w:rsid w:val="00F05FF1"/>
    <w:rsid w:val="00F067DD"/>
    <w:rsid w:val="00F07137"/>
    <w:rsid w:val="00F073E2"/>
    <w:rsid w:val="00F07B01"/>
    <w:rsid w:val="00F07F10"/>
    <w:rsid w:val="00F101A4"/>
    <w:rsid w:val="00F1034A"/>
    <w:rsid w:val="00F10C6A"/>
    <w:rsid w:val="00F11AA5"/>
    <w:rsid w:val="00F11B0B"/>
    <w:rsid w:val="00F11C3C"/>
    <w:rsid w:val="00F12555"/>
    <w:rsid w:val="00F1293F"/>
    <w:rsid w:val="00F13153"/>
    <w:rsid w:val="00F1355D"/>
    <w:rsid w:val="00F1377C"/>
    <w:rsid w:val="00F14F2B"/>
    <w:rsid w:val="00F15192"/>
    <w:rsid w:val="00F15224"/>
    <w:rsid w:val="00F1552E"/>
    <w:rsid w:val="00F15B60"/>
    <w:rsid w:val="00F15C8E"/>
    <w:rsid w:val="00F16384"/>
    <w:rsid w:val="00F16AA6"/>
    <w:rsid w:val="00F16E96"/>
    <w:rsid w:val="00F16F1A"/>
    <w:rsid w:val="00F17BDB"/>
    <w:rsid w:val="00F17C77"/>
    <w:rsid w:val="00F17F4A"/>
    <w:rsid w:val="00F20022"/>
    <w:rsid w:val="00F207AB"/>
    <w:rsid w:val="00F208D6"/>
    <w:rsid w:val="00F21570"/>
    <w:rsid w:val="00F21A33"/>
    <w:rsid w:val="00F21A77"/>
    <w:rsid w:val="00F22580"/>
    <w:rsid w:val="00F229DF"/>
    <w:rsid w:val="00F22CF8"/>
    <w:rsid w:val="00F23E87"/>
    <w:rsid w:val="00F23FF2"/>
    <w:rsid w:val="00F258DF"/>
    <w:rsid w:val="00F26DA9"/>
    <w:rsid w:val="00F27111"/>
    <w:rsid w:val="00F271AD"/>
    <w:rsid w:val="00F2738C"/>
    <w:rsid w:val="00F273A2"/>
    <w:rsid w:val="00F300D0"/>
    <w:rsid w:val="00F30154"/>
    <w:rsid w:val="00F30516"/>
    <w:rsid w:val="00F30B09"/>
    <w:rsid w:val="00F30CCB"/>
    <w:rsid w:val="00F32499"/>
    <w:rsid w:val="00F325BE"/>
    <w:rsid w:val="00F32C47"/>
    <w:rsid w:val="00F33263"/>
    <w:rsid w:val="00F33F8A"/>
    <w:rsid w:val="00F34E85"/>
    <w:rsid w:val="00F35741"/>
    <w:rsid w:val="00F35D5A"/>
    <w:rsid w:val="00F35EAF"/>
    <w:rsid w:val="00F37624"/>
    <w:rsid w:val="00F37714"/>
    <w:rsid w:val="00F37989"/>
    <w:rsid w:val="00F4093B"/>
    <w:rsid w:val="00F40D74"/>
    <w:rsid w:val="00F41039"/>
    <w:rsid w:val="00F415B0"/>
    <w:rsid w:val="00F4195E"/>
    <w:rsid w:val="00F41E2F"/>
    <w:rsid w:val="00F41E87"/>
    <w:rsid w:val="00F42BE0"/>
    <w:rsid w:val="00F43443"/>
    <w:rsid w:val="00F44136"/>
    <w:rsid w:val="00F4494C"/>
    <w:rsid w:val="00F44BE7"/>
    <w:rsid w:val="00F44BF5"/>
    <w:rsid w:val="00F45244"/>
    <w:rsid w:val="00F45756"/>
    <w:rsid w:val="00F45E50"/>
    <w:rsid w:val="00F45FB0"/>
    <w:rsid w:val="00F503B3"/>
    <w:rsid w:val="00F50C2C"/>
    <w:rsid w:val="00F5154D"/>
    <w:rsid w:val="00F5162D"/>
    <w:rsid w:val="00F5227D"/>
    <w:rsid w:val="00F52551"/>
    <w:rsid w:val="00F534B4"/>
    <w:rsid w:val="00F53513"/>
    <w:rsid w:val="00F5362D"/>
    <w:rsid w:val="00F53840"/>
    <w:rsid w:val="00F53A20"/>
    <w:rsid w:val="00F54982"/>
    <w:rsid w:val="00F55393"/>
    <w:rsid w:val="00F56256"/>
    <w:rsid w:val="00F567E4"/>
    <w:rsid w:val="00F5727E"/>
    <w:rsid w:val="00F575CE"/>
    <w:rsid w:val="00F57F98"/>
    <w:rsid w:val="00F611B9"/>
    <w:rsid w:val="00F61352"/>
    <w:rsid w:val="00F618B6"/>
    <w:rsid w:val="00F61C91"/>
    <w:rsid w:val="00F62231"/>
    <w:rsid w:val="00F62B0C"/>
    <w:rsid w:val="00F637B4"/>
    <w:rsid w:val="00F6515B"/>
    <w:rsid w:val="00F661FF"/>
    <w:rsid w:val="00F66AE3"/>
    <w:rsid w:val="00F66FA6"/>
    <w:rsid w:val="00F67CB3"/>
    <w:rsid w:val="00F708FE"/>
    <w:rsid w:val="00F70FEF"/>
    <w:rsid w:val="00F711F5"/>
    <w:rsid w:val="00F71260"/>
    <w:rsid w:val="00F7163C"/>
    <w:rsid w:val="00F71F6B"/>
    <w:rsid w:val="00F7241A"/>
    <w:rsid w:val="00F725EB"/>
    <w:rsid w:val="00F7267D"/>
    <w:rsid w:val="00F72BB4"/>
    <w:rsid w:val="00F73255"/>
    <w:rsid w:val="00F73861"/>
    <w:rsid w:val="00F7388B"/>
    <w:rsid w:val="00F73EB0"/>
    <w:rsid w:val="00F74158"/>
    <w:rsid w:val="00F74645"/>
    <w:rsid w:val="00F749CC"/>
    <w:rsid w:val="00F74AB7"/>
    <w:rsid w:val="00F75420"/>
    <w:rsid w:val="00F76018"/>
    <w:rsid w:val="00F7646E"/>
    <w:rsid w:val="00F76A09"/>
    <w:rsid w:val="00F76E2D"/>
    <w:rsid w:val="00F7792C"/>
    <w:rsid w:val="00F80147"/>
    <w:rsid w:val="00F80B47"/>
    <w:rsid w:val="00F80E0E"/>
    <w:rsid w:val="00F80F48"/>
    <w:rsid w:val="00F819BB"/>
    <w:rsid w:val="00F82011"/>
    <w:rsid w:val="00F821B5"/>
    <w:rsid w:val="00F826F9"/>
    <w:rsid w:val="00F82798"/>
    <w:rsid w:val="00F84188"/>
    <w:rsid w:val="00F845B5"/>
    <w:rsid w:val="00F84D5F"/>
    <w:rsid w:val="00F8614B"/>
    <w:rsid w:val="00F86F74"/>
    <w:rsid w:val="00F87110"/>
    <w:rsid w:val="00F87539"/>
    <w:rsid w:val="00F876D7"/>
    <w:rsid w:val="00F9026C"/>
    <w:rsid w:val="00F905C0"/>
    <w:rsid w:val="00F908FF"/>
    <w:rsid w:val="00F90D9F"/>
    <w:rsid w:val="00F90E46"/>
    <w:rsid w:val="00F91B0D"/>
    <w:rsid w:val="00F92A91"/>
    <w:rsid w:val="00F93E65"/>
    <w:rsid w:val="00F94323"/>
    <w:rsid w:val="00F94777"/>
    <w:rsid w:val="00F9495F"/>
    <w:rsid w:val="00F94E95"/>
    <w:rsid w:val="00F957D3"/>
    <w:rsid w:val="00F9597B"/>
    <w:rsid w:val="00F95E26"/>
    <w:rsid w:val="00F96772"/>
    <w:rsid w:val="00F96914"/>
    <w:rsid w:val="00F97E7A"/>
    <w:rsid w:val="00FA07F5"/>
    <w:rsid w:val="00FA1076"/>
    <w:rsid w:val="00FA114E"/>
    <w:rsid w:val="00FA1519"/>
    <w:rsid w:val="00FA16C4"/>
    <w:rsid w:val="00FA17B3"/>
    <w:rsid w:val="00FA23BF"/>
    <w:rsid w:val="00FA289F"/>
    <w:rsid w:val="00FA2E6E"/>
    <w:rsid w:val="00FA350F"/>
    <w:rsid w:val="00FA3AB8"/>
    <w:rsid w:val="00FA4A42"/>
    <w:rsid w:val="00FA535E"/>
    <w:rsid w:val="00FA65DA"/>
    <w:rsid w:val="00FA680F"/>
    <w:rsid w:val="00FA6A18"/>
    <w:rsid w:val="00FA7D8E"/>
    <w:rsid w:val="00FA7F7D"/>
    <w:rsid w:val="00FB049C"/>
    <w:rsid w:val="00FB0C09"/>
    <w:rsid w:val="00FB151B"/>
    <w:rsid w:val="00FB1ED8"/>
    <w:rsid w:val="00FB2076"/>
    <w:rsid w:val="00FB20DF"/>
    <w:rsid w:val="00FB22A8"/>
    <w:rsid w:val="00FB25E3"/>
    <w:rsid w:val="00FB3D11"/>
    <w:rsid w:val="00FB50DD"/>
    <w:rsid w:val="00FB52B8"/>
    <w:rsid w:val="00FB58CA"/>
    <w:rsid w:val="00FB6027"/>
    <w:rsid w:val="00FB6034"/>
    <w:rsid w:val="00FB6998"/>
    <w:rsid w:val="00FB70AD"/>
    <w:rsid w:val="00FB7208"/>
    <w:rsid w:val="00FB7B62"/>
    <w:rsid w:val="00FC0900"/>
    <w:rsid w:val="00FC281A"/>
    <w:rsid w:val="00FC3209"/>
    <w:rsid w:val="00FC374D"/>
    <w:rsid w:val="00FC3D11"/>
    <w:rsid w:val="00FC4279"/>
    <w:rsid w:val="00FC4A53"/>
    <w:rsid w:val="00FC51CD"/>
    <w:rsid w:val="00FC5412"/>
    <w:rsid w:val="00FC5965"/>
    <w:rsid w:val="00FC7035"/>
    <w:rsid w:val="00FC7055"/>
    <w:rsid w:val="00FC764E"/>
    <w:rsid w:val="00FC7AA6"/>
    <w:rsid w:val="00FC7BF7"/>
    <w:rsid w:val="00FC7F1B"/>
    <w:rsid w:val="00FD0899"/>
    <w:rsid w:val="00FD0F06"/>
    <w:rsid w:val="00FD1A21"/>
    <w:rsid w:val="00FD1ED5"/>
    <w:rsid w:val="00FD21C4"/>
    <w:rsid w:val="00FD2810"/>
    <w:rsid w:val="00FD29E8"/>
    <w:rsid w:val="00FD3048"/>
    <w:rsid w:val="00FD30C5"/>
    <w:rsid w:val="00FD35D0"/>
    <w:rsid w:val="00FD3A54"/>
    <w:rsid w:val="00FD3C63"/>
    <w:rsid w:val="00FD48CA"/>
    <w:rsid w:val="00FD5464"/>
    <w:rsid w:val="00FD5BAB"/>
    <w:rsid w:val="00FD68B1"/>
    <w:rsid w:val="00FD746E"/>
    <w:rsid w:val="00FE0263"/>
    <w:rsid w:val="00FE1170"/>
    <w:rsid w:val="00FE1559"/>
    <w:rsid w:val="00FE17D3"/>
    <w:rsid w:val="00FE183E"/>
    <w:rsid w:val="00FE1C69"/>
    <w:rsid w:val="00FE1DC2"/>
    <w:rsid w:val="00FE25B0"/>
    <w:rsid w:val="00FE2AF5"/>
    <w:rsid w:val="00FE3B9D"/>
    <w:rsid w:val="00FE4DED"/>
    <w:rsid w:val="00FE568C"/>
    <w:rsid w:val="00FE6093"/>
    <w:rsid w:val="00FE6435"/>
    <w:rsid w:val="00FE6530"/>
    <w:rsid w:val="00FE68C1"/>
    <w:rsid w:val="00FE6B88"/>
    <w:rsid w:val="00FE77AA"/>
    <w:rsid w:val="00FF0297"/>
    <w:rsid w:val="00FF034C"/>
    <w:rsid w:val="00FF0E84"/>
    <w:rsid w:val="00FF1C79"/>
    <w:rsid w:val="00FF22B8"/>
    <w:rsid w:val="00FF3A14"/>
    <w:rsid w:val="00FF4F74"/>
    <w:rsid w:val="00FF6525"/>
    <w:rsid w:val="00FF73CE"/>
    <w:rsid w:val="00FF7486"/>
    <w:rsid w:val="00FF7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qFormat="1"/>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72"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E7"/>
    <w:pPr>
      <w:widowControl w:val="0"/>
      <w:adjustRightInd w:val="0"/>
      <w:spacing w:line="360" w:lineRule="atLeast"/>
      <w:jc w:val="both"/>
      <w:textAlignment w:val="baseline"/>
    </w:pPr>
    <w:rPr>
      <w:rFonts w:eastAsia="Times New Roman"/>
      <w:sz w:val="24"/>
      <w:szCs w:val="24"/>
      <w:lang w:val="es-CR" w:eastAsia="es-CR"/>
    </w:rPr>
  </w:style>
  <w:style w:type="paragraph" w:styleId="Heading1">
    <w:name w:val="heading 1"/>
    <w:aliases w:val="Título Verdana"/>
    <w:basedOn w:val="Normal"/>
    <w:next w:val="Normal"/>
    <w:link w:val="Heading1Char"/>
    <w:qFormat/>
    <w:rsid w:val="00B77BF4"/>
    <w:pPr>
      <w:keepNext/>
      <w:keepLines/>
      <w:tabs>
        <w:tab w:val="left" w:pos="720"/>
      </w:tabs>
      <w:spacing w:line="240" w:lineRule="auto"/>
      <w:jc w:val="center"/>
      <w:outlineLvl w:val="0"/>
    </w:pPr>
    <w:rPr>
      <w:rFonts w:eastAsia="MS ????"/>
      <w:b/>
      <w:bCs/>
      <w:caps/>
      <w:snapToGrid w:val="0"/>
      <w:spacing w:val="-2"/>
      <w:sz w:val="20"/>
      <w:szCs w:val="20"/>
      <w:lang w:val="x-none" w:eastAsia="es-ES"/>
    </w:rPr>
  </w:style>
  <w:style w:type="paragraph" w:styleId="Heading2">
    <w:name w:val="heading 2"/>
    <w:basedOn w:val="ColorfulShading-Accent31"/>
    <w:next w:val="Normal"/>
    <w:link w:val="Heading2Char"/>
    <w:qFormat/>
    <w:rsid w:val="00B77BF4"/>
    <w:pPr>
      <w:tabs>
        <w:tab w:val="left" w:pos="720"/>
      </w:tabs>
      <w:spacing w:line="240" w:lineRule="auto"/>
      <w:ind w:left="0"/>
      <w:outlineLvl w:val="1"/>
    </w:pPr>
    <w:rPr>
      <w:b/>
      <w:i/>
      <w:spacing w:val="-2"/>
      <w:lang w:eastAsia="es-MX"/>
    </w:rPr>
  </w:style>
  <w:style w:type="paragraph" w:styleId="Heading3">
    <w:name w:val="heading 3"/>
    <w:basedOn w:val="Normal"/>
    <w:next w:val="Normal"/>
    <w:link w:val="Heading3Char"/>
    <w:qFormat/>
    <w:rsid w:val="00E23853"/>
    <w:pPr>
      <w:widowControl/>
      <w:tabs>
        <w:tab w:val="left" w:pos="567"/>
      </w:tabs>
      <w:autoSpaceDE w:val="0"/>
      <w:autoSpaceDN w:val="0"/>
      <w:adjustRightInd/>
      <w:spacing w:line="240" w:lineRule="auto"/>
      <w:ind w:left="1416"/>
      <w:contextualSpacing/>
      <w:textAlignment w:val="auto"/>
      <w:outlineLvl w:val="2"/>
    </w:pPr>
    <w:rPr>
      <w:rFonts w:eastAsia="Calibri"/>
      <w:b/>
      <w:spacing w:val="-2"/>
      <w:sz w:val="20"/>
      <w:szCs w:val="20"/>
      <w:lang w:val="es-ES" w:eastAsia="x-none"/>
    </w:rPr>
  </w:style>
  <w:style w:type="paragraph" w:styleId="Heading4">
    <w:name w:val="heading 4"/>
    <w:basedOn w:val="Normal"/>
    <w:next w:val="Normal"/>
    <w:link w:val="Heading4Char"/>
    <w:qFormat/>
    <w:rsid w:val="006C6B60"/>
    <w:pPr>
      <w:spacing w:line="240" w:lineRule="auto"/>
      <w:ind w:left="708" w:firstLine="708"/>
      <w:outlineLvl w:val="3"/>
    </w:pPr>
    <w:rPr>
      <w:i/>
      <w:spacing w:val="-2"/>
      <w:sz w:val="20"/>
      <w:szCs w:val="20"/>
      <w:lang w:val="es-VE"/>
    </w:rPr>
  </w:style>
  <w:style w:type="paragraph" w:styleId="Heading5">
    <w:name w:val="heading 5"/>
    <w:basedOn w:val="ColorfulShading-Accent31"/>
    <w:next w:val="Normal"/>
    <w:link w:val="Heading5Char"/>
    <w:qFormat/>
    <w:rsid w:val="009662BC"/>
    <w:pPr>
      <w:widowControl/>
      <w:adjustRightInd/>
      <w:spacing w:line="240" w:lineRule="auto"/>
      <w:ind w:left="2160"/>
      <w:contextualSpacing w:val="0"/>
      <w:textAlignment w:val="auto"/>
      <w:outlineLvl w:val="4"/>
    </w:pPr>
    <w:rPr>
      <w:spacing w:val="-2"/>
      <w:u w:val="single"/>
      <w:lang w:val="es-ES_tradnl"/>
    </w:rPr>
  </w:style>
  <w:style w:type="paragraph" w:styleId="Heading6">
    <w:name w:val="heading 6"/>
    <w:basedOn w:val="Heading5"/>
    <w:next w:val="Normal"/>
    <w:link w:val="Heading6Char"/>
    <w:qFormat/>
    <w:rsid w:val="009662BC"/>
    <w:pPr>
      <w:numPr>
        <w:ilvl w:val="4"/>
        <w:numId w:val="1"/>
      </w:numPr>
      <w:outlineLvl w:val="5"/>
    </w:pPr>
    <w:rPr>
      <w:u w:val="none"/>
      <w:lang w:eastAsia="x-none"/>
    </w:rPr>
  </w:style>
  <w:style w:type="paragraph" w:styleId="Heading7">
    <w:name w:val="heading 7"/>
    <w:basedOn w:val="Normal"/>
    <w:next w:val="Normal"/>
    <w:link w:val="Heading7Char"/>
    <w:uiPriority w:val="9"/>
    <w:qFormat/>
    <w:rsid w:val="00332FAD"/>
    <w:pPr>
      <w:widowControl/>
      <w:adjustRightInd/>
      <w:spacing w:line="276" w:lineRule="auto"/>
      <w:jc w:val="left"/>
      <w:textAlignment w:val="auto"/>
      <w:outlineLvl w:val="6"/>
    </w:pPr>
    <w:rPr>
      <w:rFonts w:ascii="Cambria" w:eastAsia="MS Gothic" w:hAnsi="Cambria"/>
      <w:i/>
      <w:iCs/>
      <w:sz w:val="22"/>
      <w:szCs w:val="22"/>
      <w:lang w:val="en-US" w:eastAsia="x-none" w:bidi="en-US"/>
    </w:rPr>
  </w:style>
  <w:style w:type="paragraph" w:styleId="Heading8">
    <w:name w:val="heading 8"/>
    <w:basedOn w:val="Normal"/>
    <w:next w:val="Normal"/>
    <w:link w:val="Heading8Char"/>
    <w:uiPriority w:val="9"/>
    <w:qFormat/>
    <w:rsid w:val="00332FAD"/>
    <w:pPr>
      <w:widowControl/>
      <w:adjustRightInd/>
      <w:spacing w:line="276" w:lineRule="auto"/>
      <w:jc w:val="left"/>
      <w:textAlignment w:val="auto"/>
      <w:outlineLvl w:val="7"/>
    </w:pPr>
    <w:rPr>
      <w:rFonts w:ascii="Cambria" w:eastAsia="MS Gothic" w:hAnsi="Cambria"/>
      <w:sz w:val="20"/>
      <w:szCs w:val="20"/>
      <w:lang w:val="en-US" w:eastAsia="x-none" w:bidi="en-US"/>
    </w:rPr>
  </w:style>
  <w:style w:type="paragraph" w:styleId="Heading9">
    <w:name w:val="heading 9"/>
    <w:basedOn w:val="Normal"/>
    <w:next w:val="Normal"/>
    <w:link w:val="Heading9Char"/>
    <w:uiPriority w:val="9"/>
    <w:qFormat/>
    <w:rsid w:val="00332FAD"/>
    <w:pPr>
      <w:widowControl/>
      <w:adjustRightInd/>
      <w:spacing w:line="276" w:lineRule="auto"/>
      <w:jc w:val="left"/>
      <w:textAlignment w:val="auto"/>
      <w:outlineLvl w:val="8"/>
    </w:pPr>
    <w:rPr>
      <w:rFonts w:ascii="Cambria" w:eastAsia="MS Gothic" w:hAnsi="Cambria"/>
      <w:i/>
      <w:iCs/>
      <w:spacing w:val="5"/>
      <w:sz w:val="20"/>
      <w:szCs w:val="20"/>
      <w:lang w:val="en-US"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link w:val="ColorfulShading-Accent3Char"/>
    <w:uiPriority w:val="99"/>
    <w:qFormat/>
    <w:rsid w:val="00B5020A"/>
    <w:pPr>
      <w:ind w:left="720"/>
      <w:contextualSpacing/>
    </w:pPr>
    <w:rPr>
      <w:sz w:val="20"/>
      <w:szCs w:val="20"/>
      <w:lang w:val="x-none"/>
    </w:rPr>
  </w:style>
  <w:style w:type="paragraph" w:styleId="NormalWeb">
    <w:name w:val="Normal (Web)"/>
    <w:basedOn w:val="Normal"/>
    <w:uiPriority w:val="99"/>
    <w:unhideWhenUsed/>
    <w:rsid w:val="00B5020A"/>
  </w:style>
  <w:style w:type="paragraph" w:styleId="BodyTextIndent">
    <w:name w:val="Body Text Indent"/>
    <w:basedOn w:val="Normal"/>
    <w:link w:val="BodyTextIndentChar"/>
    <w:unhideWhenUsed/>
    <w:rsid w:val="00B5020A"/>
    <w:pPr>
      <w:spacing w:after="120"/>
      <w:ind w:left="283"/>
    </w:pPr>
  </w:style>
  <w:style w:type="character" w:customStyle="1" w:styleId="BodyTextIndentChar">
    <w:name w:val="Body Text Indent Char"/>
    <w:basedOn w:val="DefaultParagraphFont"/>
    <w:link w:val="BodyTextIndent"/>
    <w:rsid w:val="00B5020A"/>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link w:val="4GChar"/>
    <w:qFormat/>
    <w:rsid w:val="00B5020A"/>
    <w:rPr>
      <w:vertAlign w:val="superscript"/>
    </w:rPr>
  </w:style>
  <w:style w:type="character" w:customStyle="1" w:styleId="apple-converted-space">
    <w:name w:val="apple-converted-space"/>
    <w:basedOn w:val="DefaultParagraphFont"/>
    <w:rsid w:val="00B5020A"/>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uiPriority w:val="99"/>
    <w:qFormat/>
    <w:rsid w:val="00B5020A"/>
    <w:pPr>
      <w:spacing w:line="240" w:lineRule="auto"/>
    </w:pPr>
    <w:rPr>
      <w:sz w:val="20"/>
      <w:szCs w:val="20"/>
      <w:lang w:val="es-ES_tradnl"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link w:val="FootnoteText"/>
    <w:uiPriority w:val="99"/>
    <w:rsid w:val="00B5020A"/>
    <w:rPr>
      <w:rFonts w:eastAsia="Times New Roman" w:cs="Verdana"/>
      <w:spacing w:val="0"/>
      <w:lang w:val="es-ES_tradnl"/>
    </w:rPr>
  </w:style>
  <w:style w:type="paragraph" w:customStyle="1" w:styleId="Body1">
    <w:name w:val="Body 1"/>
    <w:link w:val="Body1Char"/>
    <w:rsid w:val="00B5020A"/>
    <w:pPr>
      <w:widowControl w:val="0"/>
      <w:adjustRightInd w:val="0"/>
      <w:jc w:val="both"/>
      <w:textAlignment w:val="baseline"/>
      <w:outlineLvl w:val="0"/>
    </w:pPr>
    <w:rPr>
      <w:rFonts w:ascii="Helvetica" w:eastAsia="ヒラギノ角ゴ Pro W3" w:hAnsi="Helvetica"/>
      <w:color w:val="000000"/>
      <w:sz w:val="22"/>
      <w:szCs w:val="22"/>
      <w:lang w:eastAsia="es-CR"/>
    </w:rPr>
  </w:style>
  <w:style w:type="character" w:customStyle="1" w:styleId="Body1Char">
    <w:name w:val="Body 1 Char"/>
    <w:link w:val="Body1"/>
    <w:locked/>
    <w:rsid w:val="00B5020A"/>
    <w:rPr>
      <w:rFonts w:ascii="Helvetica" w:eastAsia="ヒラギノ角ゴ Pro W3" w:hAnsi="Helvetica"/>
      <w:color w:val="000000"/>
      <w:sz w:val="22"/>
      <w:szCs w:val="22"/>
      <w:lang w:val="en-US" w:eastAsia="es-CR" w:bidi="ar-SA"/>
    </w:rPr>
  </w:style>
  <w:style w:type="character" w:styleId="Hyperlink">
    <w:name w:val="Hyperlink"/>
    <w:uiPriority w:val="99"/>
    <w:rsid w:val="00B5020A"/>
    <w:rPr>
      <w:color w:val="0000FF"/>
      <w:u w:val="single"/>
    </w:rPr>
  </w:style>
  <w:style w:type="paragraph" w:customStyle="1" w:styleId="Default">
    <w:name w:val="Default"/>
    <w:rsid w:val="00BA1783"/>
    <w:pPr>
      <w:autoSpaceDE w:val="0"/>
      <w:autoSpaceDN w:val="0"/>
      <w:adjustRightInd w:val="0"/>
    </w:pPr>
    <w:rPr>
      <w:rFonts w:cs="Verdana"/>
      <w:color w:val="000000"/>
      <w:spacing w:val="-4"/>
      <w:sz w:val="24"/>
      <w:szCs w:val="24"/>
      <w:lang w:val="es-CR"/>
    </w:rPr>
  </w:style>
  <w:style w:type="character" w:styleId="FollowedHyperlink">
    <w:name w:val="FollowedHyperlink"/>
    <w:uiPriority w:val="99"/>
    <w:semiHidden/>
    <w:unhideWhenUsed/>
    <w:rsid w:val="007E06A9"/>
    <w:rPr>
      <w:color w:val="800080"/>
      <w:u w:val="single"/>
    </w:rPr>
  </w:style>
  <w:style w:type="character" w:customStyle="1" w:styleId="FootnoteTextChar3">
    <w:name w:val="Footnote Text Char3"/>
    <w:aliases w:val="Footnote Text Char Char Char Char Char Char3,Footnote Text Char Char Char Char Char4,Footnote reference Char3,FA Fu Char3,Footnote Text Char Char Char Char4,Footnote Text Cha Char3,FA Fußnotentext Char3,FA Fuﬂnotentext Char3,Ca Char3"/>
    <w:uiPriority w:val="99"/>
    <w:rsid w:val="00152FE9"/>
    <w:rPr>
      <w:rFonts w:ascii="Verdana" w:eastAsia="Times New Roman" w:hAnsi="Verdana" w:cs="Verdana"/>
      <w:sz w:val="16"/>
      <w:szCs w:val="16"/>
      <w:lang w:val="es-ES_tradnl"/>
    </w:rPr>
  </w:style>
  <w:style w:type="paragraph" w:customStyle="1" w:styleId="ListParagraph11">
    <w:name w:val="List Paragraph11"/>
    <w:basedOn w:val="Normal"/>
    <w:uiPriority w:val="99"/>
    <w:rsid w:val="00152FE9"/>
    <w:pPr>
      <w:widowControl/>
      <w:adjustRightInd/>
      <w:spacing w:after="200" w:line="276" w:lineRule="auto"/>
      <w:ind w:left="720"/>
      <w:jc w:val="left"/>
      <w:textAlignment w:val="auto"/>
    </w:pPr>
    <w:rPr>
      <w:rFonts w:ascii="Times New Roman" w:hAnsi="Times New Roman"/>
      <w:lang w:val="en-US" w:eastAsia="en-US"/>
    </w:rPr>
  </w:style>
  <w:style w:type="paragraph" w:customStyle="1" w:styleId="PrrafodeSentencia">
    <w:name w:val="*. Párrafo de Sentencia"/>
    <w:basedOn w:val="Body1"/>
    <w:link w:val="PrrafodeSentenciaChar"/>
    <w:autoRedefine/>
    <w:qFormat/>
    <w:rsid w:val="00364A22"/>
    <w:pPr>
      <w:widowControl/>
      <w:adjustRightInd/>
      <w:spacing w:after="200"/>
      <w:jc w:val="center"/>
      <w:textAlignment w:val="auto"/>
      <w:outlineLvl w:val="9"/>
    </w:pPr>
    <w:rPr>
      <w:rFonts w:ascii="Verdana" w:eastAsia="Batang" w:hAnsi="Verdana"/>
      <w:b/>
      <w:i/>
      <w:color w:val="auto"/>
      <w:sz w:val="20"/>
      <w:szCs w:val="20"/>
      <w:lang w:val="es-ES_tradnl" w:eastAsia="es-MX"/>
    </w:rPr>
  </w:style>
  <w:style w:type="paragraph" w:customStyle="1" w:styleId="Estilo1">
    <w:name w:val="Estilo1"/>
    <w:basedOn w:val="Normal"/>
    <w:link w:val="Estilo1Car"/>
    <w:qFormat/>
    <w:rsid w:val="0069536D"/>
    <w:pPr>
      <w:widowControl/>
      <w:tabs>
        <w:tab w:val="left" w:pos="567"/>
        <w:tab w:val="left" w:pos="1134"/>
        <w:tab w:val="num" w:pos="6042"/>
      </w:tabs>
      <w:adjustRightInd/>
      <w:spacing w:after="120" w:line="240" w:lineRule="auto"/>
      <w:textAlignment w:val="auto"/>
    </w:pPr>
    <w:rPr>
      <w:rFonts w:eastAsia="Calibri"/>
      <w:sz w:val="20"/>
      <w:szCs w:val="20"/>
      <w:lang w:val="es-ES" w:eastAsia="x-none"/>
    </w:rPr>
  </w:style>
  <w:style w:type="paragraph" w:customStyle="1" w:styleId="Estilo2">
    <w:name w:val="Estilo2"/>
    <w:basedOn w:val="Normal"/>
    <w:link w:val="Estilo2Car"/>
    <w:qFormat/>
    <w:rsid w:val="0069536D"/>
    <w:pPr>
      <w:widowControl/>
      <w:tabs>
        <w:tab w:val="left" w:pos="567"/>
        <w:tab w:val="left" w:pos="1134"/>
        <w:tab w:val="num" w:pos="4767"/>
      </w:tabs>
      <w:adjustRightInd/>
      <w:spacing w:after="120" w:line="240" w:lineRule="auto"/>
      <w:ind w:firstLine="357"/>
      <w:textAlignment w:val="auto"/>
    </w:pPr>
    <w:rPr>
      <w:rFonts w:eastAsia="Calibri"/>
      <w:lang w:val="x-none" w:eastAsia="x-none"/>
    </w:rPr>
  </w:style>
  <w:style w:type="character" w:customStyle="1" w:styleId="Estilo1Car">
    <w:name w:val="Estilo1 Car"/>
    <w:link w:val="Estilo1"/>
    <w:rsid w:val="0069536D"/>
    <w:rPr>
      <w:rFonts w:eastAsia="Calibri"/>
      <w:spacing w:val="0"/>
      <w:lang w:val="es-ES"/>
    </w:rPr>
  </w:style>
  <w:style w:type="table" w:styleId="MediumList2-Accent4">
    <w:name w:val="Medium List 2 Accent 4"/>
    <w:basedOn w:val="TableNormal"/>
    <w:uiPriority w:val="72"/>
    <w:rsid w:val="0069536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Shading-Accent3Char">
    <w:name w:val="Colorful Shading - Accent 3 Char"/>
    <w:link w:val="ColorfulShading-Accent31"/>
    <w:uiPriority w:val="99"/>
    <w:rsid w:val="00ED7665"/>
    <w:rPr>
      <w:rFonts w:eastAsia="Times New Roman"/>
      <w:spacing w:val="0"/>
      <w:lang w:eastAsia="es-CR"/>
    </w:rPr>
  </w:style>
  <w:style w:type="paragraph" w:customStyle="1" w:styleId="Estilo7">
    <w:name w:val="Estilo7"/>
    <w:basedOn w:val="Normal"/>
    <w:qFormat/>
    <w:rsid w:val="007A5386"/>
    <w:pPr>
      <w:widowControl/>
      <w:tabs>
        <w:tab w:val="left" w:pos="567"/>
        <w:tab w:val="left" w:pos="851"/>
        <w:tab w:val="num" w:pos="2160"/>
      </w:tabs>
      <w:adjustRightInd/>
      <w:spacing w:before="120" w:after="120" w:line="240" w:lineRule="auto"/>
      <w:ind w:left="2160" w:hanging="180"/>
      <w:textAlignment w:val="auto"/>
    </w:pPr>
    <w:rPr>
      <w:rFonts w:eastAsia="Batang"/>
      <w:b/>
      <w:i/>
      <w:sz w:val="20"/>
      <w:szCs w:val="20"/>
      <w:lang w:val="es-ES_tradnl" w:eastAsia="es-MX"/>
    </w:rPr>
  </w:style>
  <w:style w:type="paragraph" w:styleId="Header">
    <w:name w:val="header"/>
    <w:basedOn w:val="Normal"/>
    <w:link w:val="HeaderChar"/>
    <w:unhideWhenUsed/>
    <w:rsid w:val="008624F5"/>
    <w:pPr>
      <w:tabs>
        <w:tab w:val="center" w:pos="4320"/>
        <w:tab w:val="right" w:pos="8640"/>
      </w:tabs>
      <w:spacing w:line="240" w:lineRule="auto"/>
    </w:pPr>
    <w:rPr>
      <w:sz w:val="20"/>
      <w:szCs w:val="20"/>
      <w:lang w:val="x-none"/>
    </w:rPr>
  </w:style>
  <w:style w:type="character" w:customStyle="1" w:styleId="HeaderChar">
    <w:name w:val="Header Char"/>
    <w:link w:val="Header"/>
    <w:uiPriority w:val="99"/>
    <w:rsid w:val="008624F5"/>
    <w:rPr>
      <w:rFonts w:eastAsia="Times New Roman"/>
      <w:spacing w:val="0"/>
      <w:lang w:eastAsia="es-CR"/>
    </w:rPr>
  </w:style>
  <w:style w:type="character" w:styleId="PageNumber">
    <w:name w:val="page number"/>
    <w:basedOn w:val="DefaultParagraphFont"/>
    <w:uiPriority w:val="99"/>
    <w:semiHidden/>
    <w:unhideWhenUsed/>
    <w:rsid w:val="008624F5"/>
  </w:style>
  <w:style w:type="paragraph" w:styleId="Footer">
    <w:name w:val="footer"/>
    <w:basedOn w:val="Normal"/>
    <w:link w:val="FooterChar"/>
    <w:uiPriority w:val="99"/>
    <w:unhideWhenUsed/>
    <w:rsid w:val="008624F5"/>
    <w:pPr>
      <w:tabs>
        <w:tab w:val="center" w:pos="4320"/>
        <w:tab w:val="right" w:pos="8640"/>
      </w:tabs>
      <w:spacing w:line="240" w:lineRule="auto"/>
    </w:pPr>
    <w:rPr>
      <w:sz w:val="20"/>
      <w:szCs w:val="20"/>
      <w:lang w:val="x-none"/>
    </w:rPr>
  </w:style>
  <w:style w:type="character" w:customStyle="1" w:styleId="FooterChar">
    <w:name w:val="Footer Char"/>
    <w:link w:val="Footer"/>
    <w:uiPriority w:val="99"/>
    <w:rsid w:val="008624F5"/>
    <w:rPr>
      <w:rFonts w:eastAsia="Times New Roman"/>
      <w:spacing w:val="0"/>
      <w:lang w:eastAsia="es-CR"/>
    </w:rPr>
  </w:style>
  <w:style w:type="numbering" w:customStyle="1" w:styleId="NoList1">
    <w:name w:val="No List1"/>
    <w:next w:val="NoList"/>
    <w:uiPriority w:val="99"/>
    <w:semiHidden/>
    <w:unhideWhenUsed/>
    <w:rsid w:val="00673492"/>
  </w:style>
  <w:style w:type="character" w:styleId="CommentReference">
    <w:name w:val="annotation reference"/>
    <w:uiPriority w:val="99"/>
    <w:semiHidden/>
    <w:unhideWhenUsed/>
    <w:rsid w:val="00673492"/>
    <w:rPr>
      <w:sz w:val="16"/>
      <w:szCs w:val="16"/>
    </w:rPr>
  </w:style>
  <w:style w:type="paragraph" w:styleId="CommentText">
    <w:name w:val="annotation text"/>
    <w:basedOn w:val="Normal"/>
    <w:link w:val="CommentTextChar"/>
    <w:uiPriority w:val="99"/>
    <w:unhideWhenUsed/>
    <w:rsid w:val="00673492"/>
    <w:pPr>
      <w:widowControl/>
      <w:adjustRightInd/>
      <w:spacing w:after="200" w:line="240" w:lineRule="auto"/>
      <w:jc w:val="left"/>
      <w:textAlignment w:val="auto"/>
    </w:pPr>
    <w:rPr>
      <w:rFonts w:ascii="Calibri" w:eastAsia="Calibri" w:hAnsi="Calibri"/>
      <w:sz w:val="20"/>
      <w:szCs w:val="20"/>
      <w:lang w:val="x-none" w:eastAsia="x-none"/>
    </w:rPr>
  </w:style>
  <w:style w:type="character" w:customStyle="1" w:styleId="CommentTextChar">
    <w:name w:val="Comment Text Char"/>
    <w:link w:val="CommentText"/>
    <w:uiPriority w:val="99"/>
    <w:rsid w:val="00673492"/>
    <w:rPr>
      <w:rFonts w:ascii="Calibri" w:hAnsi="Calibri" w:cs="Times New Roman"/>
      <w:spacing w:val="0"/>
      <w:sz w:val="20"/>
      <w:szCs w:val="20"/>
    </w:rPr>
  </w:style>
  <w:style w:type="paragraph" w:styleId="CommentSubject">
    <w:name w:val="annotation subject"/>
    <w:basedOn w:val="CommentText"/>
    <w:next w:val="CommentText"/>
    <w:link w:val="CommentSubjectChar"/>
    <w:uiPriority w:val="99"/>
    <w:semiHidden/>
    <w:unhideWhenUsed/>
    <w:rsid w:val="00673492"/>
    <w:rPr>
      <w:b/>
      <w:bCs/>
    </w:rPr>
  </w:style>
  <w:style w:type="character" w:customStyle="1" w:styleId="CommentSubjectChar">
    <w:name w:val="Comment Subject Char"/>
    <w:link w:val="CommentSubject"/>
    <w:uiPriority w:val="99"/>
    <w:semiHidden/>
    <w:rsid w:val="00673492"/>
    <w:rPr>
      <w:rFonts w:ascii="Calibri" w:hAnsi="Calibri" w:cs="Times New Roman"/>
      <w:b/>
      <w:bCs/>
      <w:spacing w:val="0"/>
      <w:sz w:val="20"/>
      <w:szCs w:val="20"/>
    </w:rPr>
  </w:style>
  <w:style w:type="paragraph" w:styleId="BalloonText">
    <w:name w:val="Balloon Text"/>
    <w:basedOn w:val="Normal"/>
    <w:link w:val="BalloonTextChar"/>
    <w:uiPriority w:val="99"/>
    <w:semiHidden/>
    <w:unhideWhenUsed/>
    <w:rsid w:val="00673492"/>
    <w:pPr>
      <w:widowControl/>
      <w:adjustRightInd/>
      <w:spacing w:line="240" w:lineRule="auto"/>
      <w:jc w:val="left"/>
      <w:textAlignment w:val="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673492"/>
    <w:rPr>
      <w:rFonts w:ascii="Tahoma" w:hAnsi="Tahoma" w:cs="Tahoma"/>
      <w:spacing w:val="0"/>
      <w:sz w:val="16"/>
      <w:szCs w:val="16"/>
    </w:rPr>
  </w:style>
  <w:style w:type="paragraph" w:styleId="Title">
    <w:name w:val="Title"/>
    <w:basedOn w:val="Default"/>
    <w:next w:val="Default"/>
    <w:link w:val="TitleChar"/>
    <w:qFormat/>
    <w:rsid w:val="00673492"/>
    <w:rPr>
      <w:rFonts w:ascii="Times New Roman" w:hAnsi="Times New Roman" w:cs="Times New Roman"/>
      <w:color w:val="auto"/>
      <w:spacing w:val="0"/>
      <w:sz w:val="20"/>
      <w:szCs w:val="20"/>
      <w:lang w:val="en-US" w:eastAsia="x-none"/>
    </w:rPr>
  </w:style>
  <w:style w:type="character" w:customStyle="1" w:styleId="TitleChar">
    <w:name w:val="Title Char"/>
    <w:link w:val="Title"/>
    <w:rsid w:val="00673492"/>
    <w:rPr>
      <w:rFonts w:ascii="Times New Roman" w:hAnsi="Times New Roman"/>
      <w:spacing w:val="0"/>
      <w:lang w:val="en-US"/>
    </w:rPr>
  </w:style>
  <w:style w:type="paragraph" w:customStyle="1" w:styleId="PrrafoCVRNormal">
    <w:name w:val="Párrafo CVR Normal"/>
    <w:basedOn w:val="Default"/>
    <w:next w:val="Default"/>
    <w:uiPriority w:val="99"/>
    <w:rsid w:val="00673492"/>
    <w:rPr>
      <w:rFonts w:ascii="Times New Roman" w:hAnsi="Times New Roman" w:cs="Times New Roman"/>
      <w:color w:val="auto"/>
      <w:spacing w:val="0"/>
    </w:rPr>
  </w:style>
  <w:style w:type="character" w:customStyle="1" w:styleId="Heading2Char">
    <w:name w:val="Heading 2 Char"/>
    <w:link w:val="Heading2"/>
    <w:rsid w:val="00B77BF4"/>
    <w:rPr>
      <w:rFonts w:eastAsia="Times New Roman"/>
      <w:b/>
      <w:i/>
      <w:spacing w:val="-2"/>
      <w:lang w:val="x-none" w:eastAsia="es-MX"/>
    </w:rPr>
  </w:style>
  <w:style w:type="character" w:customStyle="1" w:styleId="Heading3Char">
    <w:name w:val="Heading 3 Char"/>
    <w:link w:val="Heading3"/>
    <w:rsid w:val="00E23853"/>
    <w:rPr>
      <w:rFonts w:cs="Verdana"/>
      <w:b/>
      <w:spacing w:val="-2"/>
      <w:sz w:val="20"/>
      <w:szCs w:val="20"/>
      <w:lang w:val="es-ES"/>
    </w:rPr>
  </w:style>
  <w:style w:type="paragraph" w:customStyle="1" w:styleId="s30eec3f8">
    <w:name w:val="s30eec3f8"/>
    <w:basedOn w:val="Normal"/>
    <w:rsid w:val="00164FEB"/>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sb8d990e2">
    <w:name w:val="sb8d990e2"/>
    <w:basedOn w:val="DefaultParagraphFont"/>
    <w:rsid w:val="00164FEB"/>
  </w:style>
  <w:style w:type="character" w:customStyle="1" w:styleId="s6b621b36">
    <w:name w:val="s6b621b36"/>
    <w:basedOn w:val="DefaultParagraphFont"/>
    <w:rsid w:val="00164FEB"/>
  </w:style>
  <w:style w:type="character" w:customStyle="1" w:styleId="sea881cdf">
    <w:name w:val="sea881cdf"/>
    <w:basedOn w:val="DefaultParagraphFont"/>
    <w:rsid w:val="00164FEB"/>
  </w:style>
  <w:style w:type="paragraph" w:customStyle="1" w:styleId="se5d6d4c3">
    <w:name w:val="se5d6d4c3"/>
    <w:basedOn w:val="Normal"/>
    <w:rsid w:val="00164FEB"/>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sdfc50a6a">
    <w:name w:val="sdfc50a6a"/>
    <w:basedOn w:val="DefaultParagraphFont"/>
    <w:rsid w:val="00164FEB"/>
  </w:style>
  <w:style w:type="character" w:customStyle="1" w:styleId="column01">
    <w:name w:val="column01"/>
    <w:basedOn w:val="DefaultParagraphFont"/>
    <w:rsid w:val="00164FEB"/>
  </w:style>
  <w:style w:type="character" w:customStyle="1" w:styleId="column02">
    <w:name w:val="column02"/>
    <w:basedOn w:val="DefaultParagraphFont"/>
    <w:rsid w:val="00164FEB"/>
  </w:style>
  <w:style w:type="character" w:customStyle="1" w:styleId="column03">
    <w:name w:val="column03"/>
    <w:basedOn w:val="DefaultParagraphFont"/>
    <w:rsid w:val="00164FEB"/>
  </w:style>
  <w:style w:type="character" w:customStyle="1" w:styleId="column04">
    <w:name w:val="column04"/>
    <w:basedOn w:val="DefaultParagraphFont"/>
    <w:rsid w:val="00164FEB"/>
  </w:style>
  <w:style w:type="character" w:customStyle="1" w:styleId="branchname">
    <w:name w:val="branchname"/>
    <w:basedOn w:val="DefaultParagraphFont"/>
    <w:rsid w:val="00164FEB"/>
  </w:style>
  <w:style w:type="character" w:customStyle="1" w:styleId="branchcount">
    <w:name w:val="branchcount"/>
    <w:basedOn w:val="DefaultParagraphFont"/>
    <w:rsid w:val="00164FEB"/>
  </w:style>
  <w:style w:type="character" w:customStyle="1" w:styleId="helpiconplaceholder">
    <w:name w:val="helpiconplaceholder"/>
    <w:basedOn w:val="DefaultParagraphFont"/>
    <w:rsid w:val="00164FEB"/>
  </w:style>
  <w:style w:type="character" w:customStyle="1" w:styleId="expanderandcheckbox">
    <w:name w:val="expanderandcheckbox"/>
    <w:basedOn w:val="DefaultParagraphFont"/>
    <w:rsid w:val="00164FEB"/>
  </w:style>
  <w:style w:type="character" w:customStyle="1" w:styleId="heading-text">
    <w:name w:val="heading-text"/>
    <w:basedOn w:val="DefaultParagraphFont"/>
    <w:rsid w:val="00164FEB"/>
  </w:style>
  <w:style w:type="character" w:customStyle="1" w:styleId="resultnumber">
    <w:name w:val="resultnumber"/>
    <w:basedOn w:val="DefaultParagraphFont"/>
    <w:rsid w:val="00164FEB"/>
  </w:style>
  <w:style w:type="character" w:customStyle="1" w:styleId="resultsfoundtext">
    <w:name w:val="resultsfoundtext"/>
    <w:basedOn w:val="DefaultParagraphFont"/>
    <w:rsid w:val="00164FEB"/>
  </w:style>
  <w:style w:type="character" w:customStyle="1" w:styleId="icontext">
    <w:name w:val="icontext"/>
    <w:basedOn w:val="DefaultParagraphFont"/>
    <w:rsid w:val="00164FEB"/>
  </w:style>
  <w:style w:type="character" w:customStyle="1" w:styleId="summarytext">
    <w:name w:val="summarytext"/>
    <w:basedOn w:val="DefaultParagraphFont"/>
    <w:rsid w:val="00164FEB"/>
  </w:style>
  <w:style w:type="character" w:customStyle="1" w:styleId="textcolumn">
    <w:name w:val="textcolumn"/>
    <w:basedOn w:val="DefaultParagraphFont"/>
    <w:rsid w:val="00164FEB"/>
  </w:style>
  <w:style w:type="character" w:customStyle="1" w:styleId="more">
    <w:name w:val="more"/>
    <w:basedOn w:val="DefaultParagraphFont"/>
    <w:rsid w:val="00164FEB"/>
  </w:style>
  <w:style w:type="character" w:customStyle="1" w:styleId="typedescriptioncolumn">
    <w:name w:val="typedescriptioncolumn"/>
    <w:basedOn w:val="DefaultParagraphFont"/>
    <w:rsid w:val="00164FEB"/>
  </w:style>
  <w:style w:type="character" w:customStyle="1" w:styleId="originatingbody">
    <w:name w:val="originatingbody"/>
    <w:basedOn w:val="DefaultParagraphFont"/>
    <w:rsid w:val="00164FEB"/>
  </w:style>
  <w:style w:type="character" w:customStyle="1" w:styleId="datecolumn">
    <w:name w:val="datecolumn"/>
    <w:basedOn w:val="DefaultParagraphFont"/>
    <w:rsid w:val="00164FEB"/>
  </w:style>
  <w:style w:type="character" w:customStyle="1" w:styleId="notranslate">
    <w:name w:val="notranslate"/>
    <w:basedOn w:val="DefaultParagraphFont"/>
    <w:rsid w:val="00164FEB"/>
  </w:style>
  <w:style w:type="paragraph" w:customStyle="1" w:styleId="NotasProyectos">
    <w:name w:val="***. Notas Proyectos"/>
    <w:basedOn w:val="Normal"/>
    <w:link w:val="NotasProyectosChar"/>
    <w:autoRedefine/>
    <w:qFormat/>
    <w:rsid w:val="00164FEB"/>
    <w:pPr>
      <w:widowControl/>
      <w:adjustRightInd/>
      <w:spacing w:before="120" w:line="240" w:lineRule="auto"/>
      <w:ind w:left="720"/>
      <w:textAlignment w:val="auto"/>
    </w:pPr>
    <w:rPr>
      <w:sz w:val="20"/>
      <w:szCs w:val="20"/>
      <w:lang w:val="es-ES_tradnl" w:eastAsia="es-ES"/>
    </w:rPr>
  </w:style>
  <w:style w:type="character" w:customStyle="1" w:styleId="NotasProyectosChar">
    <w:name w:val="***. Notas Proyectos Char"/>
    <w:link w:val="NotasProyectos"/>
    <w:rsid w:val="00164FEB"/>
    <w:rPr>
      <w:rFonts w:eastAsia="Times New Roman"/>
      <w:spacing w:val="0"/>
      <w:sz w:val="20"/>
      <w:szCs w:val="20"/>
      <w:lang w:val="es-ES_tradnl" w:eastAsia="es-ES"/>
    </w:rPr>
  </w:style>
  <w:style w:type="paragraph" w:customStyle="1" w:styleId="DarkList-Accent31">
    <w:name w:val="Dark List - Accent 31"/>
    <w:hidden/>
    <w:uiPriority w:val="99"/>
    <w:semiHidden/>
    <w:rsid w:val="00164FEB"/>
    <w:rPr>
      <w:szCs w:val="22"/>
      <w:lang w:val="es-CR"/>
    </w:rPr>
  </w:style>
  <w:style w:type="paragraph" w:customStyle="1" w:styleId="Sinespaciado1">
    <w:name w:val="Sin espaciado1"/>
    <w:uiPriority w:val="1"/>
    <w:qFormat/>
    <w:rsid w:val="00164FEB"/>
    <w:rPr>
      <w:spacing w:val="-4"/>
      <w:lang w:val="es-ES_tradnl"/>
    </w:rPr>
  </w:style>
  <w:style w:type="character" w:customStyle="1" w:styleId="Hyperlink1">
    <w:name w:val="Hyperlink1"/>
    <w:uiPriority w:val="99"/>
    <w:unhideWhenUsed/>
    <w:rsid w:val="00164FEB"/>
    <w:rPr>
      <w:color w:val="0000FF"/>
      <w:u w:val="single"/>
    </w:rPr>
  </w:style>
  <w:style w:type="paragraph" w:styleId="EndnoteText">
    <w:name w:val="endnote text"/>
    <w:basedOn w:val="Normal"/>
    <w:link w:val="EndnoteTextChar"/>
    <w:unhideWhenUsed/>
    <w:rsid w:val="00164FEB"/>
    <w:pPr>
      <w:widowControl/>
      <w:adjustRightInd/>
      <w:spacing w:line="240" w:lineRule="auto"/>
      <w:jc w:val="left"/>
      <w:textAlignment w:val="auto"/>
    </w:pPr>
    <w:rPr>
      <w:rFonts w:ascii="Calibri" w:eastAsia="Calibri" w:hAnsi="Calibri"/>
      <w:sz w:val="20"/>
      <w:szCs w:val="20"/>
      <w:lang w:val="en-US" w:eastAsia="x-none"/>
    </w:rPr>
  </w:style>
  <w:style w:type="character" w:customStyle="1" w:styleId="EndnoteTextChar">
    <w:name w:val="Endnote Text Char"/>
    <w:link w:val="EndnoteText"/>
    <w:rsid w:val="00164FEB"/>
    <w:rPr>
      <w:rFonts w:ascii="Calibri" w:hAnsi="Calibri" w:cs="Times New Roman"/>
      <w:spacing w:val="0"/>
      <w:sz w:val="20"/>
      <w:szCs w:val="20"/>
      <w:lang w:val="en-US"/>
    </w:rPr>
  </w:style>
  <w:style w:type="character" w:customStyle="1" w:styleId="ListParagraphChar1">
    <w:name w:val="List Paragraph Char1"/>
    <w:aliases w:val="Colorful List - Accent 11 Char1,Párrafo de lista1 Char1,Footnote Char1,List Paragraph1 Char1"/>
    <w:uiPriority w:val="99"/>
    <w:locked/>
    <w:rsid w:val="00164FEB"/>
    <w:rPr>
      <w:rFonts w:ascii="Verdana" w:eastAsia="Times New Roman" w:hAnsi="Verdana" w:cs="Times New Roman"/>
      <w:sz w:val="16"/>
      <w:szCs w:val="20"/>
      <w:lang w:val="es-ES_tradnl"/>
    </w:rPr>
  </w:style>
  <w:style w:type="character" w:customStyle="1" w:styleId="Heading1Char">
    <w:name w:val="Heading 1 Char"/>
    <w:aliases w:val="Título Verdana Char"/>
    <w:link w:val="Heading1"/>
    <w:rsid w:val="00B77BF4"/>
    <w:rPr>
      <w:rFonts w:eastAsia="MS ????" w:cs="Verdana"/>
      <w:b/>
      <w:bCs/>
      <w:caps/>
      <w:snapToGrid w:val="0"/>
      <w:spacing w:val="-2"/>
      <w:sz w:val="20"/>
      <w:szCs w:val="20"/>
      <w:lang w:eastAsia="es-ES"/>
    </w:rPr>
  </w:style>
  <w:style w:type="character" w:customStyle="1" w:styleId="Heading4Char">
    <w:name w:val="Heading 4 Char"/>
    <w:link w:val="Heading4"/>
    <w:rsid w:val="006C6B60"/>
    <w:rPr>
      <w:rFonts w:eastAsia="Times New Roman"/>
      <w:i/>
      <w:spacing w:val="-2"/>
      <w:sz w:val="20"/>
      <w:szCs w:val="20"/>
      <w:lang w:val="es-VE" w:eastAsia="es-CR"/>
    </w:rPr>
  </w:style>
  <w:style w:type="character" w:customStyle="1" w:styleId="Heading5Char">
    <w:name w:val="Heading 5 Char"/>
    <w:link w:val="Heading5"/>
    <w:rsid w:val="009662BC"/>
    <w:rPr>
      <w:rFonts w:eastAsia="Times New Roman"/>
      <w:spacing w:val="-2"/>
      <w:sz w:val="20"/>
      <w:szCs w:val="20"/>
      <w:u w:val="single"/>
      <w:lang w:val="es-ES_tradnl" w:eastAsia="es-CR"/>
    </w:rPr>
  </w:style>
  <w:style w:type="character" w:customStyle="1" w:styleId="Heading6Char">
    <w:name w:val="Heading 6 Char"/>
    <w:link w:val="Heading6"/>
    <w:rsid w:val="009662BC"/>
    <w:rPr>
      <w:rFonts w:eastAsia="Times New Roman"/>
      <w:spacing w:val="-2"/>
      <w:lang w:val="es-ES_tradnl" w:eastAsia="x-none"/>
    </w:rPr>
  </w:style>
  <w:style w:type="character" w:customStyle="1" w:styleId="Heading7Char">
    <w:name w:val="Heading 7 Char"/>
    <w:link w:val="Heading7"/>
    <w:uiPriority w:val="9"/>
    <w:rsid w:val="00332FAD"/>
    <w:rPr>
      <w:rFonts w:ascii="Cambria" w:eastAsia="MS Gothic" w:hAnsi="Cambria" w:cs="Times New Roman"/>
      <w:i/>
      <w:iCs/>
      <w:spacing w:val="0"/>
      <w:sz w:val="22"/>
      <w:szCs w:val="22"/>
      <w:lang w:val="en-US" w:bidi="en-US"/>
    </w:rPr>
  </w:style>
  <w:style w:type="character" w:customStyle="1" w:styleId="Heading8Char">
    <w:name w:val="Heading 8 Char"/>
    <w:link w:val="Heading8"/>
    <w:uiPriority w:val="9"/>
    <w:rsid w:val="00332FAD"/>
    <w:rPr>
      <w:rFonts w:ascii="Cambria" w:eastAsia="MS Gothic" w:hAnsi="Cambria" w:cs="Times New Roman"/>
      <w:spacing w:val="0"/>
      <w:sz w:val="20"/>
      <w:szCs w:val="20"/>
      <w:lang w:val="en-US" w:bidi="en-US"/>
    </w:rPr>
  </w:style>
  <w:style w:type="character" w:customStyle="1" w:styleId="Heading9Char">
    <w:name w:val="Heading 9 Char"/>
    <w:link w:val="Heading9"/>
    <w:uiPriority w:val="9"/>
    <w:rsid w:val="00332FAD"/>
    <w:rPr>
      <w:rFonts w:ascii="Cambria" w:eastAsia="MS Gothic" w:hAnsi="Cambria" w:cs="Times New Roman"/>
      <w:i/>
      <w:iCs/>
      <w:spacing w:val="5"/>
      <w:sz w:val="20"/>
      <w:szCs w:val="20"/>
      <w:lang w:val="en-US" w:bidi="en-US"/>
    </w:rPr>
  </w:style>
  <w:style w:type="paragraph" w:customStyle="1" w:styleId="NormalNumbered">
    <w:name w:val="Normal Numbered"/>
    <w:basedOn w:val="Normal"/>
    <w:link w:val="NormalNumberedChar"/>
    <w:rsid w:val="00332FAD"/>
    <w:pPr>
      <w:widowControl/>
      <w:numPr>
        <w:numId w:val="3"/>
      </w:numPr>
      <w:adjustRightInd/>
      <w:spacing w:line="240" w:lineRule="auto"/>
      <w:ind w:left="0" w:firstLine="0"/>
      <w:textAlignment w:val="auto"/>
    </w:pPr>
    <w:rPr>
      <w:sz w:val="20"/>
      <w:szCs w:val="20"/>
      <w:lang w:val="en-US" w:eastAsia="x-none" w:bidi="en-US"/>
    </w:rPr>
  </w:style>
  <w:style w:type="character" w:customStyle="1" w:styleId="NormalNumberedChar">
    <w:name w:val="Normal Numbered Char"/>
    <w:link w:val="NormalNumbered"/>
    <w:rsid w:val="00332FAD"/>
    <w:rPr>
      <w:rFonts w:eastAsia="Times New Roman"/>
      <w:lang w:eastAsia="x-none" w:bidi="en-US"/>
    </w:rPr>
  </w:style>
  <w:style w:type="character" w:customStyle="1" w:styleId="PrrafodeSentenciaChar">
    <w:name w:val="*. Párrafo de Sentencia Char"/>
    <w:link w:val="PrrafodeSentencia"/>
    <w:rsid w:val="00364A22"/>
    <w:rPr>
      <w:rFonts w:eastAsia="Batang"/>
      <w:b/>
      <w:i/>
      <w:lang w:val="es-ES_tradnl" w:eastAsia="es-MX"/>
    </w:rPr>
  </w:style>
  <w:style w:type="paragraph" w:customStyle="1" w:styleId="Footnotes">
    <w:name w:val="**. Footnotes"/>
    <w:basedOn w:val="FootnoteText"/>
    <w:link w:val="FootnotesChar"/>
    <w:autoRedefine/>
    <w:qFormat/>
    <w:rsid w:val="00332FAD"/>
    <w:pPr>
      <w:widowControl/>
      <w:adjustRightInd/>
      <w:spacing w:before="120" w:after="120"/>
      <w:jc w:val="center"/>
      <w:textAlignment w:val="auto"/>
    </w:pPr>
    <w:rPr>
      <w:rFonts w:cs="Palatino-Italic"/>
      <w:iCs/>
      <w:sz w:val="16"/>
      <w:szCs w:val="18"/>
      <w:lang w:val="es-ES" w:bidi="en-US"/>
    </w:rPr>
  </w:style>
  <w:style w:type="character" w:customStyle="1" w:styleId="FootnotesChar">
    <w:name w:val="**. Footnotes Char"/>
    <w:link w:val="Footnotes"/>
    <w:rsid w:val="00332FAD"/>
    <w:rPr>
      <w:rFonts w:eastAsia="Times New Roman" w:cs="Palatino-Italic"/>
      <w:iCs/>
      <w:spacing w:val="0"/>
      <w:sz w:val="16"/>
      <w:szCs w:val="18"/>
      <w:lang w:val="es-ES" w:bidi="en-US"/>
    </w:rPr>
  </w:style>
  <w:style w:type="paragraph" w:customStyle="1" w:styleId="Prrafodelista2">
    <w:name w:val="Párrafo de lista2"/>
    <w:basedOn w:val="Normal"/>
    <w:uiPriority w:val="99"/>
    <w:rsid w:val="00332FAD"/>
    <w:pPr>
      <w:widowControl/>
      <w:adjustRightInd/>
      <w:spacing w:line="240" w:lineRule="auto"/>
      <w:ind w:left="720"/>
      <w:jc w:val="left"/>
      <w:textAlignment w:val="auto"/>
    </w:pPr>
    <w:rPr>
      <w:rFonts w:eastAsia="MS Mincho"/>
      <w:sz w:val="20"/>
      <w:szCs w:val="20"/>
      <w:lang w:val="es-ES_tradnl" w:eastAsia="en-US" w:bidi="en-US"/>
    </w:rPr>
  </w:style>
  <w:style w:type="paragraph" w:styleId="Subtitle">
    <w:name w:val="Subtitle"/>
    <w:basedOn w:val="Normal"/>
    <w:next w:val="Normal"/>
    <w:link w:val="SubtitleChar"/>
    <w:qFormat/>
    <w:rsid w:val="00332FAD"/>
    <w:pPr>
      <w:widowControl/>
      <w:adjustRightInd/>
      <w:spacing w:after="600" w:line="276" w:lineRule="auto"/>
      <w:jc w:val="left"/>
      <w:textAlignment w:val="auto"/>
    </w:pPr>
    <w:rPr>
      <w:rFonts w:ascii="Cambria" w:eastAsia="MS Gothic" w:hAnsi="Cambria"/>
      <w:i/>
      <w:iCs/>
      <w:spacing w:val="13"/>
      <w:sz w:val="20"/>
      <w:szCs w:val="20"/>
      <w:lang w:val="en-US" w:eastAsia="x-none" w:bidi="en-US"/>
    </w:rPr>
  </w:style>
  <w:style w:type="character" w:customStyle="1" w:styleId="SubtitleChar">
    <w:name w:val="Subtitle Char"/>
    <w:link w:val="Subtitle"/>
    <w:rsid w:val="00332FAD"/>
    <w:rPr>
      <w:rFonts w:ascii="Cambria" w:eastAsia="MS Gothic" w:hAnsi="Cambria" w:cs="Times New Roman"/>
      <w:i/>
      <w:iCs/>
      <w:spacing w:val="13"/>
      <w:lang w:val="en-US" w:bidi="en-US"/>
    </w:rPr>
  </w:style>
  <w:style w:type="character" w:styleId="Strong">
    <w:name w:val="Strong"/>
    <w:uiPriority w:val="22"/>
    <w:qFormat/>
    <w:rsid w:val="00332FAD"/>
    <w:rPr>
      <w:b/>
      <w:bCs/>
    </w:rPr>
  </w:style>
  <w:style w:type="character" w:styleId="Emphasis">
    <w:name w:val="Emphasis"/>
    <w:uiPriority w:val="20"/>
    <w:qFormat/>
    <w:rsid w:val="00332FAD"/>
    <w:rPr>
      <w:b/>
      <w:bCs/>
      <w:i/>
      <w:iCs/>
      <w:spacing w:val="10"/>
      <w:bdr w:val="none" w:sz="0" w:space="0" w:color="auto"/>
      <w:shd w:val="clear" w:color="auto" w:fill="auto"/>
    </w:rPr>
  </w:style>
  <w:style w:type="paragraph" w:customStyle="1" w:styleId="ColorfulList-Accent31">
    <w:name w:val="Colorful List - Accent 31"/>
    <w:basedOn w:val="Normal"/>
    <w:next w:val="Normal"/>
    <w:link w:val="ColorfulList-Accent3Char"/>
    <w:uiPriority w:val="29"/>
    <w:qFormat/>
    <w:rsid w:val="00332FAD"/>
    <w:pPr>
      <w:widowControl/>
      <w:adjustRightInd/>
      <w:spacing w:before="200" w:line="276" w:lineRule="auto"/>
      <w:ind w:left="360" w:right="360"/>
      <w:jc w:val="left"/>
      <w:textAlignment w:val="auto"/>
    </w:pPr>
    <w:rPr>
      <w:rFonts w:ascii="Calibri" w:eastAsia="MS Mincho" w:hAnsi="Calibri"/>
      <w:i/>
      <w:iCs/>
      <w:sz w:val="22"/>
      <w:szCs w:val="22"/>
      <w:lang w:val="en-US" w:eastAsia="x-none" w:bidi="en-US"/>
    </w:rPr>
  </w:style>
  <w:style w:type="character" w:customStyle="1" w:styleId="ColorfulList-Accent3Char">
    <w:name w:val="Colorful List - Accent 3 Char"/>
    <w:link w:val="ColorfulList-Accent31"/>
    <w:uiPriority w:val="29"/>
    <w:rsid w:val="00332FAD"/>
    <w:rPr>
      <w:rFonts w:ascii="Calibri" w:eastAsia="MS Mincho" w:hAnsi="Calibri" w:cs="Times New Roman"/>
      <w:i/>
      <w:iCs/>
      <w:spacing w:val="0"/>
      <w:sz w:val="22"/>
      <w:szCs w:val="22"/>
      <w:lang w:val="en-US" w:bidi="en-US"/>
    </w:rPr>
  </w:style>
  <w:style w:type="paragraph" w:customStyle="1" w:styleId="ColorfulGrid-Accent31">
    <w:name w:val="Colorful Grid - Accent 31"/>
    <w:basedOn w:val="Normal"/>
    <w:next w:val="Normal"/>
    <w:link w:val="ColorfulGrid-Accent3Char"/>
    <w:uiPriority w:val="30"/>
    <w:qFormat/>
    <w:rsid w:val="00332FAD"/>
    <w:pPr>
      <w:widowControl/>
      <w:pBdr>
        <w:bottom w:val="single" w:sz="4" w:space="1" w:color="auto"/>
      </w:pBdr>
      <w:adjustRightInd/>
      <w:spacing w:before="200" w:after="280" w:line="276" w:lineRule="auto"/>
      <w:ind w:left="1008" w:right="1152"/>
      <w:textAlignment w:val="auto"/>
    </w:pPr>
    <w:rPr>
      <w:rFonts w:ascii="Calibri" w:eastAsia="MS Mincho" w:hAnsi="Calibri"/>
      <w:b/>
      <w:bCs/>
      <w:i/>
      <w:iCs/>
      <w:sz w:val="22"/>
      <w:szCs w:val="22"/>
      <w:lang w:val="en-US" w:eastAsia="x-none" w:bidi="en-US"/>
    </w:rPr>
  </w:style>
  <w:style w:type="character" w:customStyle="1" w:styleId="ColorfulGrid-Accent3Char">
    <w:name w:val="Colorful Grid - Accent 3 Char"/>
    <w:link w:val="ColorfulGrid-Accent31"/>
    <w:uiPriority w:val="30"/>
    <w:rsid w:val="00332FAD"/>
    <w:rPr>
      <w:rFonts w:ascii="Calibri" w:eastAsia="MS Mincho" w:hAnsi="Calibri" w:cs="Times New Roman"/>
      <w:b/>
      <w:bCs/>
      <w:i/>
      <w:iCs/>
      <w:spacing w:val="0"/>
      <w:sz w:val="22"/>
      <w:szCs w:val="22"/>
      <w:lang w:val="en-US" w:bidi="en-US"/>
    </w:rPr>
  </w:style>
  <w:style w:type="character" w:customStyle="1" w:styleId="nfasissutil1">
    <w:name w:val="Énfasis sutil1"/>
    <w:uiPriority w:val="19"/>
    <w:qFormat/>
    <w:rsid w:val="00332FAD"/>
    <w:rPr>
      <w:i/>
      <w:iCs/>
    </w:rPr>
  </w:style>
  <w:style w:type="character" w:customStyle="1" w:styleId="nfasisintenso1">
    <w:name w:val="Énfasis intenso1"/>
    <w:uiPriority w:val="21"/>
    <w:qFormat/>
    <w:rsid w:val="00332FAD"/>
    <w:rPr>
      <w:b/>
      <w:bCs/>
    </w:rPr>
  </w:style>
  <w:style w:type="character" w:customStyle="1" w:styleId="Referenciasutil1">
    <w:name w:val="Referencia sutil1"/>
    <w:uiPriority w:val="31"/>
    <w:qFormat/>
    <w:rsid w:val="00332FAD"/>
    <w:rPr>
      <w:smallCaps/>
    </w:rPr>
  </w:style>
  <w:style w:type="character" w:customStyle="1" w:styleId="Referenciaintensa1">
    <w:name w:val="Referencia intensa1"/>
    <w:uiPriority w:val="32"/>
    <w:qFormat/>
    <w:rsid w:val="00332FAD"/>
    <w:rPr>
      <w:smallCaps/>
      <w:spacing w:val="5"/>
      <w:u w:val="single"/>
    </w:rPr>
  </w:style>
  <w:style w:type="character" w:customStyle="1" w:styleId="Ttulodelibro">
    <w:name w:val="Título de libro"/>
    <w:uiPriority w:val="33"/>
    <w:qFormat/>
    <w:rsid w:val="00332FAD"/>
    <w:rPr>
      <w:i/>
      <w:iCs/>
      <w:smallCaps/>
      <w:spacing w:val="5"/>
    </w:rPr>
  </w:style>
  <w:style w:type="paragraph" w:customStyle="1" w:styleId="Encabezadodetabladecontenido">
    <w:name w:val="Encabezado de tabla de contenido"/>
    <w:basedOn w:val="Heading1"/>
    <w:next w:val="Normal"/>
    <w:uiPriority w:val="39"/>
    <w:semiHidden/>
    <w:unhideWhenUsed/>
    <w:qFormat/>
    <w:rsid w:val="00332FAD"/>
    <w:pPr>
      <w:outlineLvl w:val="9"/>
    </w:pPr>
  </w:style>
  <w:style w:type="character" w:customStyle="1" w:styleId="shorttext">
    <w:name w:val="shorttext"/>
    <w:basedOn w:val="DefaultParagraphFont"/>
    <w:rsid w:val="00332FAD"/>
  </w:style>
  <w:style w:type="character" w:customStyle="1" w:styleId="shorttext0">
    <w:name w:val="short_text"/>
    <w:basedOn w:val="DefaultParagraphFont"/>
    <w:rsid w:val="00332FAD"/>
  </w:style>
  <w:style w:type="paragraph" w:styleId="BodyText2">
    <w:name w:val="Body Text 2"/>
    <w:basedOn w:val="Normal"/>
    <w:link w:val="BodyText2Char"/>
    <w:rsid w:val="00332FAD"/>
    <w:pPr>
      <w:widowControl/>
      <w:adjustRightInd/>
      <w:spacing w:after="120" w:line="480" w:lineRule="auto"/>
      <w:jc w:val="left"/>
      <w:textAlignment w:val="auto"/>
    </w:pPr>
    <w:rPr>
      <w:rFonts w:ascii="Times New Roman" w:hAnsi="Times New Roman"/>
      <w:sz w:val="20"/>
      <w:szCs w:val="20"/>
      <w:lang w:val="es-ES_tradnl" w:eastAsia="x-none"/>
    </w:rPr>
  </w:style>
  <w:style w:type="character" w:customStyle="1" w:styleId="BodyText2Char">
    <w:name w:val="Body Text 2 Char"/>
    <w:link w:val="BodyText2"/>
    <w:rsid w:val="00332FAD"/>
    <w:rPr>
      <w:rFonts w:ascii="Times New Roman" w:eastAsia="Times New Roman" w:hAnsi="Times New Roman"/>
      <w:spacing w:val="0"/>
      <w:lang w:val="es-ES_tradnl"/>
    </w:rPr>
  </w:style>
  <w:style w:type="paragraph" w:customStyle="1" w:styleId="Textomacro1">
    <w:name w:val="Texto macro1"/>
    <w:basedOn w:val="Normal"/>
    <w:rsid w:val="00332FAD"/>
    <w:pPr>
      <w:widowControl/>
      <w:adjustRightInd/>
      <w:spacing w:line="240" w:lineRule="auto"/>
      <w:jc w:val="left"/>
      <w:textAlignment w:val="auto"/>
    </w:pPr>
    <w:rPr>
      <w:szCs w:val="20"/>
      <w:lang w:val="es-ES_tradnl" w:eastAsia="es-ES"/>
    </w:rPr>
  </w:style>
  <w:style w:type="character" w:customStyle="1" w:styleId="Caracteresdenotafinal">
    <w:name w:val="Caracteres de nota final"/>
    <w:rsid w:val="001A5CA7"/>
    <w:rPr>
      <w:vertAlign w:val="superscript"/>
    </w:rPr>
  </w:style>
  <w:style w:type="character" w:styleId="LineNumber">
    <w:name w:val="line number"/>
    <w:uiPriority w:val="99"/>
    <w:semiHidden/>
    <w:unhideWhenUsed/>
    <w:rsid w:val="008E3D5E"/>
    <w:rPr>
      <w:rFonts w:ascii="Verdana" w:hAnsi="Verdana"/>
      <w:sz w:val="20"/>
    </w:rPr>
  </w:style>
  <w:style w:type="paragraph" w:styleId="DocumentMap">
    <w:name w:val="Document Map"/>
    <w:basedOn w:val="Normal"/>
    <w:link w:val="DocumentMapChar"/>
    <w:uiPriority w:val="99"/>
    <w:semiHidden/>
    <w:unhideWhenUsed/>
    <w:rsid w:val="00B77BF4"/>
    <w:pPr>
      <w:spacing w:line="240" w:lineRule="auto"/>
    </w:pPr>
    <w:rPr>
      <w:rFonts w:ascii="Tahoma" w:hAnsi="Tahoma"/>
      <w:sz w:val="16"/>
      <w:szCs w:val="16"/>
      <w:lang w:val="x-none"/>
    </w:rPr>
  </w:style>
  <w:style w:type="character" w:customStyle="1" w:styleId="DocumentMapChar">
    <w:name w:val="Document Map Char"/>
    <w:link w:val="DocumentMap"/>
    <w:uiPriority w:val="99"/>
    <w:semiHidden/>
    <w:rsid w:val="00B77BF4"/>
    <w:rPr>
      <w:rFonts w:ascii="Tahoma" w:eastAsia="Times New Roman" w:hAnsi="Tahoma" w:cs="Tahoma"/>
      <w:spacing w:val="0"/>
      <w:sz w:val="16"/>
      <w:szCs w:val="16"/>
      <w:lang w:eastAsia="es-CR"/>
    </w:rPr>
  </w:style>
  <w:style w:type="paragraph" w:styleId="TOC2">
    <w:name w:val="toc 2"/>
    <w:basedOn w:val="Normal"/>
    <w:next w:val="Normal"/>
    <w:autoRedefine/>
    <w:uiPriority w:val="39"/>
    <w:unhideWhenUsed/>
    <w:qFormat/>
    <w:rsid w:val="00BC21D4"/>
    <w:pPr>
      <w:tabs>
        <w:tab w:val="left" w:pos="540"/>
        <w:tab w:val="right" w:leader="dot" w:pos="9638"/>
      </w:tabs>
      <w:spacing w:line="240" w:lineRule="auto"/>
      <w:ind w:left="240"/>
      <w:jc w:val="left"/>
    </w:pPr>
    <w:rPr>
      <w:sz w:val="20"/>
    </w:rPr>
  </w:style>
  <w:style w:type="paragraph" w:styleId="TOC1">
    <w:name w:val="toc 1"/>
    <w:basedOn w:val="Normal"/>
    <w:next w:val="Normal"/>
    <w:autoRedefine/>
    <w:uiPriority w:val="39"/>
    <w:unhideWhenUsed/>
    <w:qFormat/>
    <w:rsid w:val="009020C5"/>
    <w:pPr>
      <w:tabs>
        <w:tab w:val="right" w:leader="dot" w:pos="9639"/>
      </w:tabs>
      <w:spacing w:line="240" w:lineRule="auto"/>
    </w:pPr>
    <w:rPr>
      <w:rFonts w:eastAsia="ヒラギノ角ゴ Pro W3"/>
      <w:b/>
      <w:noProof/>
      <w:sz w:val="20"/>
      <w:szCs w:val="18"/>
      <w:lang w:val="es-PR" w:eastAsia="x-none"/>
    </w:rPr>
  </w:style>
  <w:style w:type="paragraph" w:styleId="TOC3">
    <w:name w:val="toc 3"/>
    <w:basedOn w:val="Normal"/>
    <w:next w:val="Normal"/>
    <w:autoRedefine/>
    <w:uiPriority w:val="39"/>
    <w:unhideWhenUsed/>
    <w:qFormat/>
    <w:rsid w:val="00452519"/>
    <w:pPr>
      <w:spacing w:line="240" w:lineRule="auto"/>
      <w:ind w:left="480"/>
    </w:pPr>
    <w:rPr>
      <w:sz w:val="20"/>
    </w:rPr>
  </w:style>
  <w:style w:type="paragraph" w:styleId="TOC4">
    <w:name w:val="toc 4"/>
    <w:basedOn w:val="Normal"/>
    <w:next w:val="Normal"/>
    <w:autoRedefine/>
    <w:uiPriority w:val="39"/>
    <w:unhideWhenUsed/>
    <w:rsid w:val="00452519"/>
    <w:pPr>
      <w:spacing w:line="240" w:lineRule="auto"/>
      <w:ind w:left="720"/>
    </w:pPr>
    <w:rPr>
      <w:sz w:val="20"/>
    </w:rPr>
  </w:style>
  <w:style w:type="paragraph" w:styleId="TOC5">
    <w:name w:val="toc 5"/>
    <w:basedOn w:val="Normal"/>
    <w:next w:val="Normal"/>
    <w:autoRedefine/>
    <w:uiPriority w:val="39"/>
    <w:unhideWhenUsed/>
    <w:rsid w:val="00444B5F"/>
    <w:pPr>
      <w:widowControl/>
      <w:adjustRightInd/>
      <w:spacing w:after="100" w:line="240" w:lineRule="auto"/>
      <w:ind w:left="880"/>
      <w:jc w:val="left"/>
      <w:textAlignment w:val="auto"/>
    </w:pPr>
    <w:rPr>
      <w:rFonts w:eastAsia="MS Mincho"/>
      <w:sz w:val="20"/>
      <w:szCs w:val="22"/>
    </w:rPr>
  </w:style>
  <w:style w:type="paragraph" w:styleId="TOC6">
    <w:name w:val="toc 6"/>
    <w:basedOn w:val="Normal"/>
    <w:next w:val="Normal"/>
    <w:autoRedefine/>
    <w:uiPriority w:val="39"/>
    <w:unhideWhenUsed/>
    <w:rsid w:val="002B7BCA"/>
    <w:pPr>
      <w:widowControl/>
      <w:adjustRightInd/>
      <w:spacing w:after="100" w:line="276" w:lineRule="auto"/>
      <w:ind w:left="1100"/>
      <w:jc w:val="left"/>
      <w:textAlignment w:val="auto"/>
    </w:pPr>
    <w:rPr>
      <w:rFonts w:ascii="Calibri" w:eastAsia="MS Mincho" w:hAnsi="Calibri"/>
      <w:sz w:val="22"/>
      <w:szCs w:val="22"/>
    </w:rPr>
  </w:style>
  <w:style w:type="paragraph" w:styleId="TOC7">
    <w:name w:val="toc 7"/>
    <w:basedOn w:val="Normal"/>
    <w:next w:val="Normal"/>
    <w:autoRedefine/>
    <w:uiPriority w:val="39"/>
    <w:unhideWhenUsed/>
    <w:rsid w:val="002B7BCA"/>
    <w:pPr>
      <w:widowControl/>
      <w:adjustRightInd/>
      <w:spacing w:after="100" w:line="276" w:lineRule="auto"/>
      <w:ind w:left="1320"/>
      <w:jc w:val="left"/>
      <w:textAlignment w:val="auto"/>
    </w:pPr>
    <w:rPr>
      <w:rFonts w:ascii="Calibri" w:eastAsia="MS Mincho" w:hAnsi="Calibri"/>
      <w:sz w:val="22"/>
      <w:szCs w:val="22"/>
    </w:rPr>
  </w:style>
  <w:style w:type="paragraph" w:styleId="TOC8">
    <w:name w:val="toc 8"/>
    <w:basedOn w:val="Normal"/>
    <w:next w:val="Normal"/>
    <w:autoRedefine/>
    <w:uiPriority w:val="39"/>
    <w:unhideWhenUsed/>
    <w:rsid w:val="002B7BCA"/>
    <w:pPr>
      <w:widowControl/>
      <w:adjustRightInd/>
      <w:spacing w:after="100" w:line="276" w:lineRule="auto"/>
      <w:ind w:left="1540"/>
      <w:jc w:val="left"/>
      <w:textAlignment w:val="auto"/>
    </w:pPr>
    <w:rPr>
      <w:rFonts w:ascii="Calibri" w:eastAsia="MS Mincho" w:hAnsi="Calibri"/>
      <w:sz w:val="22"/>
      <w:szCs w:val="22"/>
    </w:rPr>
  </w:style>
  <w:style w:type="paragraph" w:styleId="TOC9">
    <w:name w:val="toc 9"/>
    <w:basedOn w:val="Normal"/>
    <w:next w:val="Normal"/>
    <w:autoRedefine/>
    <w:uiPriority w:val="39"/>
    <w:unhideWhenUsed/>
    <w:rsid w:val="002B7BCA"/>
    <w:pPr>
      <w:widowControl/>
      <w:adjustRightInd/>
      <w:spacing w:after="100" w:line="276" w:lineRule="auto"/>
      <w:ind w:left="1760"/>
      <w:jc w:val="left"/>
      <w:textAlignment w:val="auto"/>
    </w:pPr>
    <w:rPr>
      <w:rFonts w:ascii="Calibri" w:eastAsia="MS Mincho" w:hAnsi="Calibri"/>
      <w:sz w:val="22"/>
      <w:szCs w:val="22"/>
    </w:rPr>
  </w:style>
  <w:style w:type="table" w:styleId="TableGrid">
    <w:name w:val="Table Grid"/>
    <w:basedOn w:val="TableNormal"/>
    <w:uiPriority w:val="59"/>
    <w:rsid w:val="00B44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074F11"/>
    <w:rPr>
      <w:vertAlign w:val="superscript"/>
    </w:rPr>
  </w:style>
  <w:style w:type="paragraph" w:customStyle="1" w:styleId="LightGrid-Accent31">
    <w:name w:val="Light Grid - Accent 31"/>
    <w:aliases w:val="Párrafo de lista1,Footnote,Colorful List - Accent 11,List Paragraph1,Lista Colorida - Ênfase 11"/>
    <w:basedOn w:val="Normal"/>
    <w:link w:val="LightGrid-Accent3Char"/>
    <w:uiPriority w:val="34"/>
    <w:qFormat/>
    <w:rsid w:val="00294925"/>
    <w:pPr>
      <w:widowControl/>
      <w:adjustRightInd/>
      <w:spacing w:after="200" w:line="276" w:lineRule="auto"/>
      <w:ind w:left="720"/>
      <w:contextualSpacing/>
      <w:jc w:val="left"/>
      <w:textAlignment w:val="auto"/>
    </w:pPr>
    <w:rPr>
      <w:rFonts w:ascii="Calibri" w:eastAsia="Calibri" w:hAnsi="Calibri"/>
      <w:sz w:val="22"/>
      <w:szCs w:val="22"/>
      <w:lang w:val="es-CO" w:eastAsia="en-US"/>
    </w:rPr>
  </w:style>
  <w:style w:type="character" w:customStyle="1" w:styleId="LightGrid-Accent3Char">
    <w:name w:val="Light Grid - Accent 3 Char"/>
    <w:aliases w:val="Párrafo de lista1 Char,Footnote Char,Colorful List - Accent 11 Char,List Paragraph1 Char,Lista Colorida - Ênfase 11 Char,List Paragraph Char,List Paragraph2 Char,Lista vistosa - Énfasis 11 Char"/>
    <w:link w:val="LightGrid-Accent31"/>
    <w:uiPriority w:val="34"/>
    <w:locked/>
    <w:rsid w:val="00294925"/>
    <w:rPr>
      <w:rFonts w:ascii="Calibri" w:eastAsia="Calibri" w:hAnsi="Calibri" w:cs="Times New Roman"/>
      <w:sz w:val="22"/>
      <w:szCs w:val="22"/>
      <w:lang w:val="es-CO" w:eastAsia="en-US"/>
    </w:rPr>
  </w:style>
  <w:style w:type="paragraph" w:styleId="BodyTextIndent2">
    <w:name w:val="Body Text Indent 2"/>
    <w:basedOn w:val="Normal"/>
    <w:link w:val="BodyTextIndent2Char"/>
    <w:uiPriority w:val="99"/>
    <w:unhideWhenUsed/>
    <w:rsid w:val="006E0CAD"/>
    <w:pPr>
      <w:spacing w:after="120" w:line="480" w:lineRule="auto"/>
      <w:ind w:left="283"/>
    </w:pPr>
    <w:rPr>
      <w:lang w:val="x-none" w:eastAsia="x-none"/>
    </w:rPr>
  </w:style>
  <w:style w:type="character" w:customStyle="1" w:styleId="BodyTextIndent2Char">
    <w:name w:val="Body Text Indent 2 Char"/>
    <w:link w:val="BodyTextIndent2"/>
    <w:uiPriority w:val="99"/>
    <w:rsid w:val="006E0CAD"/>
    <w:rPr>
      <w:rFonts w:eastAsia="Times New Roman"/>
      <w:sz w:val="24"/>
      <w:szCs w:val="24"/>
    </w:rPr>
  </w:style>
  <w:style w:type="paragraph" w:customStyle="1" w:styleId="PargrafodaLista">
    <w:name w:val="Parágrafo da Lista"/>
    <w:basedOn w:val="Normal"/>
    <w:uiPriority w:val="34"/>
    <w:qFormat/>
    <w:rsid w:val="006E0CAD"/>
    <w:pPr>
      <w:widowControl/>
      <w:adjustRightInd/>
      <w:spacing w:line="240" w:lineRule="auto"/>
      <w:ind w:left="708"/>
      <w:jc w:val="left"/>
      <w:textAlignment w:val="auto"/>
    </w:pPr>
    <w:rPr>
      <w:rFonts w:ascii="Times New Roman" w:hAnsi="Times New Roman"/>
      <w:lang w:val="en-US" w:eastAsia="en-US"/>
    </w:rPr>
  </w:style>
  <w:style w:type="character" w:customStyle="1" w:styleId="s7d2086b4">
    <w:name w:val="s7d2086b4"/>
    <w:basedOn w:val="DefaultParagraphFont"/>
    <w:rsid w:val="008A0B10"/>
  </w:style>
  <w:style w:type="paragraph" w:customStyle="1" w:styleId="JuPara">
    <w:name w:val="Ju_Para"/>
    <w:basedOn w:val="Normal"/>
    <w:link w:val="JuParaCar"/>
    <w:rsid w:val="008A0B10"/>
    <w:pPr>
      <w:widowControl/>
      <w:suppressAutoHyphens/>
      <w:adjustRightInd/>
      <w:spacing w:line="240" w:lineRule="auto"/>
      <w:ind w:firstLine="284"/>
      <w:textAlignment w:val="auto"/>
    </w:pPr>
    <w:rPr>
      <w:rFonts w:ascii="Times New Roman" w:hAnsi="Times New Roman"/>
      <w:szCs w:val="20"/>
      <w:lang w:val="en-GB" w:eastAsia="fr-FR"/>
    </w:rPr>
  </w:style>
  <w:style w:type="character" w:customStyle="1" w:styleId="JuParaCar">
    <w:name w:val="Ju_Para Car"/>
    <w:link w:val="JuPara"/>
    <w:rsid w:val="008A0B10"/>
    <w:rPr>
      <w:rFonts w:ascii="Times New Roman" w:eastAsia="Times New Roman" w:hAnsi="Times New Roman"/>
      <w:sz w:val="24"/>
      <w:lang w:val="en-GB" w:eastAsia="fr-FR"/>
    </w:rPr>
  </w:style>
  <w:style w:type="paragraph" w:customStyle="1" w:styleId="Encabezadodetabladecontenido1">
    <w:name w:val="Encabezado de tabla de contenido1"/>
    <w:basedOn w:val="Heading1"/>
    <w:next w:val="Normal"/>
    <w:uiPriority w:val="39"/>
    <w:semiHidden/>
    <w:unhideWhenUsed/>
    <w:qFormat/>
    <w:rsid w:val="00BA62DD"/>
    <w:pPr>
      <w:widowControl/>
      <w:tabs>
        <w:tab w:val="clear" w:pos="720"/>
      </w:tabs>
      <w:adjustRightInd/>
      <w:spacing w:before="480" w:line="276" w:lineRule="auto"/>
      <w:jc w:val="left"/>
      <w:textAlignment w:val="auto"/>
      <w:outlineLvl w:val="9"/>
    </w:pPr>
    <w:rPr>
      <w:rFonts w:ascii="Cambria" w:eastAsia="Times New Roman" w:hAnsi="Cambria"/>
      <w:caps w:val="0"/>
      <w:snapToGrid/>
      <w:color w:val="365F91"/>
      <w:spacing w:val="0"/>
      <w:sz w:val="28"/>
      <w:szCs w:val="28"/>
      <w:lang w:val="en-US" w:eastAsia="en-US"/>
    </w:rPr>
  </w:style>
  <w:style w:type="character" w:customStyle="1" w:styleId="Estilo2Car">
    <w:name w:val="Estilo2 Car"/>
    <w:link w:val="Estilo2"/>
    <w:rsid w:val="00DC1FEB"/>
    <w:rPr>
      <w:sz w:val="24"/>
      <w:szCs w:val="24"/>
    </w:rPr>
  </w:style>
  <w:style w:type="character" w:customStyle="1" w:styleId="ListParagraphChar2">
    <w:name w:val="List Paragraph Char2"/>
    <w:locked/>
    <w:rsid w:val="00463A67"/>
    <w:rPr>
      <w:rFonts w:ascii="Verdana" w:eastAsia="Times New Roman" w:hAnsi="Verdana"/>
      <w:szCs w:val="24"/>
      <w:lang w:val="es-ES_tradnl" w:eastAsia="en-US"/>
    </w:rPr>
  </w:style>
  <w:style w:type="paragraph" w:customStyle="1" w:styleId="MediumGrid1-Accent21">
    <w:name w:val="Medium Grid 1 - Accent 21"/>
    <w:basedOn w:val="Normal"/>
    <w:uiPriority w:val="34"/>
    <w:qFormat/>
    <w:rsid w:val="00DB6650"/>
    <w:pPr>
      <w:ind w:left="708"/>
    </w:pPr>
  </w:style>
  <w:style w:type="paragraph" w:customStyle="1" w:styleId="Estilo3">
    <w:name w:val="Estilo3"/>
    <w:basedOn w:val="MediumGrid1-Accent21"/>
    <w:qFormat/>
    <w:rsid w:val="007C030A"/>
    <w:pPr>
      <w:spacing w:after="120"/>
      <w:ind w:left="0" w:firstLine="1559"/>
    </w:pPr>
    <w:rPr>
      <w:lang w:val="es-PR"/>
    </w:rPr>
  </w:style>
  <w:style w:type="character" w:customStyle="1" w:styleId="Heading3Char1">
    <w:name w:val="Heading 3 Char1"/>
    <w:uiPriority w:val="9"/>
    <w:rsid w:val="007C030A"/>
    <w:rPr>
      <w:rFonts w:ascii="Verdana" w:eastAsia="Calibri" w:hAnsi="Verdana" w:cs="Times New Roman"/>
      <w:b/>
      <w:spacing w:val="-2"/>
      <w:sz w:val="20"/>
      <w:szCs w:val="20"/>
      <w:lang w:val="es-ES" w:eastAsia="x-none"/>
    </w:rPr>
  </w:style>
  <w:style w:type="character" w:customStyle="1" w:styleId="Heading4Char1">
    <w:name w:val="Heading 4 Char1"/>
    <w:uiPriority w:val="9"/>
    <w:rsid w:val="007C030A"/>
    <w:rPr>
      <w:rFonts w:ascii="Verdana" w:eastAsia="Times New Roman" w:hAnsi="Verdana" w:cs="Times New Roman"/>
      <w:i/>
      <w:spacing w:val="-2"/>
      <w:sz w:val="20"/>
      <w:szCs w:val="20"/>
      <w:lang w:val="es-VE" w:eastAsia="es-CR"/>
    </w:rPr>
  </w:style>
  <w:style w:type="character" w:customStyle="1" w:styleId="Heading6Char1">
    <w:name w:val="Heading 6 Char1"/>
    <w:uiPriority w:val="9"/>
    <w:rsid w:val="007C030A"/>
    <w:rPr>
      <w:rFonts w:ascii="Verdana" w:eastAsia="Times New Roman" w:hAnsi="Verdana" w:cs="Times New Roman"/>
      <w:spacing w:val="-2"/>
      <w:sz w:val="20"/>
      <w:szCs w:val="20"/>
      <w:lang w:val="es-ES_tradnl" w:eastAsia="x-none"/>
    </w:rPr>
  </w:style>
  <w:style w:type="character" w:customStyle="1" w:styleId="HeaderChar1">
    <w:name w:val="Header Char1"/>
    <w:uiPriority w:val="99"/>
    <w:rsid w:val="007C030A"/>
  </w:style>
  <w:style w:type="character" w:customStyle="1" w:styleId="FooterChar1">
    <w:name w:val="Footer Char1"/>
    <w:uiPriority w:val="99"/>
    <w:rsid w:val="007C030A"/>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rsid w:val="007C030A"/>
    <w:rPr>
      <w:sz w:val="20"/>
      <w:szCs w:val="20"/>
    </w:rPr>
  </w:style>
  <w:style w:type="paragraph" w:customStyle="1" w:styleId="s269b7f08">
    <w:name w:val="s269b7f08"/>
    <w:basedOn w:val="Normal"/>
    <w:rsid w:val="007C030A"/>
    <w:pPr>
      <w:widowControl/>
      <w:adjustRightInd/>
      <w:spacing w:before="100" w:beforeAutospacing="1" w:after="100" w:afterAutospacing="1" w:line="240" w:lineRule="auto"/>
      <w:jc w:val="left"/>
      <w:textAlignment w:val="auto"/>
    </w:pPr>
    <w:rPr>
      <w:rFonts w:ascii="Times New Roman" w:hAnsi="Times New Roman"/>
      <w:lang w:val="es-MX" w:eastAsia="es-MX"/>
    </w:rPr>
  </w:style>
  <w:style w:type="character" w:customStyle="1" w:styleId="sf6541cea">
    <w:name w:val="sf6541cea"/>
    <w:rsid w:val="007C030A"/>
  </w:style>
  <w:style w:type="character" w:customStyle="1" w:styleId="wordhighlighted">
    <w:name w:val="wordhighlighted"/>
    <w:rsid w:val="007C030A"/>
  </w:style>
  <w:style w:type="paragraph" w:customStyle="1" w:styleId="s8b146764">
    <w:name w:val="s8b146764"/>
    <w:basedOn w:val="Normal"/>
    <w:rsid w:val="007C030A"/>
    <w:pPr>
      <w:widowControl/>
      <w:adjustRightInd/>
      <w:spacing w:before="100" w:beforeAutospacing="1" w:after="100" w:afterAutospacing="1" w:line="240" w:lineRule="auto"/>
      <w:jc w:val="left"/>
      <w:textAlignment w:val="auto"/>
    </w:pPr>
    <w:rPr>
      <w:rFonts w:ascii="Times New Roman" w:hAnsi="Times New Roman"/>
      <w:lang w:val="es-MX" w:eastAsia="es-MX"/>
    </w:rPr>
  </w:style>
  <w:style w:type="paragraph" w:customStyle="1" w:styleId="MediumList2-Accent21">
    <w:name w:val="Medium List 2 - Accent 21"/>
    <w:hidden/>
    <w:uiPriority w:val="99"/>
    <w:semiHidden/>
    <w:rsid w:val="007C030A"/>
    <w:rPr>
      <w:rFonts w:ascii="Calibri" w:hAnsi="Calibri"/>
      <w:sz w:val="22"/>
      <w:szCs w:val="22"/>
      <w:lang w:val="es-MX"/>
    </w:rPr>
  </w:style>
  <w:style w:type="paragraph" w:customStyle="1" w:styleId="s32b251d">
    <w:name w:val="s32b251d"/>
    <w:basedOn w:val="Normal"/>
    <w:rsid w:val="007C030A"/>
    <w:pPr>
      <w:widowControl/>
      <w:adjustRightInd/>
      <w:spacing w:before="100" w:beforeAutospacing="1" w:after="100" w:afterAutospacing="1" w:line="240" w:lineRule="auto"/>
      <w:jc w:val="left"/>
      <w:textAlignment w:val="auto"/>
    </w:pPr>
    <w:rPr>
      <w:rFonts w:ascii="Times" w:eastAsia="Calibri" w:hAnsi="Times"/>
      <w:sz w:val="20"/>
      <w:szCs w:val="20"/>
      <w:lang w:val="es-ES_tradnl" w:eastAsia="es-ES"/>
    </w:rPr>
  </w:style>
  <w:style w:type="character" w:customStyle="1" w:styleId="sae070d1d">
    <w:name w:val="sae070d1d"/>
    <w:rsid w:val="007C030A"/>
  </w:style>
  <w:style w:type="character" w:customStyle="1" w:styleId="EndnoteTextChar1">
    <w:name w:val="Endnote Text Char1"/>
    <w:uiPriority w:val="99"/>
    <w:rsid w:val="007C030A"/>
    <w:rPr>
      <w:sz w:val="24"/>
      <w:szCs w:val="24"/>
    </w:rPr>
  </w:style>
  <w:style w:type="character" w:customStyle="1" w:styleId="Cuadrculamediana1-nfasis2Car">
    <w:name w:val="Cuadrícula mediana 1 - Énfasis 2 Car"/>
    <w:uiPriority w:val="99"/>
    <w:rsid w:val="007C030A"/>
    <w:rPr>
      <w:rFonts w:eastAsia="Times New Roman"/>
      <w:spacing w:val="0"/>
      <w:lang w:eastAsia="es-CR"/>
    </w:rPr>
  </w:style>
  <w:style w:type="paragraph" w:customStyle="1" w:styleId="AutoCorrect">
    <w:name w:val="AutoCorrect"/>
    <w:rsid w:val="007C030A"/>
    <w:pPr>
      <w:spacing w:after="200" w:line="276" w:lineRule="auto"/>
    </w:pPr>
    <w:rPr>
      <w:rFonts w:ascii="Calibri" w:eastAsia="MS Mincho" w:hAnsi="Calibri"/>
      <w:sz w:val="22"/>
      <w:szCs w:val="22"/>
      <w:lang w:val="es-CR" w:eastAsia="es-CR"/>
    </w:rPr>
  </w:style>
  <w:style w:type="paragraph" w:customStyle="1" w:styleId="Numbered">
    <w:name w:val="Numbered"/>
    <w:basedOn w:val="MediumGrid1-Accent21"/>
    <w:link w:val="NumberedChar"/>
    <w:qFormat/>
    <w:rsid w:val="004B4C43"/>
    <w:pPr>
      <w:widowControl/>
      <w:numPr>
        <w:numId w:val="4"/>
      </w:numPr>
      <w:adjustRightInd/>
      <w:spacing w:after="160" w:line="240" w:lineRule="auto"/>
      <w:ind w:left="0" w:firstLine="0"/>
      <w:contextualSpacing/>
      <w:textAlignment w:val="auto"/>
    </w:pPr>
    <w:rPr>
      <w:rFonts w:eastAsia="Verdana"/>
      <w:sz w:val="20"/>
      <w:szCs w:val="20"/>
      <w:lang w:val="pt-BR" w:eastAsia="en-US"/>
    </w:rPr>
  </w:style>
  <w:style w:type="character" w:customStyle="1" w:styleId="NumberedChar">
    <w:name w:val="Numbered Char"/>
    <w:link w:val="Numbered"/>
    <w:rsid w:val="004B4C43"/>
    <w:rPr>
      <w:rFonts w:eastAsia="Verdana"/>
      <w:lang w:val="pt-BR"/>
    </w:rPr>
  </w:style>
  <w:style w:type="paragraph" w:customStyle="1" w:styleId="ColorfulList-Accent12">
    <w:name w:val="Colorful List - Accent 12"/>
    <w:basedOn w:val="Normal"/>
    <w:uiPriority w:val="34"/>
    <w:qFormat/>
    <w:rsid w:val="00EC148C"/>
    <w:pPr>
      <w:ind w:left="708"/>
    </w:pPr>
  </w:style>
  <w:style w:type="character" w:customStyle="1" w:styleId="apple-style-span">
    <w:name w:val="apple-style-span"/>
    <w:rsid w:val="006C60A7"/>
    <w:rPr>
      <w:rFonts w:cs="Times New Roman"/>
    </w:rPr>
  </w:style>
  <w:style w:type="paragraph" w:styleId="ListParagraph">
    <w:name w:val="List Paragraph"/>
    <w:aliases w:val="List Paragraph2,Lista vistosa - Énfasis 11"/>
    <w:basedOn w:val="Normal"/>
    <w:uiPriority w:val="34"/>
    <w:qFormat/>
    <w:rsid w:val="00B07851"/>
    <w:pPr>
      <w:widowControl/>
      <w:adjustRightInd/>
      <w:spacing w:after="200" w:line="276" w:lineRule="auto"/>
      <w:ind w:left="720"/>
      <w:contextualSpacing/>
      <w:jc w:val="left"/>
      <w:textAlignment w:val="auto"/>
    </w:pPr>
    <w:rPr>
      <w:rFonts w:ascii="Calibri" w:hAnsi="Calibri"/>
      <w:sz w:val="22"/>
      <w:szCs w:val="22"/>
      <w:lang w:val="es-MX" w:eastAsia="es-MX"/>
    </w:rPr>
  </w:style>
  <w:style w:type="paragraph" w:styleId="Revision">
    <w:name w:val="Revision"/>
    <w:hidden/>
    <w:uiPriority w:val="99"/>
    <w:semiHidden/>
    <w:rsid w:val="00621AE2"/>
    <w:rPr>
      <w:rFonts w:eastAsia="Times New Roman"/>
      <w:sz w:val="24"/>
      <w:szCs w:val="24"/>
      <w:lang w:val="es-CR" w:eastAsia="es-CR"/>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B74499"/>
    <w:pPr>
      <w:widowControl/>
      <w:adjustRightInd/>
      <w:spacing w:line="240" w:lineRule="auto"/>
      <w:textAlignment w:val="auto"/>
    </w:pPr>
    <w:rPr>
      <w:rFonts w:eastAsia="Calibri"/>
      <w:sz w:val="20"/>
      <w:szCs w:val="20"/>
      <w:vertAlign w:val="superscript"/>
      <w:lang w:val="en-US" w:eastAsia="en-US"/>
    </w:rPr>
  </w:style>
  <w:style w:type="paragraph" w:customStyle="1" w:styleId="Estilo5">
    <w:name w:val="Estilo5"/>
    <w:basedOn w:val="ListParagraph"/>
    <w:rsid w:val="00EB161A"/>
    <w:pPr>
      <w:tabs>
        <w:tab w:val="num" w:pos="360"/>
      </w:tabs>
      <w:spacing w:after="120" w:line="216" w:lineRule="auto"/>
      <w:ind w:right="18"/>
      <w:contextualSpacing w:val="0"/>
      <w:jc w:val="both"/>
    </w:pPr>
    <w:rPr>
      <w:rFonts w:ascii="Verdana" w:hAnsi="Verdana"/>
      <w:spacing w:val="-2"/>
      <w:sz w:val="20"/>
      <w:szCs w:val="20"/>
      <w:lang w:eastAsia="x-none"/>
    </w:rPr>
  </w:style>
  <w:style w:type="paragraph" w:customStyle="1" w:styleId="Estilo8">
    <w:name w:val="Estilo8"/>
    <w:basedOn w:val="Estilo3"/>
    <w:qFormat/>
    <w:rsid w:val="00EB161A"/>
    <w:pPr>
      <w:widowControl/>
      <w:tabs>
        <w:tab w:val="num" w:pos="360"/>
      </w:tabs>
      <w:adjustRightInd/>
      <w:spacing w:line="216" w:lineRule="auto"/>
      <w:ind w:left="1080" w:right="17" w:hanging="358"/>
      <w:textAlignment w:val="auto"/>
    </w:pPr>
    <w:rPr>
      <w:rFonts w:eastAsia="Calibri"/>
      <w:spacing w:val="-2"/>
      <w:sz w:val="20"/>
      <w:szCs w:val="20"/>
      <w:lang w:val="es-CR" w:eastAsia="en-US"/>
    </w:rPr>
  </w:style>
  <w:style w:type="paragraph" w:customStyle="1" w:styleId="Sentencia1">
    <w:name w:val="Sentencia 1"/>
    <w:basedOn w:val="Heading1"/>
    <w:qFormat/>
    <w:rsid w:val="00EB161A"/>
    <w:pPr>
      <w:widowControl/>
      <w:tabs>
        <w:tab w:val="clear" w:pos="720"/>
      </w:tabs>
      <w:adjustRightInd/>
      <w:textAlignment w:val="auto"/>
    </w:pPr>
    <w:rPr>
      <w:rFonts w:eastAsia="Times New Roman"/>
      <w:caps w:val="0"/>
      <w:snapToGrid/>
      <w:spacing w:val="0"/>
      <w:lang w:eastAsia="x-none"/>
    </w:rPr>
  </w:style>
  <w:style w:type="paragraph" w:customStyle="1" w:styleId="Sentencia2">
    <w:name w:val="Sentencia 2"/>
    <w:basedOn w:val="Heading2"/>
    <w:qFormat/>
    <w:rsid w:val="00EB161A"/>
    <w:pPr>
      <w:keepNext/>
      <w:keepLines/>
      <w:widowControl/>
      <w:tabs>
        <w:tab w:val="clear" w:pos="720"/>
      </w:tabs>
      <w:adjustRightInd/>
      <w:spacing w:line="276" w:lineRule="auto"/>
      <w:contextualSpacing w:val="0"/>
      <w:jc w:val="left"/>
      <w:textAlignment w:val="auto"/>
    </w:pPr>
    <w:rPr>
      <w:bCs/>
      <w:i w:val="0"/>
      <w:spacing w:val="0"/>
      <w:szCs w:val="26"/>
      <w:lang w:val="es-CR" w:eastAsia="x-none"/>
    </w:rPr>
  </w:style>
  <w:style w:type="paragraph" w:customStyle="1" w:styleId="Sentencia3">
    <w:name w:val="Sentencia 3"/>
    <w:basedOn w:val="Heading3"/>
    <w:qFormat/>
    <w:rsid w:val="00EB161A"/>
    <w:pPr>
      <w:keepNext/>
      <w:keepLines/>
      <w:tabs>
        <w:tab w:val="clear" w:pos="567"/>
      </w:tabs>
      <w:autoSpaceDE/>
      <w:autoSpaceDN/>
      <w:spacing w:line="276" w:lineRule="auto"/>
      <w:ind w:left="720"/>
      <w:contextualSpacing w:val="0"/>
      <w:jc w:val="left"/>
    </w:pPr>
    <w:rPr>
      <w:rFonts w:eastAsia="Times New Roman"/>
      <w:b w:val="0"/>
      <w:bCs/>
      <w:i/>
      <w:color w:val="000000"/>
      <w:spacing w:val="0"/>
      <w:lang w:val="x-none"/>
    </w:rPr>
  </w:style>
  <w:style w:type="paragraph" w:customStyle="1" w:styleId="PiedepginasCorteIDH">
    <w:name w:val="Pie de páginas Corte IDH"/>
    <w:basedOn w:val="Footer"/>
    <w:link w:val="PiedepginasCorteIDHCar"/>
    <w:autoRedefine/>
    <w:qFormat/>
    <w:rsid w:val="000B20B0"/>
    <w:pPr>
      <w:widowControl/>
      <w:tabs>
        <w:tab w:val="clear" w:pos="4320"/>
        <w:tab w:val="clear" w:pos="8640"/>
      </w:tabs>
      <w:adjustRightInd/>
      <w:spacing w:after="60"/>
      <w:ind w:hanging="11"/>
      <w:textAlignment w:val="auto"/>
    </w:pPr>
    <w:rPr>
      <w:rFonts w:cs="Verdana"/>
      <w:sz w:val="16"/>
      <w:szCs w:val="16"/>
      <w:lang w:val="es-ES" w:eastAsia="en-US" w:bidi="en-US"/>
    </w:rPr>
  </w:style>
  <w:style w:type="character" w:customStyle="1" w:styleId="PiedepginasCorteIDHCar">
    <w:name w:val="Pie de páginas Corte IDH Car"/>
    <w:link w:val="PiedepginasCorteIDH"/>
    <w:rsid w:val="000B20B0"/>
    <w:rPr>
      <w:rFonts w:eastAsia="Times New Roman" w:cs="Verdana"/>
      <w:sz w:val="16"/>
      <w:szCs w:val="16"/>
      <w:lang w:val="es-ES" w:bidi="en-US"/>
    </w:rPr>
  </w:style>
  <w:style w:type="paragraph" w:customStyle="1" w:styleId="Prrafodelista3">
    <w:name w:val="Párrafo de lista3"/>
    <w:basedOn w:val="Normal"/>
    <w:qFormat/>
    <w:rsid w:val="000B20B0"/>
    <w:pPr>
      <w:widowControl/>
      <w:adjustRightInd/>
      <w:spacing w:after="200" w:line="240" w:lineRule="auto"/>
      <w:ind w:left="720"/>
      <w:contextualSpacing/>
      <w:textAlignment w:val="auto"/>
    </w:pPr>
    <w:rPr>
      <w:rFonts w:ascii="Calibri" w:eastAsia="Calibri" w:hAnsi="Calibri"/>
      <w:sz w:val="22"/>
      <w:szCs w:val="22"/>
      <w:lang w:eastAsia="en-US"/>
    </w:rPr>
  </w:style>
  <w:style w:type="paragraph" w:styleId="NoSpacing">
    <w:name w:val="No Spacing"/>
    <w:uiPriority w:val="1"/>
    <w:qFormat/>
    <w:rsid w:val="00CB535D"/>
    <w:pPr>
      <w:jc w:val="both"/>
    </w:pPr>
    <w:rPr>
      <w:rFonts w:cs="Calibri"/>
      <w:szCs w:val="22"/>
      <w:lang w:val="es-MX"/>
    </w:rPr>
  </w:style>
  <w:style w:type="numbering" w:customStyle="1" w:styleId="NoList2">
    <w:name w:val="No List2"/>
    <w:next w:val="NoList"/>
    <w:uiPriority w:val="99"/>
    <w:semiHidden/>
    <w:unhideWhenUsed/>
    <w:rsid w:val="000C193E"/>
  </w:style>
  <w:style w:type="character" w:customStyle="1" w:styleId="TextonotapieCar">
    <w:name w:val="Texto nota pie Car"/>
    <w:uiPriority w:val="99"/>
    <w:semiHidden/>
    <w:rsid w:val="000C193E"/>
    <w:rPr>
      <w:rFonts w:ascii="Verdana" w:eastAsia="Batang" w:hAnsi="Verdana" w:cs="Times"/>
      <w:sz w:val="20"/>
      <w:szCs w:val="20"/>
      <w:lang w:val="es-ES_tradnl"/>
    </w:rPr>
  </w:style>
  <w:style w:type="character" w:customStyle="1" w:styleId="TextonotaalfinalCar">
    <w:name w:val="Texto nota al final Car"/>
    <w:semiHidden/>
    <w:rsid w:val="000C193E"/>
    <w:rPr>
      <w:rFonts w:ascii="Verdana" w:eastAsia="Batang" w:hAnsi="Verdana" w:cs="Times"/>
      <w:sz w:val="20"/>
      <w:szCs w:val="20"/>
      <w:lang w:val="es-ES_tradnl"/>
    </w:rPr>
  </w:style>
  <w:style w:type="character" w:customStyle="1" w:styleId="st">
    <w:name w:val="st"/>
    <w:rsid w:val="000C193E"/>
    <w:rPr>
      <w:rFonts w:cs="Times New Roman"/>
    </w:rPr>
  </w:style>
  <w:style w:type="numbering" w:customStyle="1" w:styleId="NoList3">
    <w:name w:val="No List3"/>
    <w:next w:val="NoList"/>
    <w:uiPriority w:val="99"/>
    <w:semiHidden/>
    <w:unhideWhenUsed/>
    <w:rsid w:val="00046981"/>
  </w:style>
  <w:style w:type="paragraph" w:styleId="TOCHeading">
    <w:name w:val="TOC Heading"/>
    <w:basedOn w:val="Heading1"/>
    <w:next w:val="Normal"/>
    <w:uiPriority w:val="39"/>
    <w:semiHidden/>
    <w:unhideWhenUsed/>
    <w:qFormat/>
    <w:rsid w:val="00373E94"/>
    <w:pPr>
      <w:widowControl/>
      <w:tabs>
        <w:tab w:val="clear" w:pos="720"/>
      </w:tabs>
      <w:adjustRightInd/>
      <w:spacing w:before="480" w:line="276" w:lineRule="auto"/>
      <w:jc w:val="left"/>
      <w:textAlignment w:val="auto"/>
      <w:outlineLvl w:val="9"/>
    </w:pPr>
    <w:rPr>
      <w:rFonts w:ascii="Cambria" w:eastAsia="MS Gothic" w:hAnsi="Cambria"/>
      <w:caps w:val="0"/>
      <w:snapToGrid/>
      <w:color w:val="365F91"/>
      <w:spacing w:val="0"/>
      <w:sz w:val="28"/>
      <w:szCs w:val="28"/>
      <w:lang w:val="en-US" w:eastAsia="ja-JP"/>
    </w:rPr>
  </w:style>
  <w:style w:type="paragraph" w:styleId="BodyText">
    <w:name w:val="Body Text"/>
    <w:basedOn w:val="Normal"/>
    <w:link w:val="BodyTextChar"/>
    <w:uiPriority w:val="99"/>
    <w:unhideWhenUsed/>
    <w:rsid w:val="00586941"/>
    <w:pPr>
      <w:spacing w:after="120"/>
    </w:pPr>
  </w:style>
  <w:style w:type="character" w:customStyle="1" w:styleId="BodyTextChar">
    <w:name w:val="Body Text Char"/>
    <w:link w:val="BodyText"/>
    <w:uiPriority w:val="99"/>
    <w:rsid w:val="00586941"/>
    <w:rPr>
      <w:rFonts w:eastAsia="Times New Roman"/>
      <w:sz w:val="24"/>
      <w:szCs w:val="24"/>
      <w:lang w:val="es-CR" w:eastAsia="es-CR"/>
    </w:rPr>
  </w:style>
  <w:style w:type="numbering" w:customStyle="1" w:styleId="NoList4">
    <w:name w:val="No List4"/>
    <w:next w:val="NoList"/>
    <w:uiPriority w:val="99"/>
    <w:semiHidden/>
    <w:unhideWhenUsed/>
    <w:rsid w:val="005371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qFormat="1"/>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72"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E7"/>
    <w:pPr>
      <w:widowControl w:val="0"/>
      <w:adjustRightInd w:val="0"/>
      <w:spacing w:line="360" w:lineRule="atLeast"/>
      <w:jc w:val="both"/>
      <w:textAlignment w:val="baseline"/>
    </w:pPr>
    <w:rPr>
      <w:rFonts w:eastAsia="Times New Roman"/>
      <w:sz w:val="24"/>
      <w:szCs w:val="24"/>
      <w:lang w:val="es-CR" w:eastAsia="es-CR"/>
    </w:rPr>
  </w:style>
  <w:style w:type="paragraph" w:styleId="Heading1">
    <w:name w:val="heading 1"/>
    <w:aliases w:val="Título Verdana"/>
    <w:basedOn w:val="Normal"/>
    <w:next w:val="Normal"/>
    <w:link w:val="Heading1Char"/>
    <w:qFormat/>
    <w:rsid w:val="00B77BF4"/>
    <w:pPr>
      <w:keepNext/>
      <w:keepLines/>
      <w:tabs>
        <w:tab w:val="left" w:pos="720"/>
      </w:tabs>
      <w:spacing w:line="240" w:lineRule="auto"/>
      <w:jc w:val="center"/>
      <w:outlineLvl w:val="0"/>
    </w:pPr>
    <w:rPr>
      <w:rFonts w:eastAsia="MS ????"/>
      <w:b/>
      <w:bCs/>
      <w:caps/>
      <w:snapToGrid w:val="0"/>
      <w:spacing w:val="-2"/>
      <w:sz w:val="20"/>
      <w:szCs w:val="20"/>
      <w:lang w:val="x-none" w:eastAsia="es-ES"/>
    </w:rPr>
  </w:style>
  <w:style w:type="paragraph" w:styleId="Heading2">
    <w:name w:val="heading 2"/>
    <w:basedOn w:val="ColorfulShading-Accent31"/>
    <w:next w:val="Normal"/>
    <w:link w:val="Heading2Char"/>
    <w:qFormat/>
    <w:rsid w:val="00B77BF4"/>
    <w:pPr>
      <w:tabs>
        <w:tab w:val="left" w:pos="720"/>
      </w:tabs>
      <w:spacing w:line="240" w:lineRule="auto"/>
      <w:ind w:left="0"/>
      <w:outlineLvl w:val="1"/>
    </w:pPr>
    <w:rPr>
      <w:b/>
      <w:i/>
      <w:spacing w:val="-2"/>
      <w:lang w:eastAsia="es-MX"/>
    </w:rPr>
  </w:style>
  <w:style w:type="paragraph" w:styleId="Heading3">
    <w:name w:val="heading 3"/>
    <w:basedOn w:val="Normal"/>
    <w:next w:val="Normal"/>
    <w:link w:val="Heading3Char"/>
    <w:qFormat/>
    <w:rsid w:val="00E23853"/>
    <w:pPr>
      <w:widowControl/>
      <w:tabs>
        <w:tab w:val="left" w:pos="567"/>
      </w:tabs>
      <w:autoSpaceDE w:val="0"/>
      <w:autoSpaceDN w:val="0"/>
      <w:adjustRightInd/>
      <w:spacing w:line="240" w:lineRule="auto"/>
      <w:ind w:left="1416"/>
      <w:contextualSpacing/>
      <w:textAlignment w:val="auto"/>
      <w:outlineLvl w:val="2"/>
    </w:pPr>
    <w:rPr>
      <w:rFonts w:eastAsia="Calibri"/>
      <w:b/>
      <w:spacing w:val="-2"/>
      <w:sz w:val="20"/>
      <w:szCs w:val="20"/>
      <w:lang w:val="es-ES" w:eastAsia="x-none"/>
    </w:rPr>
  </w:style>
  <w:style w:type="paragraph" w:styleId="Heading4">
    <w:name w:val="heading 4"/>
    <w:basedOn w:val="Normal"/>
    <w:next w:val="Normal"/>
    <w:link w:val="Heading4Char"/>
    <w:qFormat/>
    <w:rsid w:val="006C6B60"/>
    <w:pPr>
      <w:spacing w:line="240" w:lineRule="auto"/>
      <w:ind w:left="708" w:firstLine="708"/>
      <w:outlineLvl w:val="3"/>
    </w:pPr>
    <w:rPr>
      <w:i/>
      <w:spacing w:val="-2"/>
      <w:sz w:val="20"/>
      <w:szCs w:val="20"/>
      <w:lang w:val="es-VE"/>
    </w:rPr>
  </w:style>
  <w:style w:type="paragraph" w:styleId="Heading5">
    <w:name w:val="heading 5"/>
    <w:basedOn w:val="ColorfulShading-Accent31"/>
    <w:next w:val="Normal"/>
    <w:link w:val="Heading5Char"/>
    <w:qFormat/>
    <w:rsid w:val="009662BC"/>
    <w:pPr>
      <w:widowControl/>
      <w:adjustRightInd/>
      <w:spacing w:line="240" w:lineRule="auto"/>
      <w:ind w:left="2160"/>
      <w:contextualSpacing w:val="0"/>
      <w:textAlignment w:val="auto"/>
      <w:outlineLvl w:val="4"/>
    </w:pPr>
    <w:rPr>
      <w:spacing w:val="-2"/>
      <w:u w:val="single"/>
      <w:lang w:val="es-ES_tradnl"/>
    </w:rPr>
  </w:style>
  <w:style w:type="paragraph" w:styleId="Heading6">
    <w:name w:val="heading 6"/>
    <w:basedOn w:val="Heading5"/>
    <w:next w:val="Normal"/>
    <w:link w:val="Heading6Char"/>
    <w:qFormat/>
    <w:rsid w:val="009662BC"/>
    <w:pPr>
      <w:numPr>
        <w:ilvl w:val="4"/>
        <w:numId w:val="1"/>
      </w:numPr>
      <w:outlineLvl w:val="5"/>
    </w:pPr>
    <w:rPr>
      <w:u w:val="none"/>
      <w:lang w:eastAsia="x-none"/>
    </w:rPr>
  </w:style>
  <w:style w:type="paragraph" w:styleId="Heading7">
    <w:name w:val="heading 7"/>
    <w:basedOn w:val="Normal"/>
    <w:next w:val="Normal"/>
    <w:link w:val="Heading7Char"/>
    <w:uiPriority w:val="9"/>
    <w:qFormat/>
    <w:rsid w:val="00332FAD"/>
    <w:pPr>
      <w:widowControl/>
      <w:adjustRightInd/>
      <w:spacing w:line="276" w:lineRule="auto"/>
      <w:jc w:val="left"/>
      <w:textAlignment w:val="auto"/>
      <w:outlineLvl w:val="6"/>
    </w:pPr>
    <w:rPr>
      <w:rFonts w:ascii="Cambria" w:eastAsia="MS Gothic" w:hAnsi="Cambria"/>
      <w:i/>
      <w:iCs/>
      <w:sz w:val="22"/>
      <w:szCs w:val="22"/>
      <w:lang w:val="en-US" w:eastAsia="x-none" w:bidi="en-US"/>
    </w:rPr>
  </w:style>
  <w:style w:type="paragraph" w:styleId="Heading8">
    <w:name w:val="heading 8"/>
    <w:basedOn w:val="Normal"/>
    <w:next w:val="Normal"/>
    <w:link w:val="Heading8Char"/>
    <w:uiPriority w:val="9"/>
    <w:qFormat/>
    <w:rsid w:val="00332FAD"/>
    <w:pPr>
      <w:widowControl/>
      <w:adjustRightInd/>
      <w:spacing w:line="276" w:lineRule="auto"/>
      <w:jc w:val="left"/>
      <w:textAlignment w:val="auto"/>
      <w:outlineLvl w:val="7"/>
    </w:pPr>
    <w:rPr>
      <w:rFonts w:ascii="Cambria" w:eastAsia="MS Gothic" w:hAnsi="Cambria"/>
      <w:sz w:val="20"/>
      <w:szCs w:val="20"/>
      <w:lang w:val="en-US" w:eastAsia="x-none" w:bidi="en-US"/>
    </w:rPr>
  </w:style>
  <w:style w:type="paragraph" w:styleId="Heading9">
    <w:name w:val="heading 9"/>
    <w:basedOn w:val="Normal"/>
    <w:next w:val="Normal"/>
    <w:link w:val="Heading9Char"/>
    <w:uiPriority w:val="9"/>
    <w:qFormat/>
    <w:rsid w:val="00332FAD"/>
    <w:pPr>
      <w:widowControl/>
      <w:adjustRightInd/>
      <w:spacing w:line="276" w:lineRule="auto"/>
      <w:jc w:val="left"/>
      <w:textAlignment w:val="auto"/>
      <w:outlineLvl w:val="8"/>
    </w:pPr>
    <w:rPr>
      <w:rFonts w:ascii="Cambria" w:eastAsia="MS Gothic" w:hAnsi="Cambria"/>
      <w:i/>
      <w:iCs/>
      <w:spacing w:val="5"/>
      <w:sz w:val="20"/>
      <w:szCs w:val="20"/>
      <w:lang w:val="en-US"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link w:val="ColorfulShading-Accent3Char"/>
    <w:uiPriority w:val="99"/>
    <w:qFormat/>
    <w:rsid w:val="00B5020A"/>
    <w:pPr>
      <w:ind w:left="720"/>
      <w:contextualSpacing/>
    </w:pPr>
    <w:rPr>
      <w:sz w:val="20"/>
      <w:szCs w:val="20"/>
      <w:lang w:val="x-none"/>
    </w:rPr>
  </w:style>
  <w:style w:type="paragraph" w:styleId="NormalWeb">
    <w:name w:val="Normal (Web)"/>
    <w:basedOn w:val="Normal"/>
    <w:uiPriority w:val="99"/>
    <w:unhideWhenUsed/>
    <w:rsid w:val="00B5020A"/>
  </w:style>
  <w:style w:type="paragraph" w:styleId="BodyTextIndent">
    <w:name w:val="Body Text Indent"/>
    <w:basedOn w:val="Normal"/>
    <w:link w:val="BodyTextIndentChar"/>
    <w:unhideWhenUsed/>
    <w:rsid w:val="00B5020A"/>
    <w:pPr>
      <w:spacing w:after="120"/>
      <w:ind w:left="283"/>
    </w:pPr>
  </w:style>
  <w:style w:type="character" w:customStyle="1" w:styleId="BodyTextIndentChar">
    <w:name w:val="Body Text Indent Char"/>
    <w:basedOn w:val="DefaultParagraphFont"/>
    <w:link w:val="BodyTextIndent"/>
    <w:rsid w:val="00B5020A"/>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link w:val="4GChar"/>
    <w:qFormat/>
    <w:rsid w:val="00B5020A"/>
    <w:rPr>
      <w:vertAlign w:val="superscript"/>
    </w:rPr>
  </w:style>
  <w:style w:type="character" w:customStyle="1" w:styleId="apple-converted-space">
    <w:name w:val="apple-converted-space"/>
    <w:basedOn w:val="DefaultParagraphFont"/>
    <w:rsid w:val="00B5020A"/>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uiPriority w:val="99"/>
    <w:qFormat/>
    <w:rsid w:val="00B5020A"/>
    <w:pPr>
      <w:spacing w:line="240" w:lineRule="auto"/>
    </w:pPr>
    <w:rPr>
      <w:sz w:val="20"/>
      <w:szCs w:val="20"/>
      <w:lang w:val="es-ES_tradnl"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link w:val="FootnoteText"/>
    <w:uiPriority w:val="99"/>
    <w:rsid w:val="00B5020A"/>
    <w:rPr>
      <w:rFonts w:eastAsia="Times New Roman" w:cs="Verdana"/>
      <w:spacing w:val="0"/>
      <w:lang w:val="es-ES_tradnl"/>
    </w:rPr>
  </w:style>
  <w:style w:type="paragraph" w:customStyle="1" w:styleId="Body1">
    <w:name w:val="Body 1"/>
    <w:link w:val="Body1Char"/>
    <w:rsid w:val="00B5020A"/>
    <w:pPr>
      <w:widowControl w:val="0"/>
      <w:adjustRightInd w:val="0"/>
      <w:jc w:val="both"/>
      <w:textAlignment w:val="baseline"/>
      <w:outlineLvl w:val="0"/>
    </w:pPr>
    <w:rPr>
      <w:rFonts w:ascii="Helvetica" w:eastAsia="ヒラギノ角ゴ Pro W3" w:hAnsi="Helvetica"/>
      <w:color w:val="000000"/>
      <w:sz w:val="22"/>
      <w:szCs w:val="22"/>
      <w:lang w:eastAsia="es-CR"/>
    </w:rPr>
  </w:style>
  <w:style w:type="character" w:customStyle="1" w:styleId="Body1Char">
    <w:name w:val="Body 1 Char"/>
    <w:link w:val="Body1"/>
    <w:locked/>
    <w:rsid w:val="00B5020A"/>
    <w:rPr>
      <w:rFonts w:ascii="Helvetica" w:eastAsia="ヒラギノ角ゴ Pro W3" w:hAnsi="Helvetica"/>
      <w:color w:val="000000"/>
      <w:sz w:val="22"/>
      <w:szCs w:val="22"/>
      <w:lang w:val="en-US" w:eastAsia="es-CR" w:bidi="ar-SA"/>
    </w:rPr>
  </w:style>
  <w:style w:type="character" w:styleId="Hyperlink">
    <w:name w:val="Hyperlink"/>
    <w:uiPriority w:val="99"/>
    <w:rsid w:val="00B5020A"/>
    <w:rPr>
      <w:color w:val="0000FF"/>
      <w:u w:val="single"/>
    </w:rPr>
  </w:style>
  <w:style w:type="paragraph" w:customStyle="1" w:styleId="Default">
    <w:name w:val="Default"/>
    <w:rsid w:val="00BA1783"/>
    <w:pPr>
      <w:autoSpaceDE w:val="0"/>
      <w:autoSpaceDN w:val="0"/>
      <w:adjustRightInd w:val="0"/>
    </w:pPr>
    <w:rPr>
      <w:rFonts w:cs="Verdana"/>
      <w:color w:val="000000"/>
      <w:spacing w:val="-4"/>
      <w:sz w:val="24"/>
      <w:szCs w:val="24"/>
      <w:lang w:val="es-CR"/>
    </w:rPr>
  </w:style>
  <w:style w:type="character" w:styleId="FollowedHyperlink">
    <w:name w:val="FollowedHyperlink"/>
    <w:uiPriority w:val="99"/>
    <w:semiHidden/>
    <w:unhideWhenUsed/>
    <w:rsid w:val="007E06A9"/>
    <w:rPr>
      <w:color w:val="800080"/>
      <w:u w:val="single"/>
    </w:rPr>
  </w:style>
  <w:style w:type="character" w:customStyle="1" w:styleId="FootnoteTextChar3">
    <w:name w:val="Footnote Text Char3"/>
    <w:aliases w:val="Footnote Text Char Char Char Char Char Char3,Footnote Text Char Char Char Char Char4,Footnote reference Char3,FA Fu Char3,Footnote Text Char Char Char Char4,Footnote Text Cha Char3,FA Fußnotentext Char3,FA Fuﬂnotentext Char3,Ca Char3"/>
    <w:uiPriority w:val="99"/>
    <w:rsid w:val="00152FE9"/>
    <w:rPr>
      <w:rFonts w:ascii="Verdana" w:eastAsia="Times New Roman" w:hAnsi="Verdana" w:cs="Verdana"/>
      <w:sz w:val="16"/>
      <w:szCs w:val="16"/>
      <w:lang w:val="es-ES_tradnl"/>
    </w:rPr>
  </w:style>
  <w:style w:type="paragraph" w:customStyle="1" w:styleId="ListParagraph11">
    <w:name w:val="List Paragraph11"/>
    <w:basedOn w:val="Normal"/>
    <w:uiPriority w:val="99"/>
    <w:rsid w:val="00152FE9"/>
    <w:pPr>
      <w:widowControl/>
      <w:adjustRightInd/>
      <w:spacing w:after="200" w:line="276" w:lineRule="auto"/>
      <w:ind w:left="720"/>
      <w:jc w:val="left"/>
      <w:textAlignment w:val="auto"/>
    </w:pPr>
    <w:rPr>
      <w:rFonts w:ascii="Times New Roman" w:hAnsi="Times New Roman"/>
      <w:lang w:val="en-US" w:eastAsia="en-US"/>
    </w:rPr>
  </w:style>
  <w:style w:type="paragraph" w:customStyle="1" w:styleId="PrrafodeSentencia">
    <w:name w:val="*. Párrafo de Sentencia"/>
    <w:basedOn w:val="Body1"/>
    <w:link w:val="PrrafodeSentenciaChar"/>
    <w:autoRedefine/>
    <w:qFormat/>
    <w:rsid w:val="00364A22"/>
    <w:pPr>
      <w:widowControl/>
      <w:adjustRightInd/>
      <w:spacing w:after="200"/>
      <w:jc w:val="center"/>
      <w:textAlignment w:val="auto"/>
      <w:outlineLvl w:val="9"/>
    </w:pPr>
    <w:rPr>
      <w:rFonts w:ascii="Verdana" w:eastAsia="Batang" w:hAnsi="Verdana"/>
      <w:b/>
      <w:i/>
      <w:color w:val="auto"/>
      <w:sz w:val="20"/>
      <w:szCs w:val="20"/>
      <w:lang w:val="es-ES_tradnl" w:eastAsia="es-MX"/>
    </w:rPr>
  </w:style>
  <w:style w:type="paragraph" w:customStyle="1" w:styleId="Estilo1">
    <w:name w:val="Estilo1"/>
    <w:basedOn w:val="Normal"/>
    <w:link w:val="Estilo1Car"/>
    <w:qFormat/>
    <w:rsid w:val="0069536D"/>
    <w:pPr>
      <w:widowControl/>
      <w:tabs>
        <w:tab w:val="left" w:pos="567"/>
        <w:tab w:val="left" w:pos="1134"/>
        <w:tab w:val="num" w:pos="6042"/>
      </w:tabs>
      <w:adjustRightInd/>
      <w:spacing w:after="120" w:line="240" w:lineRule="auto"/>
      <w:textAlignment w:val="auto"/>
    </w:pPr>
    <w:rPr>
      <w:rFonts w:eastAsia="Calibri"/>
      <w:sz w:val="20"/>
      <w:szCs w:val="20"/>
      <w:lang w:val="es-ES" w:eastAsia="x-none"/>
    </w:rPr>
  </w:style>
  <w:style w:type="paragraph" w:customStyle="1" w:styleId="Estilo2">
    <w:name w:val="Estilo2"/>
    <w:basedOn w:val="Normal"/>
    <w:link w:val="Estilo2Car"/>
    <w:qFormat/>
    <w:rsid w:val="0069536D"/>
    <w:pPr>
      <w:widowControl/>
      <w:tabs>
        <w:tab w:val="left" w:pos="567"/>
        <w:tab w:val="left" w:pos="1134"/>
        <w:tab w:val="num" w:pos="4767"/>
      </w:tabs>
      <w:adjustRightInd/>
      <w:spacing w:after="120" w:line="240" w:lineRule="auto"/>
      <w:ind w:firstLine="357"/>
      <w:textAlignment w:val="auto"/>
    </w:pPr>
    <w:rPr>
      <w:rFonts w:eastAsia="Calibri"/>
      <w:lang w:val="x-none" w:eastAsia="x-none"/>
    </w:rPr>
  </w:style>
  <w:style w:type="character" w:customStyle="1" w:styleId="Estilo1Car">
    <w:name w:val="Estilo1 Car"/>
    <w:link w:val="Estilo1"/>
    <w:rsid w:val="0069536D"/>
    <w:rPr>
      <w:rFonts w:eastAsia="Calibri"/>
      <w:spacing w:val="0"/>
      <w:lang w:val="es-ES"/>
    </w:rPr>
  </w:style>
  <w:style w:type="table" w:styleId="MediumList2-Accent4">
    <w:name w:val="Medium List 2 Accent 4"/>
    <w:basedOn w:val="TableNormal"/>
    <w:uiPriority w:val="72"/>
    <w:rsid w:val="0069536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Shading-Accent3Char">
    <w:name w:val="Colorful Shading - Accent 3 Char"/>
    <w:link w:val="ColorfulShading-Accent31"/>
    <w:uiPriority w:val="99"/>
    <w:rsid w:val="00ED7665"/>
    <w:rPr>
      <w:rFonts w:eastAsia="Times New Roman"/>
      <w:spacing w:val="0"/>
      <w:lang w:eastAsia="es-CR"/>
    </w:rPr>
  </w:style>
  <w:style w:type="paragraph" w:customStyle="1" w:styleId="Estilo7">
    <w:name w:val="Estilo7"/>
    <w:basedOn w:val="Normal"/>
    <w:qFormat/>
    <w:rsid w:val="007A5386"/>
    <w:pPr>
      <w:widowControl/>
      <w:tabs>
        <w:tab w:val="left" w:pos="567"/>
        <w:tab w:val="left" w:pos="851"/>
        <w:tab w:val="num" w:pos="2160"/>
      </w:tabs>
      <w:adjustRightInd/>
      <w:spacing w:before="120" w:after="120" w:line="240" w:lineRule="auto"/>
      <w:ind w:left="2160" w:hanging="180"/>
      <w:textAlignment w:val="auto"/>
    </w:pPr>
    <w:rPr>
      <w:rFonts w:eastAsia="Batang"/>
      <w:b/>
      <w:i/>
      <w:sz w:val="20"/>
      <w:szCs w:val="20"/>
      <w:lang w:val="es-ES_tradnl" w:eastAsia="es-MX"/>
    </w:rPr>
  </w:style>
  <w:style w:type="paragraph" w:styleId="Header">
    <w:name w:val="header"/>
    <w:basedOn w:val="Normal"/>
    <w:link w:val="HeaderChar"/>
    <w:unhideWhenUsed/>
    <w:rsid w:val="008624F5"/>
    <w:pPr>
      <w:tabs>
        <w:tab w:val="center" w:pos="4320"/>
        <w:tab w:val="right" w:pos="8640"/>
      </w:tabs>
      <w:spacing w:line="240" w:lineRule="auto"/>
    </w:pPr>
    <w:rPr>
      <w:sz w:val="20"/>
      <w:szCs w:val="20"/>
      <w:lang w:val="x-none"/>
    </w:rPr>
  </w:style>
  <w:style w:type="character" w:customStyle="1" w:styleId="HeaderChar">
    <w:name w:val="Header Char"/>
    <w:link w:val="Header"/>
    <w:uiPriority w:val="99"/>
    <w:rsid w:val="008624F5"/>
    <w:rPr>
      <w:rFonts w:eastAsia="Times New Roman"/>
      <w:spacing w:val="0"/>
      <w:lang w:eastAsia="es-CR"/>
    </w:rPr>
  </w:style>
  <w:style w:type="character" w:styleId="PageNumber">
    <w:name w:val="page number"/>
    <w:basedOn w:val="DefaultParagraphFont"/>
    <w:uiPriority w:val="99"/>
    <w:semiHidden/>
    <w:unhideWhenUsed/>
    <w:rsid w:val="008624F5"/>
  </w:style>
  <w:style w:type="paragraph" w:styleId="Footer">
    <w:name w:val="footer"/>
    <w:basedOn w:val="Normal"/>
    <w:link w:val="FooterChar"/>
    <w:uiPriority w:val="99"/>
    <w:unhideWhenUsed/>
    <w:rsid w:val="008624F5"/>
    <w:pPr>
      <w:tabs>
        <w:tab w:val="center" w:pos="4320"/>
        <w:tab w:val="right" w:pos="8640"/>
      </w:tabs>
      <w:spacing w:line="240" w:lineRule="auto"/>
    </w:pPr>
    <w:rPr>
      <w:sz w:val="20"/>
      <w:szCs w:val="20"/>
      <w:lang w:val="x-none"/>
    </w:rPr>
  </w:style>
  <w:style w:type="character" w:customStyle="1" w:styleId="FooterChar">
    <w:name w:val="Footer Char"/>
    <w:link w:val="Footer"/>
    <w:uiPriority w:val="99"/>
    <w:rsid w:val="008624F5"/>
    <w:rPr>
      <w:rFonts w:eastAsia="Times New Roman"/>
      <w:spacing w:val="0"/>
      <w:lang w:eastAsia="es-CR"/>
    </w:rPr>
  </w:style>
  <w:style w:type="numbering" w:customStyle="1" w:styleId="NoList1">
    <w:name w:val="No List1"/>
    <w:next w:val="NoList"/>
    <w:uiPriority w:val="99"/>
    <w:semiHidden/>
    <w:unhideWhenUsed/>
    <w:rsid w:val="00673492"/>
  </w:style>
  <w:style w:type="character" w:styleId="CommentReference">
    <w:name w:val="annotation reference"/>
    <w:uiPriority w:val="99"/>
    <w:semiHidden/>
    <w:unhideWhenUsed/>
    <w:rsid w:val="00673492"/>
    <w:rPr>
      <w:sz w:val="16"/>
      <w:szCs w:val="16"/>
    </w:rPr>
  </w:style>
  <w:style w:type="paragraph" w:styleId="CommentText">
    <w:name w:val="annotation text"/>
    <w:basedOn w:val="Normal"/>
    <w:link w:val="CommentTextChar"/>
    <w:uiPriority w:val="99"/>
    <w:unhideWhenUsed/>
    <w:rsid w:val="00673492"/>
    <w:pPr>
      <w:widowControl/>
      <w:adjustRightInd/>
      <w:spacing w:after="200" w:line="240" w:lineRule="auto"/>
      <w:jc w:val="left"/>
      <w:textAlignment w:val="auto"/>
    </w:pPr>
    <w:rPr>
      <w:rFonts w:ascii="Calibri" w:eastAsia="Calibri" w:hAnsi="Calibri"/>
      <w:sz w:val="20"/>
      <w:szCs w:val="20"/>
      <w:lang w:val="x-none" w:eastAsia="x-none"/>
    </w:rPr>
  </w:style>
  <w:style w:type="character" w:customStyle="1" w:styleId="CommentTextChar">
    <w:name w:val="Comment Text Char"/>
    <w:link w:val="CommentText"/>
    <w:uiPriority w:val="99"/>
    <w:rsid w:val="00673492"/>
    <w:rPr>
      <w:rFonts w:ascii="Calibri" w:hAnsi="Calibri" w:cs="Times New Roman"/>
      <w:spacing w:val="0"/>
      <w:sz w:val="20"/>
      <w:szCs w:val="20"/>
    </w:rPr>
  </w:style>
  <w:style w:type="paragraph" w:styleId="CommentSubject">
    <w:name w:val="annotation subject"/>
    <w:basedOn w:val="CommentText"/>
    <w:next w:val="CommentText"/>
    <w:link w:val="CommentSubjectChar"/>
    <w:uiPriority w:val="99"/>
    <w:semiHidden/>
    <w:unhideWhenUsed/>
    <w:rsid w:val="00673492"/>
    <w:rPr>
      <w:b/>
      <w:bCs/>
    </w:rPr>
  </w:style>
  <w:style w:type="character" w:customStyle="1" w:styleId="CommentSubjectChar">
    <w:name w:val="Comment Subject Char"/>
    <w:link w:val="CommentSubject"/>
    <w:uiPriority w:val="99"/>
    <w:semiHidden/>
    <w:rsid w:val="00673492"/>
    <w:rPr>
      <w:rFonts w:ascii="Calibri" w:hAnsi="Calibri" w:cs="Times New Roman"/>
      <w:b/>
      <w:bCs/>
      <w:spacing w:val="0"/>
      <w:sz w:val="20"/>
      <w:szCs w:val="20"/>
    </w:rPr>
  </w:style>
  <w:style w:type="paragraph" w:styleId="BalloonText">
    <w:name w:val="Balloon Text"/>
    <w:basedOn w:val="Normal"/>
    <w:link w:val="BalloonTextChar"/>
    <w:uiPriority w:val="99"/>
    <w:semiHidden/>
    <w:unhideWhenUsed/>
    <w:rsid w:val="00673492"/>
    <w:pPr>
      <w:widowControl/>
      <w:adjustRightInd/>
      <w:spacing w:line="240" w:lineRule="auto"/>
      <w:jc w:val="left"/>
      <w:textAlignment w:val="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673492"/>
    <w:rPr>
      <w:rFonts w:ascii="Tahoma" w:hAnsi="Tahoma" w:cs="Tahoma"/>
      <w:spacing w:val="0"/>
      <w:sz w:val="16"/>
      <w:szCs w:val="16"/>
    </w:rPr>
  </w:style>
  <w:style w:type="paragraph" w:styleId="Title">
    <w:name w:val="Title"/>
    <w:basedOn w:val="Default"/>
    <w:next w:val="Default"/>
    <w:link w:val="TitleChar"/>
    <w:qFormat/>
    <w:rsid w:val="00673492"/>
    <w:rPr>
      <w:rFonts w:ascii="Times New Roman" w:hAnsi="Times New Roman" w:cs="Times New Roman"/>
      <w:color w:val="auto"/>
      <w:spacing w:val="0"/>
      <w:sz w:val="20"/>
      <w:szCs w:val="20"/>
      <w:lang w:val="en-US" w:eastAsia="x-none"/>
    </w:rPr>
  </w:style>
  <w:style w:type="character" w:customStyle="1" w:styleId="TitleChar">
    <w:name w:val="Title Char"/>
    <w:link w:val="Title"/>
    <w:rsid w:val="00673492"/>
    <w:rPr>
      <w:rFonts w:ascii="Times New Roman" w:hAnsi="Times New Roman"/>
      <w:spacing w:val="0"/>
      <w:lang w:val="en-US"/>
    </w:rPr>
  </w:style>
  <w:style w:type="paragraph" w:customStyle="1" w:styleId="PrrafoCVRNormal">
    <w:name w:val="Párrafo CVR Normal"/>
    <w:basedOn w:val="Default"/>
    <w:next w:val="Default"/>
    <w:uiPriority w:val="99"/>
    <w:rsid w:val="00673492"/>
    <w:rPr>
      <w:rFonts w:ascii="Times New Roman" w:hAnsi="Times New Roman" w:cs="Times New Roman"/>
      <w:color w:val="auto"/>
      <w:spacing w:val="0"/>
    </w:rPr>
  </w:style>
  <w:style w:type="character" w:customStyle="1" w:styleId="Heading2Char">
    <w:name w:val="Heading 2 Char"/>
    <w:link w:val="Heading2"/>
    <w:rsid w:val="00B77BF4"/>
    <w:rPr>
      <w:rFonts w:eastAsia="Times New Roman"/>
      <w:b/>
      <w:i/>
      <w:spacing w:val="-2"/>
      <w:lang w:val="x-none" w:eastAsia="es-MX"/>
    </w:rPr>
  </w:style>
  <w:style w:type="character" w:customStyle="1" w:styleId="Heading3Char">
    <w:name w:val="Heading 3 Char"/>
    <w:link w:val="Heading3"/>
    <w:rsid w:val="00E23853"/>
    <w:rPr>
      <w:rFonts w:cs="Verdana"/>
      <w:b/>
      <w:spacing w:val="-2"/>
      <w:sz w:val="20"/>
      <w:szCs w:val="20"/>
      <w:lang w:val="es-ES"/>
    </w:rPr>
  </w:style>
  <w:style w:type="paragraph" w:customStyle="1" w:styleId="s30eec3f8">
    <w:name w:val="s30eec3f8"/>
    <w:basedOn w:val="Normal"/>
    <w:rsid w:val="00164FEB"/>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sb8d990e2">
    <w:name w:val="sb8d990e2"/>
    <w:basedOn w:val="DefaultParagraphFont"/>
    <w:rsid w:val="00164FEB"/>
  </w:style>
  <w:style w:type="character" w:customStyle="1" w:styleId="s6b621b36">
    <w:name w:val="s6b621b36"/>
    <w:basedOn w:val="DefaultParagraphFont"/>
    <w:rsid w:val="00164FEB"/>
  </w:style>
  <w:style w:type="character" w:customStyle="1" w:styleId="sea881cdf">
    <w:name w:val="sea881cdf"/>
    <w:basedOn w:val="DefaultParagraphFont"/>
    <w:rsid w:val="00164FEB"/>
  </w:style>
  <w:style w:type="paragraph" w:customStyle="1" w:styleId="se5d6d4c3">
    <w:name w:val="se5d6d4c3"/>
    <w:basedOn w:val="Normal"/>
    <w:rsid w:val="00164FEB"/>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sdfc50a6a">
    <w:name w:val="sdfc50a6a"/>
    <w:basedOn w:val="DefaultParagraphFont"/>
    <w:rsid w:val="00164FEB"/>
  </w:style>
  <w:style w:type="character" w:customStyle="1" w:styleId="column01">
    <w:name w:val="column01"/>
    <w:basedOn w:val="DefaultParagraphFont"/>
    <w:rsid w:val="00164FEB"/>
  </w:style>
  <w:style w:type="character" w:customStyle="1" w:styleId="column02">
    <w:name w:val="column02"/>
    <w:basedOn w:val="DefaultParagraphFont"/>
    <w:rsid w:val="00164FEB"/>
  </w:style>
  <w:style w:type="character" w:customStyle="1" w:styleId="column03">
    <w:name w:val="column03"/>
    <w:basedOn w:val="DefaultParagraphFont"/>
    <w:rsid w:val="00164FEB"/>
  </w:style>
  <w:style w:type="character" w:customStyle="1" w:styleId="column04">
    <w:name w:val="column04"/>
    <w:basedOn w:val="DefaultParagraphFont"/>
    <w:rsid w:val="00164FEB"/>
  </w:style>
  <w:style w:type="character" w:customStyle="1" w:styleId="branchname">
    <w:name w:val="branchname"/>
    <w:basedOn w:val="DefaultParagraphFont"/>
    <w:rsid w:val="00164FEB"/>
  </w:style>
  <w:style w:type="character" w:customStyle="1" w:styleId="branchcount">
    <w:name w:val="branchcount"/>
    <w:basedOn w:val="DefaultParagraphFont"/>
    <w:rsid w:val="00164FEB"/>
  </w:style>
  <w:style w:type="character" w:customStyle="1" w:styleId="helpiconplaceholder">
    <w:name w:val="helpiconplaceholder"/>
    <w:basedOn w:val="DefaultParagraphFont"/>
    <w:rsid w:val="00164FEB"/>
  </w:style>
  <w:style w:type="character" w:customStyle="1" w:styleId="expanderandcheckbox">
    <w:name w:val="expanderandcheckbox"/>
    <w:basedOn w:val="DefaultParagraphFont"/>
    <w:rsid w:val="00164FEB"/>
  </w:style>
  <w:style w:type="character" w:customStyle="1" w:styleId="heading-text">
    <w:name w:val="heading-text"/>
    <w:basedOn w:val="DefaultParagraphFont"/>
    <w:rsid w:val="00164FEB"/>
  </w:style>
  <w:style w:type="character" w:customStyle="1" w:styleId="resultnumber">
    <w:name w:val="resultnumber"/>
    <w:basedOn w:val="DefaultParagraphFont"/>
    <w:rsid w:val="00164FEB"/>
  </w:style>
  <w:style w:type="character" w:customStyle="1" w:styleId="resultsfoundtext">
    <w:name w:val="resultsfoundtext"/>
    <w:basedOn w:val="DefaultParagraphFont"/>
    <w:rsid w:val="00164FEB"/>
  </w:style>
  <w:style w:type="character" w:customStyle="1" w:styleId="icontext">
    <w:name w:val="icontext"/>
    <w:basedOn w:val="DefaultParagraphFont"/>
    <w:rsid w:val="00164FEB"/>
  </w:style>
  <w:style w:type="character" w:customStyle="1" w:styleId="summarytext">
    <w:name w:val="summarytext"/>
    <w:basedOn w:val="DefaultParagraphFont"/>
    <w:rsid w:val="00164FEB"/>
  </w:style>
  <w:style w:type="character" w:customStyle="1" w:styleId="textcolumn">
    <w:name w:val="textcolumn"/>
    <w:basedOn w:val="DefaultParagraphFont"/>
    <w:rsid w:val="00164FEB"/>
  </w:style>
  <w:style w:type="character" w:customStyle="1" w:styleId="more">
    <w:name w:val="more"/>
    <w:basedOn w:val="DefaultParagraphFont"/>
    <w:rsid w:val="00164FEB"/>
  </w:style>
  <w:style w:type="character" w:customStyle="1" w:styleId="typedescriptioncolumn">
    <w:name w:val="typedescriptioncolumn"/>
    <w:basedOn w:val="DefaultParagraphFont"/>
    <w:rsid w:val="00164FEB"/>
  </w:style>
  <w:style w:type="character" w:customStyle="1" w:styleId="originatingbody">
    <w:name w:val="originatingbody"/>
    <w:basedOn w:val="DefaultParagraphFont"/>
    <w:rsid w:val="00164FEB"/>
  </w:style>
  <w:style w:type="character" w:customStyle="1" w:styleId="datecolumn">
    <w:name w:val="datecolumn"/>
    <w:basedOn w:val="DefaultParagraphFont"/>
    <w:rsid w:val="00164FEB"/>
  </w:style>
  <w:style w:type="character" w:customStyle="1" w:styleId="notranslate">
    <w:name w:val="notranslate"/>
    <w:basedOn w:val="DefaultParagraphFont"/>
    <w:rsid w:val="00164FEB"/>
  </w:style>
  <w:style w:type="paragraph" w:customStyle="1" w:styleId="NotasProyectos">
    <w:name w:val="***. Notas Proyectos"/>
    <w:basedOn w:val="Normal"/>
    <w:link w:val="NotasProyectosChar"/>
    <w:autoRedefine/>
    <w:qFormat/>
    <w:rsid w:val="00164FEB"/>
    <w:pPr>
      <w:widowControl/>
      <w:adjustRightInd/>
      <w:spacing w:before="120" w:line="240" w:lineRule="auto"/>
      <w:ind w:left="720"/>
      <w:textAlignment w:val="auto"/>
    </w:pPr>
    <w:rPr>
      <w:sz w:val="20"/>
      <w:szCs w:val="20"/>
      <w:lang w:val="es-ES_tradnl" w:eastAsia="es-ES"/>
    </w:rPr>
  </w:style>
  <w:style w:type="character" w:customStyle="1" w:styleId="NotasProyectosChar">
    <w:name w:val="***. Notas Proyectos Char"/>
    <w:link w:val="NotasProyectos"/>
    <w:rsid w:val="00164FEB"/>
    <w:rPr>
      <w:rFonts w:eastAsia="Times New Roman"/>
      <w:spacing w:val="0"/>
      <w:sz w:val="20"/>
      <w:szCs w:val="20"/>
      <w:lang w:val="es-ES_tradnl" w:eastAsia="es-ES"/>
    </w:rPr>
  </w:style>
  <w:style w:type="paragraph" w:customStyle="1" w:styleId="DarkList-Accent31">
    <w:name w:val="Dark List - Accent 31"/>
    <w:hidden/>
    <w:uiPriority w:val="99"/>
    <w:semiHidden/>
    <w:rsid w:val="00164FEB"/>
    <w:rPr>
      <w:szCs w:val="22"/>
      <w:lang w:val="es-CR"/>
    </w:rPr>
  </w:style>
  <w:style w:type="paragraph" w:customStyle="1" w:styleId="Sinespaciado1">
    <w:name w:val="Sin espaciado1"/>
    <w:uiPriority w:val="1"/>
    <w:qFormat/>
    <w:rsid w:val="00164FEB"/>
    <w:rPr>
      <w:spacing w:val="-4"/>
      <w:lang w:val="es-ES_tradnl"/>
    </w:rPr>
  </w:style>
  <w:style w:type="character" w:customStyle="1" w:styleId="Hyperlink1">
    <w:name w:val="Hyperlink1"/>
    <w:uiPriority w:val="99"/>
    <w:unhideWhenUsed/>
    <w:rsid w:val="00164FEB"/>
    <w:rPr>
      <w:color w:val="0000FF"/>
      <w:u w:val="single"/>
    </w:rPr>
  </w:style>
  <w:style w:type="paragraph" w:styleId="EndnoteText">
    <w:name w:val="endnote text"/>
    <w:basedOn w:val="Normal"/>
    <w:link w:val="EndnoteTextChar"/>
    <w:unhideWhenUsed/>
    <w:rsid w:val="00164FEB"/>
    <w:pPr>
      <w:widowControl/>
      <w:adjustRightInd/>
      <w:spacing w:line="240" w:lineRule="auto"/>
      <w:jc w:val="left"/>
      <w:textAlignment w:val="auto"/>
    </w:pPr>
    <w:rPr>
      <w:rFonts w:ascii="Calibri" w:eastAsia="Calibri" w:hAnsi="Calibri"/>
      <w:sz w:val="20"/>
      <w:szCs w:val="20"/>
      <w:lang w:val="en-US" w:eastAsia="x-none"/>
    </w:rPr>
  </w:style>
  <w:style w:type="character" w:customStyle="1" w:styleId="EndnoteTextChar">
    <w:name w:val="Endnote Text Char"/>
    <w:link w:val="EndnoteText"/>
    <w:rsid w:val="00164FEB"/>
    <w:rPr>
      <w:rFonts w:ascii="Calibri" w:hAnsi="Calibri" w:cs="Times New Roman"/>
      <w:spacing w:val="0"/>
      <w:sz w:val="20"/>
      <w:szCs w:val="20"/>
      <w:lang w:val="en-US"/>
    </w:rPr>
  </w:style>
  <w:style w:type="character" w:customStyle="1" w:styleId="ListParagraphChar1">
    <w:name w:val="List Paragraph Char1"/>
    <w:aliases w:val="Colorful List - Accent 11 Char1,Párrafo de lista1 Char1,Footnote Char1,List Paragraph1 Char1"/>
    <w:uiPriority w:val="99"/>
    <w:locked/>
    <w:rsid w:val="00164FEB"/>
    <w:rPr>
      <w:rFonts w:ascii="Verdana" w:eastAsia="Times New Roman" w:hAnsi="Verdana" w:cs="Times New Roman"/>
      <w:sz w:val="16"/>
      <w:szCs w:val="20"/>
      <w:lang w:val="es-ES_tradnl"/>
    </w:rPr>
  </w:style>
  <w:style w:type="character" w:customStyle="1" w:styleId="Heading1Char">
    <w:name w:val="Heading 1 Char"/>
    <w:aliases w:val="Título Verdana Char"/>
    <w:link w:val="Heading1"/>
    <w:rsid w:val="00B77BF4"/>
    <w:rPr>
      <w:rFonts w:eastAsia="MS ????" w:cs="Verdana"/>
      <w:b/>
      <w:bCs/>
      <w:caps/>
      <w:snapToGrid w:val="0"/>
      <w:spacing w:val="-2"/>
      <w:sz w:val="20"/>
      <w:szCs w:val="20"/>
      <w:lang w:eastAsia="es-ES"/>
    </w:rPr>
  </w:style>
  <w:style w:type="character" w:customStyle="1" w:styleId="Heading4Char">
    <w:name w:val="Heading 4 Char"/>
    <w:link w:val="Heading4"/>
    <w:rsid w:val="006C6B60"/>
    <w:rPr>
      <w:rFonts w:eastAsia="Times New Roman"/>
      <w:i/>
      <w:spacing w:val="-2"/>
      <w:sz w:val="20"/>
      <w:szCs w:val="20"/>
      <w:lang w:val="es-VE" w:eastAsia="es-CR"/>
    </w:rPr>
  </w:style>
  <w:style w:type="character" w:customStyle="1" w:styleId="Heading5Char">
    <w:name w:val="Heading 5 Char"/>
    <w:link w:val="Heading5"/>
    <w:rsid w:val="009662BC"/>
    <w:rPr>
      <w:rFonts w:eastAsia="Times New Roman"/>
      <w:spacing w:val="-2"/>
      <w:sz w:val="20"/>
      <w:szCs w:val="20"/>
      <w:u w:val="single"/>
      <w:lang w:val="es-ES_tradnl" w:eastAsia="es-CR"/>
    </w:rPr>
  </w:style>
  <w:style w:type="character" w:customStyle="1" w:styleId="Heading6Char">
    <w:name w:val="Heading 6 Char"/>
    <w:link w:val="Heading6"/>
    <w:rsid w:val="009662BC"/>
    <w:rPr>
      <w:rFonts w:eastAsia="Times New Roman"/>
      <w:spacing w:val="-2"/>
      <w:lang w:val="es-ES_tradnl" w:eastAsia="x-none"/>
    </w:rPr>
  </w:style>
  <w:style w:type="character" w:customStyle="1" w:styleId="Heading7Char">
    <w:name w:val="Heading 7 Char"/>
    <w:link w:val="Heading7"/>
    <w:uiPriority w:val="9"/>
    <w:rsid w:val="00332FAD"/>
    <w:rPr>
      <w:rFonts w:ascii="Cambria" w:eastAsia="MS Gothic" w:hAnsi="Cambria" w:cs="Times New Roman"/>
      <w:i/>
      <w:iCs/>
      <w:spacing w:val="0"/>
      <w:sz w:val="22"/>
      <w:szCs w:val="22"/>
      <w:lang w:val="en-US" w:bidi="en-US"/>
    </w:rPr>
  </w:style>
  <w:style w:type="character" w:customStyle="1" w:styleId="Heading8Char">
    <w:name w:val="Heading 8 Char"/>
    <w:link w:val="Heading8"/>
    <w:uiPriority w:val="9"/>
    <w:rsid w:val="00332FAD"/>
    <w:rPr>
      <w:rFonts w:ascii="Cambria" w:eastAsia="MS Gothic" w:hAnsi="Cambria" w:cs="Times New Roman"/>
      <w:spacing w:val="0"/>
      <w:sz w:val="20"/>
      <w:szCs w:val="20"/>
      <w:lang w:val="en-US" w:bidi="en-US"/>
    </w:rPr>
  </w:style>
  <w:style w:type="character" w:customStyle="1" w:styleId="Heading9Char">
    <w:name w:val="Heading 9 Char"/>
    <w:link w:val="Heading9"/>
    <w:uiPriority w:val="9"/>
    <w:rsid w:val="00332FAD"/>
    <w:rPr>
      <w:rFonts w:ascii="Cambria" w:eastAsia="MS Gothic" w:hAnsi="Cambria" w:cs="Times New Roman"/>
      <w:i/>
      <w:iCs/>
      <w:spacing w:val="5"/>
      <w:sz w:val="20"/>
      <w:szCs w:val="20"/>
      <w:lang w:val="en-US" w:bidi="en-US"/>
    </w:rPr>
  </w:style>
  <w:style w:type="paragraph" w:customStyle="1" w:styleId="NormalNumbered">
    <w:name w:val="Normal Numbered"/>
    <w:basedOn w:val="Normal"/>
    <w:link w:val="NormalNumberedChar"/>
    <w:rsid w:val="00332FAD"/>
    <w:pPr>
      <w:widowControl/>
      <w:numPr>
        <w:numId w:val="3"/>
      </w:numPr>
      <w:adjustRightInd/>
      <w:spacing w:line="240" w:lineRule="auto"/>
      <w:ind w:left="0" w:firstLine="0"/>
      <w:textAlignment w:val="auto"/>
    </w:pPr>
    <w:rPr>
      <w:sz w:val="20"/>
      <w:szCs w:val="20"/>
      <w:lang w:val="en-US" w:eastAsia="x-none" w:bidi="en-US"/>
    </w:rPr>
  </w:style>
  <w:style w:type="character" w:customStyle="1" w:styleId="NormalNumberedChar">
    <w:name w:val="Normal Numbered Char"/>
    <w:link w:val="NormalNumbered"/>
    <w:rsid w:val="00332FAD"/>
    <w:rPr>
      <w:rFonts w:eastAsia="Times New Roman"/>
      <w:lang w:eastAsia="x-none" w:bidi="en-US"/>
    </w:rPr>
  </w:style>
  <w:style w:type="character" w:customStyle="1" w:styleId="PrrafodeSentenciaChar">
    <w:name w:val="*. Párrafo de Sentencia Char"/>
    <w:link w:val="PrrafodeSentencia"/>
    <w:rsid w:val="00364A22"/>
    <w:rPr>
      <w:rFonts w:eastAsia="Batang"/>
      <w:b/>
      <w:i/>
      <w:lang w:val="es-ES_tradnl" w:eastAsia="es-MX"/>
    </w:rPr>
  </w:style>
  <w:style w:type="paragraph" w:customStyle="1" w:styleId="Footnotes">
    <w:name w:val="**. Footnotes"/>
    <w:basedOn w:val="FootnoteText"/>
    <w:link w:val="FootnotesChar"/>
    <w:autoRedefine/>
    <w:qFormat/>
    <w:rsid w:val="00332FAD"/>
    <w:pPr>
      <w:widowControl/>
      <w:adjustRightInd/>
      <w:spacing w:before="120" w:after="120"/>
      <w:jc w:val="center"/>
      <w:textAlignment w:val="auto"/>
    </w:pPr>
    <w:rPr>
      <w:rFonts w:cs="Palatino-Italic"/>
      <w:iCs/>
      <w:sz w:val="16"/>
      <w:szCs w:val="18"/>
      <w:lang w:val="es-ES" w:bidi="en-US"/>
    </w:rPr>
  </w:style>
  <w:style w:type="character" w:customStyle="1" w:styleId="FootnotesChar">
    <w:name w:val="**. Footnotes Char"/>
    <w:link w:val="Footnotes"/>
    <w:rsid w:val="00332FAD"/>
    <w:rPr>
      <w:rFonts w:eastAsia="Times New Roman" w:cs="Palatino-Italic"/>
      <w:iCs/>
      <w:spacing w:val="0"/>
      <w:sz w:val="16"/>
      <w:szCs w:val="18"/>
      <w:lang w:val="es-ES" w:bidi="en-US"/>
    </w:rPr>
  </w:style>
  <w:style w:type="paragraph" w:customStyle="1" w:styleId="Prrafodelista2">
    <w:name w:val="Párrafo de lista2"/>
    <w:basedOn w:val="Normal"/>
    <w:uiPriority w:val="99"/>
    <w:rsid w:val="00332FAD"/>
    <w:pPr>
      <w:widowControl/>
      <w:adjustRightInd/>
      <w:spacing w:line="240" w:lineRule="auto"/>
      <w:ind w:left="720"/>
      <w:jc w:val="left"/>
      <w:textAlignment w:val="auto"/>
    </w:pPr>
    <w:rPr>
      <w:rFonts w:eastAsia="MS Mincho"/>
      <w:sz w:val="20"/>
      <w:szCs w:val="20"/>
      <w:lang w:val="es-ES_tradnl" w:eastAsia="en-US" w:bidi="en-US"/>
    </w:rPr>
  </w:style>
  <w:style w:type="paragraph" w:styleId="Subtitle">
    <w:name w:val="Subtitle"/>
    <w:basedOn w:val="Normal"/>
    <w:next w:val="Normal"/>
    <w:link w:val="SubtitleChar"/>
    <w:qFormat/>
    <w:rsid w:val="00332FAD"/>
    <w:pPr>
      <w:widowControl/>
      <w:adjustRightInd/>
      <w:spacing w:after="600" w:line="276" w:lineRule="auto"/>
      <w:jc w:val="left"/>
      <w:textAlignment w:val="auto"/>
    </w:pPr>
    <w:rPr>
      <w:rFonts w:ascii="Cambria" w:eastAsia="MS Gothic" w:hAnsi="Cambria"/>
      <w:i/>
      <w:iCs/>
      <w:spacing w:val="13"/>
      <w:sz w:val="20"/>
      <w:szCs w:val="20"/>
      <w:lang w:val="en-US" w:eastAsia="x-none" w:bidi="en-US"/>
    </w:rPr>
  </w:style>
  <w:style w:type="character" w:customStyle="1" w:styleId="SubtitleChar">
    <w:name w:val="Subtitle Char"/>
    <w:link w:val="Subtitle"/>
    <w:rsid w:val="00332FAD"/>
    <w:rPr>
      <w:rFonts w:ascii="Cambria" w:eastAsia="MS Gothic" w:hAnsi="Cambria" w:cs="Times New Roman"/>
      <w:i/>
      <w:iCs/>
      <w:spacing w:val="13"/>
      <w:lang w:val="en-US" w:bidi="en-US"/>
    </w:rPr>
  </w:style>
  <w:style w:type="character" w:styleId="Strong">
    <w:name w:val="Strong"/>
    <w:uiPriority w:val="22"/>
    <w:qFormat/>
    <w:rsid w:val="00332FAD"/>
    <w:rPr>
      <w:b/>
      <w:bCs/>
    </w:rPr>
  </w:style>
  <w:style w:type="character" w:styleId="Emphasis">
    <w:name w:val="Emphasis"/>
    <w:uiPriority w:val="20"/>
    <w:qFormat/>
    <w:rsid w:val="00332FAD"/>
    <w:rPr>
      <w:b/>
      <w:bCs/>
      <w:i/>
      <w:iCs/>
      <w:spacing w:val="10"/>
      <w:bdr w:val="none" w:sz="0" w:space="0" w:color="auto"/>
      <w:shd w:val="clear" w:color="auto" w:fill="auto"/>
    </w:rPr>
  </w:style>
  <w:style w:type="paragraph" w:customStyle="1" w:styleId="ColorfulList-Accent31">
    <w:name w:val="Colorful List - Accent 31"/>
    <w:basedOn w:val="Normal"/>
    <w:next w:val="Normal"/>
    <w:link w:val="ColorfulList-Accent3Char"/>
    <w:uiPriority w:val="29"/>
    <w:qFormat/>
    <w:rsid w:val="00332FAD"/>
    <w:pPr>
      <w:widowControl/>
      <w:adjustRightInd/>
      <w:spacing w:before="200" w:line="276" w:lineRule="auto"/>
      <w:ind w:left="360" w:right="360"/>
      <w:jc w:val="left"/>
      <w:textAlignment w:val="auto"/>
    </w:pPr>
    <w:rPr>
      <w:rFonts w:ascii="Calibri" w:eastAsia="MS Mincho" w:hAnsi="Calibri"/>
      <w:i/>
      <w:iCs/>
      <w:sz w:val="22"/>
      <w:szCs w:val="22"/>
      <w:lang w:val="en-US" w:eastAsia="x-none" w:bidi="en-US"/>
    </w:rPr>
  </w:style>
  <w:style w:type="character" w:customStyle="1" w:styleId="ColorfulList-Accent3Char">
    <w:name w:val="Colorful List - Accent 3 Char"/>
    <w:link w:val="ColorfulList-Accent31"/>
    <w:uiPriority w:val="29"/>
    <w:rsid w:val="00332FAD"/>
    <w:rPr>
      <w:rFonts w:ascii="Calibri" w:eastAsia="MS Mincho" w:hAnsi="Calibri" w:cs="Times New Roman"/>
      <w:i/>
      <w:iCs/>
      <w:spacing w:val="0"/>
      <w:sz w:val="22"/>
      <w:szCs w:val="22"/>
      <w:lang w:val="en-US" w:bidi="en-US"/>
    </w:rPr>
  </w:style>
  <w:style w:type="paragraph" w:customStyle="1" w:styleId="ColorfulGrid-Accent31">
    <w:name w:val="Colorful Grid - Accent 31"/>
    <w:basedOn w:val="Normal"/>
    <w:next w:val="Normal"/>
    <w:link w:val="ColorfulGrid-Accent3Char"/>
    <w:uiPriority w:val="30"/>
    <w:qFormat/>
    <w:rsid w:val="00332FAD"/>
    <w:pPr>
      <w:widowControl/>
      <w:pBdr>
        <w:bottom w:val="single" w:sz="4" w:space="1" w:color="auto"/>
      </w:pBdr>
      <w:adjustRightInd/>
      <w:spacing w:before="200" w:after="280" w:line="276" w:lineRule="auto"/>
      <w:ind w:left="1008" w:right="1152"/>
      <w:textAlignment w:val="auto"/>
    </w:pPr>
    <w:rPr>
      <w:rFonts w:ascii="Calibri" w:eastAsia="MS Mincho" w:hAnsi="Calibri"/>
      <w:b/>
      <w:bCs/>
      <w:i/>
      <w:iCs/>
      <w:sz w:val="22"/>
      <w:szCs w:val="22"/>
      <w:lang w:val="en-US" w:eastAsia="x-none" w:bidi="en-US"/>
    </w:rPr>
  </w:style>
  <w:style w:type="character" w:customStyle="1" w:styleId="ColorfulGrid-Accent3Char">
    <w:name w:val="Colorful Grid - Accent 3 Char"/>
    <w:link w:val="ColorfulGrid-Accent31"/>
    <w:uiPriority w:val="30"/>
    <w:rsid w:val="00332FAD"/>
    <w:rPr>
      <w:rFonts w:ascii="Calibri" w:eastAsia="MS Mincho" w:hAnsi="Calibri" w:cs="Times New Roman"/>
      <w:b/>
      <w:bCs/>
      <w:i/>
      <w:iCs/>
      <w:spacing w:val="0"/>
      <w:sz w:val="22"/>
      <w:szCs w:val="22"/>
      <w:lang w:val="en-US" w:bidi="en-US"/>
    </w:rPr>
  </w:style>
  <w:style w:type="character" w:customStyle="1" w:styleId="nfasissutil1">
    <w:name w:val="Énfasis sutil1"/>
    <w:uiPriority w:val="19"/>
    <w:qFormat/>
    <w:rsid w:val="00332FAD"/>
    <w:rPr>
      <w:i/>
      <w:iCs/>
    </w:rPr>
  </w:style>
  <w:style w:type="character" w:customStyle="1" w:styleId="nfasisintenso1">
    <w:name w:val="Énfasis intenso1"/>
    <w:uiPriority w:val="21"/>
    <w:qFormat/>
    <w:rsid w:val="00332FAD"/>
    <w:rPr>
      <w:b/>
      <w:bCs/>
    </w:rPr>
  </w:style>
  <w:style w:type="character" w:customStyle="1" w:styleId="Referenciasutil1">
    <w:name w:val="Referencia sutil1"/>
    <w:uiPriority w:val="31"/>
    <w:qFormat/>
    <w:rsid w:val="00332FAD"/>
    <w:rPr>
      <w:smallCaps/>
    </w:rPr>
  </w:style>
  <w:style w:type="character" w:customStyle="1" w:styleId="Referenciaintensa1">
    <w:name w:val="Referencia intensa1"/>
    <w:uiPriority w:val="32"/>
    <w:qFormat/>
    <w:rsid w:val="00332FAD"/>
    <w:rPr>
      <w:smallCaps/>
      <w:spacing w:val="5"/>
      <w:u w:val="single"/>
    </w:rPr>
  </w:style>
  <w:style w:type="character" w:customStyle="1" w:styleId="Ttulodelibro">
    <w:name w:val="Título de libro"/>
    <w:uiPriority w:val="33"/>
    <w:qFormat/>
    <w:rsid w:val="00332FAD"/>
    <w:rPr>
      <w:i/>
      <w:iCs/>
      <w:smallCaps/>
      <w:spacing w:val="5"/>
    </w:rPr>
  </w:style>
  <w:style w:type="paragraph" w:customStyle="1" w:styleId="Encabezadodetabladecontenido">
    <w:name w:val="Encabezado de tabla de contenido"/>
    <w:basedOn w:val="Heading1"/>
    <w:next w:val="Normal"/>
    <w:uiPriority w:val="39"/>
    <w:semiHidden/>
    <w:unhideWhenUsed/>
    <w:qFormat/>
    <w:rsid w:val="00332FAD"/>
    <w:pPr>
      <w:outlineLvl w:val="9"/>
    </w:pPr>
  </w:style>
  <w:style w:type="character" w:customStyle="1" w:styleId="shorttext">
    <w:name w:val="shorttext"/>
    <w:basedOn w:val="DefaultParagraphFont"/>
    <w:rsid w:val="00332FAD"/>
  </w:style>
  <w:style w:type="character" w:customStyle="1" w:styleId="shorttext0">
    <w:name w:val="short_text"/>
    <w:basedOn w:val="DefaultParagraphFont"/>
    <w:rsid w:val="00332FAD"/>
  </w:style>
  <w:style w:type="paragraph" w:styleId="BodyText2">
    <w:name w:val="Body Text 2"/>
    <w:basedOn w:val="Normal"/>
    <w:link w:val="BodyText2Char"/>
    <w:rsid w:val="00332FAD"/>
    <w:pPr>
      <w:widowControl/>
      <w:adjustRightInd/>
      <w:spacing w:after="120" w:line="480" w:lineRule="auto"/>
      <w:jc w:val="left"/>
      <w:textAlignment w:val="auto"/>
    </w:pPr>
    <w:rPr>
      <w:rFonts w:ascii="Times New Roman" w:hAnsi="Times New Roman"/>
      <w:sz w:val="20"/>
      <w:szCs w:val="20"/>
      <w:lang w:val="es-ES_tradnl" w:eastAsia="x-none"/>
    </w:rPr>
  </w:style>
  <w:style w:type="character" w:customStyle="1" w:styleId="BodyText2Char">
    <w:name w:val="Body Text 2 Char"/>
    <w:link w:val="BodyText2"/>
    <w:rsid w:val="00332FAD"/>
    <w:rPr>
      <w:rFonts w:ascii="Times New Roman" w:eastAsia="Times New Roman" w:hAnsi="Times New Roman"/>
      <w:spacing w:val="0"/>
      <w:lang w:val="es-ES_tradnl"/>
    </w:rPr>
  </w:style>
  <w:style w:type="paragraph" w:customStyle="1" w:styleId="Textomacro1">
    <w:name w:val="Texto macro1"/>
    <w:basedOn w:val="Normal"/>
    <w:rsid w:val="00332FAD"/>
    <w:pPr>
      <w:widowControl/>
      <w:adjustRightInd/>
      <w:spacing w:line="240" w:lineRule="auto"/>
      <w:jc w:val="left"/>
      <w:textAlignment w:val="auto"/>
    </w:pPr>
    <w:rPr>
      <w:szCs w:val="20"/>
      <w:lang w:val="es-ES_tradnl" w:eastAsia="es-ES"/>
    </w:rPr>
  </w:style>
  <w:style w:type="character" w:customStyle="1" w:styleId="Caracteresdenotafinal">
    <w:name w:val="Caracteres de nota final"/>
    <w:rsid w:val="001A5CA7"/>
    <w:rPr>
      <w:vertAlign w:val="superscript"/>
    </w:rPr>
  </w:style>
  <w:style w:type="character" w:styleId="LineNumber">
    <w:name w:val="line number"/>
    <w:uiPriority w:val="99"/>
    <w:semiHidden/>
    <w:unhideWhenUsed/>
    <w:rsid w:val="008E3D5E"/>
    <w:rPr>
      <w:rFonts w:ascii="Verdana" w:hAnsi="Verdana"/>
      <w:sz w:val="20"/>
    </w:rPr>
  </w:style>
  <w:style w:type="paragraph" w:styleId="DocumentMap">
    <w:name w:val="Document Map"/>
    <w:basedOn w:val="Normal"/>
    <w:link w:val="DocumentMapChar"/>
    <w:uiPriority w:val="99"/>
    <w:semiHidden/>
    <w:unhideWhenUsed/>
    <w:rsid w:val="00B77BF4"/>
    <w:pPr>
      <w:spacing w:line="240" w:lineRule="auto"/>
    </w:pPr>
    <w:rPr>
      <w:rFonts w:ascii="Tahoma" w:hAnsi="Tahoma"/>
      <w:sz w:val="16"/>
      <w:szCs w:val="16"/>
      <w:lang w:val="x-none"/>
    </w:rPr>
  </w:style>
  <w:style w:type="character" w:customStyle="1" w:styleId="DocumentMapChar">
    <w:name w:val="Document Map Char"/>
    <w:link w:val="DocumentMap"/>
    <w:uiPriority w:val="99"/>
    <w:semiHidden/>
    <w:rsid w:val="00B77BF4"/>
    <w:rPr>
      <w:rFonts w:ascii="Tahoma" w:eastAsia="Times New Roman" w:hAnsi="Tahoma" w:cs="Tahoma"/>
      <w:spacing w:val="0"/>
      <w:sz w:val="16"/>
      <w:szCs w:val="16"/>
      <w:lang w:eastAsia="es-CR"/>
    </w:rPr>
  </w:style>
  <w:style w:type="paragraph" w:styleId="TOC2">
    <w:name w:val="toc 2"/>
    <w:basedOn w:val="Normal"/>
    <w:next w:val="Normal"/>
    <w:autoRedefine/>
    <w:uiPriority w:val="39"/>
    <w:unhideWhenUsed/>
    <w:qFormat/>
    <w:rsid w:val="00BC21D4"/>
    <w:pPr>
      <w:tabs>
        <w:tab w:val="left" w:pos="540"/>
        <w:tab w:val="right" w:leader="dot" w:pos="9638"/>
      </w:tabs>
      <w:spacing w:line="240" w:lineRule="auto"/>
      <w:ind w:left="240"/>
      <w:jc w:val="left"/>
    </w:pPr>
    <w:rPr>
      <w:sz w:val="20"/>
    </w:rPr>
  </w:style>
  <w:style w:type="paragraph" w:styleId="TOC1">
    <w:name w:val="toc 1"/>
    <w:basedOn w:val="Normal"/>
    <w:next w:val="Normal"/>
    <w:autoRedefine/>
    <w:uiPriority w:val="39"/>
    <w:unhideWhenUsed/>
    <w:qFormat/>
    <w:rsid w:val="009020C5"/>
    <w:pPr>
      <w:tabs>
        <w:tab w:val="right" w:leader="dot" w:pos="9639"/>
      </w:tabs>
      <w:spacing w:line="240" w:lineRule="auto"/>
    </w:pPr>
    <w:rPr>
      <w:rFonts w:eastAsia="ヒラギノ角ゴ Pro W3"/>
      <w:b/>
      <w:noProof/>
      <w:sz w:val="20"/>
      <w:szCs w:val="18"/>
      <w:lang w:val="es-PR" w:eastAsia="x-none"/>
    </w:rPr>
  </w:style>
  <w:style w:type="paragraph" w:styleId="TOC3">
    <w:name w:val="toc 3"/>
    <w:basedOn w:val="Normal"/>
    <w:next w:val="Normal"/>
    <w:autoRedefine/>
    <w:uiPriority w:val="39"/>
    <w:unhideWhenUsed/>
    <w:qFormat/>
    <w:rsid w:val="00452519"/>
    <w:pPr>
      <w:spacing w:line="240" w:lineRule="auto"/>
      <w:ind w:left="480"/>
    </w:pPr>
    <w:rPr>
      <w:sz w:val="20"/>
    </w:rPr>
  </w:style>
  <w:style w:type="paragraph" w:styleId="TOC4">
    <w:name w:val="toc 4"/>
    <w:basedOn w:val="Normal"/>
    <w:next w:val="Normal"/>
    <w:autoRedefine/>
    <w:uiPriority w:val="39"/>
    <w:unhideWhenUsed/>
    <w:rsid w:val="00452519"/>
    <w:pPr>
      <w:spacing w:line="240" w:lineRule="auto"/>
      <w:ind w:left="720"/>
    </w:pPr>
    <w:rPr>
      <w:sz w:val="20"/>
    </w:rPr>
  </w:style>
  <w:style w:type="paragraph" w:styleId="TOC5">
    <w:name w:val="toc 5"/>
    <w:basedOn w:val="Normal"/>
    <w:next w:val="Normal"/>
    <w:autoRedefine/>
    <w:uiPriority w:val="39"/>
    <w:unhideWhenUsed/>
    <w:rsid w:val="00444B5F"/>
    <w:pPr>
      <w:widowControl/>
      <w:adjustRightInd/>
      <w:spacing w:after="100" w:line="240" w:lineRule="auto"/>
      <w:ind w:left="880"/>
      <w:jc w:val="left"/>
      <w:textAlignment w:val="auto"/>
    </w:pPr>
    <w:rPr>
      <w:rFonts w:eastAsia="MS Mincho"/>
      <w:sz w:val="20"/>
      <w:szCs w:val="22"/>
    </w:rPr>
  </w:style>
  <w:style w:type="paragraph" w:styleId="TOC6">
    <w:name w:val="toc 6"/>
    <w:basedOn w:val="Normal"/>
    <w:next w:val="Normal"/>
    <w:autoRedefine/>
    <w:uiPriority w:val="39"/>
    <w:unhideWhenUsed/>
    <w:rsid w:val="002B7BCA"/>
    <w:pPr>
      <w:widowControl/>
      <w:adjustRightInd/>
      <w:spacing w:after="100" w:line="276" w:lineRule="auto"/>
      <w:ind w:left="1100"/>
      <w:jc w:val="left"/>
      <w:textAlignment w:val="auto"/>
    </w:pPr>
    <w:rPr>
      <w:rFonts w:ascii="Calibri" w:eastAsia="MS Mincho" w:hAnsi="Calibri"/>
      <w:sz w:val="22"/>
      <w:szCs w:val="22"/>
    </w:rPr>
  </w:style>
  <w:style w:type="paragraph" w:styleId="TOC7">
    <w:name w:val="toc 7"/>
    <w:basedOn w:val="Normal"/>
    <w:next w:val="Normal"/>
    <w:autoRedefine/>
    <w:uiPriority w:val="39"/>
    <w:unhideWhenUsed/>
    <w:rsid w:val="002B7BCA"/>
    <w:pPr>
      <w:widowControl/>
      <w:adjustRightInd/>
      <w:spacing w:after="100" w:line="276" w:lineRule="auto"/>
      <w:ind w:left="1320"/>
      <w:jc w:val="left"/>
      <w:textAlignment w:val="auto"/>
    </w:pPr>
    <w:rPr>
      <w:rFonts w:ascii="Calibri" w:eastAsia="MS Mincho" w:hAnsi="Calibri"/>
      <w:sz w:val="22"/>
      <w:szCs w:val="22"/>
    </w:rPr>
  </w:style>
  <w:style w:type="paragraph" w:styleId="TOC8">
    <w:name w:val="toc 8"/>
    <w:basedOn w:val="Normal"/>
    <w:next w:val="Normal"/>
    <w:autoRedefine/>
    <w:uiPriority w:val="39"/>
    <w:unhideWhenUsed/>
    <w:rsid w:val="002B7BCA"/>
    <w:pPr>
      <w:widowControl/>
      <w:adjustRightInd/>
      <w:spacing w:after="100" w:line="276" w:lineRule="auto"/>
      <w:ind w:left="1540"/>
      <w:jc w:val="left"/>
      <w:textAlignment w:val="auto"/>
    </w:pPr>
    <w:rPr>
      <w:rFonts w:ascii="Calibri" w:eastAsia="MS Mincho" w:hAnsi="Calibri"/>
      <w:sz w:val="22"/>
      <w:szCs w:val="22"/>
    </w:rPr>
  </w:style>
  <w:style w:type="paragraph" w:styleId="TOC9">
    <w:name w:val="toc 9"/>
    <w:basedOn w:val="Normal"/>
    <w:next w:val="Normal"/>
    <w:autoRedefine/>
    <w:uiPriority w:val="39"/>
    <w:unhideWhenUsed/>
    <w:rsid w:val="002B7BCA"/>
    <w:pPr>
      <w:widowControl/>
      <w:adjustRightInd/>
      <w:spacing w:after="100" w:line="276" w:lineRule="auto"/>
      <w:ind w:left="1760"/>
      <w:jc w:val="left"/>
      <w:textAlignment w:val="auto"/>
    </w:pPr>
    <w:rPr>
      <w:rFonts w:ascii="Calibri" w:eastAsia="MS Mincho" w:hAnsi="Calibri"/>
      <w:sz w:val="22"/>
      <w:szCs w:val="22"/>
    </w:rPr>
  </w:style>
  <w:style w:type="table" w:styleId="TableGrid">
    <w:name w:val="Table Grid"/>
    <w:basedOn w:val="TableNormal"/>
    <w:uiPriority w:val="59"/>
    <w:rsid w:val="00B44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074F11"/>
    <w:rPr>
      <w:vertAlign w:val="superscript"/>
    </w:rPr>
  </w:style>
  <w:style w:type="paragraph" w:customStyle="1" w:styleId="LightGrid-Accent31">
    <w:name w:val="Light Grid - Accent 31"/>
    <w:aliases w:val="Párrafo de lista1,Footnote,Colorful List - Accent 11,List Paragraph1,Lista Colorida - Ênfase 11"/>
    <w:basedOn w:val="Normal"/>
    <w:link w:val="LightGrid-Accent3Char"/>
    <w:uiPriority w:val="34"/>
    <w:qFormat/>
    <w:rsid w:val="00294925"/>
    <w:pPr>
      <w:widowControl/>
      <w:adjustRightInd/>
      <w:spacing w:after="200" w:line="276" w:lineRule="auto"/>
      <w:ind w:left="720"/>
      <w:contextualSpacing/>
      <w:jc w:val="left"/>
      <w:textAlignment w:val="auto"/>
    </w:pPr>
    <w:rPr>
      <w:rFonts w:ascii="Calibri" w:eastAsia="Calibri" w:hAnsi="Calibri"/>
      <w:sz w:val="22"/>
      <w:szCs w:val="22"/>
      <w:lang w:val="es-CO" w:eastAsia="en-US"/>
    </w:rPr>
  </w:style>
  <w:style w:type="character" w:customStyle="1" w:styleId="LightGrid-Accent3Char">
    <w:name w:val="Light Grid - Accent 3 Char"/>
    <w:aliases w:val="Párrafo de lista1 Char,Footnote Char,Colorful List - Accent 11 Char,List Paragraph1 Char,Lista Colorida - Ênfase 11 Char,List Paragraph Char,List Paragraph2 Char,Lista vistosa - Énfasis 11 Char"/>
    <w:link w:val="LightGrid-Accent31"/>
    <w:uiPriority w:val="34"/>
    <w:locked/>
    <w:rsid w:val="00294925"/>
    <w:rPr>
      <w:rFonts w:ascii="Calibri" w:eastAsia="Calibri" w:hAnsi="Calibri" w:cs="Times New Roman"/>
      <w:sz w:val="22"/>
      <w:szCs w:val="22"/>
      <w:lang w:val="es-CO" w:eastAsia="en-US"/>
    </w:rPr>
  </w:style>
  <w:style w:type="paragraph" w:styleId="BodyTextIndent2">
    <w:name w:val="Body Text Indent 2"/>
    <w:basedOn w:val="Normal"/>
    <w:link w:val="BodyTextIndent2Char"/>
    <w:uiPriority w:val="99"/>
    <w:unhideWhenUsed/>
    <w:rsid w:val="006E0CAD"/>
    <w:pPr>
      <w:spacing w:after="120" w:line="480" w:lineRule="auto"/>
      <w:ind w:left="283"/>
    </w:pPr>
    <w:rPr>
      <w:lang w:val="x-none" w:eastAsia="x-none"/>
    </w:rPr>
  </w:style>
  <w:style w:type="character" w:customStyle="1" w:styleId="BodyTextIndent2Char">
    <w:name w:val="Body Text Indent 2 Char"/>
    <w:link w:val="BodyTextIndent2"/>
    <w:uiPriority w:val="99"/>
    <w:rsid w:val="006E0CAD"/>
    <w:rPr>
      <w:rFonts w:eastAsia="Times New Roman"/>
      <w:sz w:val="24"/>
      <w:szCs w:val="24"/>
    </w:rPr>
  </w:style>
  <w:style w:type="paragraph" w:customStyle="1" w:styleId="PargrafodaLista">
    <w:name w:val="Parágrafo da Lista"/>
    <w:basedOn w:val="Normal"/>
    <w:uiPriority w:val="34"/>
    <w:qFormat/>
    <w:rsid w:val="006E0CAD"/>
    <w:pPr>
      <w:widowControl/>
      <w:adjustRightInd/>
      <w:spacing w:line="240" w:lineRule="auto"/>
      <w:ind w:left="708"/>
      <w:jc w:val="left"/>
      <w:textAlignment w:val="auto"/>
    </w:pPr>
    <w:rPr>
      <w:rFonts w:ascii="Times New Roman" w:hAnsi="Times New Roman"/>
      <w:lang w:val="en-US" w:eastAsia="en-US"/>
    </w:rPr>
  </w:style>
  <w:style w:type="character" w:customStyle="1" w:styleId="s7d2086b4">
    <w:name w:val="s7d2086b4"/>
    <w:basedOn w:val="DefaultParagraphFont"/>
    <w:rsid w:val="008A0B10"/>
  </w:style>
  <w:style w:type="paragraph" w:customStyle="1" w:styleId="JuPara">
    <w:name w:val="Ju_Para"/>
    <w:basedOn w:val="Normal"/>
    <w:link w:val="JuParaCar"/>
    <w:rsid w:val="008A0B10"/>
    <w:pPr>
      <w:widowControl/>
      <w:suppressAutoHyphens/>
      <w:adjustRightInd/>
      <w:spacing w:line="240" w:lineRule="auto"/>
      <w:ind w:firstLine="284"/>
      <w:textAlignment w:val="auto"/>
    </w:pPr>
    <w:rPr>
      <w:rFonts w:ascii="Times New Roman" w:hAnsi="Times New Roman"/>
      <w:szCs w:val="20"/>
      <w:lang w:val="en-GB" w:eastAsia="fr-FR"/>
    </w:rPr>
  </w:style>
  <w:style w:type="character" w:customStyle="1" w:styleId="JuParaCar">
    <w:name w:val="Ju_Para Car"/>
    <w:link w:val="JuPara"/>
    <w:rsid w:val="008A0B10"/>
    <w:rPr>
      <w:rFonts w:ascii="Times New Roman" w:eastAsia="Times New Roman" w:hAnsi="Times New Roman"/>
      <w:sz w:val="24"/>
      <w:lang w:val="en-GB" w:eastAsia="fr-FR"/>
    </w:rPr>
  </w:style>
  <w:style w:type="paragraph" w:customStyle="1" w:styleId="Encabezadodetabladecontenido1">
    <w:name w:val="Encabezado de tabla de contenido1"/>
    <w:basedOn w:val="Heading1"/>
    <w:next w:val="Normal"/>
    <w:uiPriority w:val="39"/>
    <w:semiHidden/>
    <w:unhideWhenUsed/>
    <w:qFormat/>
    <w:rsid w:val="00BA62DD"/>
    <w:pPr>
      <w:widowControl/>
      <w:tabs>
        <w:tab w:val="clear" w:pos="720"/>
      </w:tabs>
      <w:adjustRightInd/>
      <w:spacing w:before="480" w:line="276" w:lineRule="auto"/>
      <w:jc w:val="left"/>
      <w:textAlignment w:val="auto"/>
      <w:outlineLvl w:val="9"/>
    </w:pPr>
    <w:rPr>
      <w:rFonts w:ascii="Cambria" w:eastAsia="Times New Roman" w:hAnsi="Cambria"/>
      <w:caps w:val="0"/>
      <w:snapToGrid/>
      <w:color w:val="365F91"/>
      <w:spacing w:val="0"/>
      <w:sz w:val="28"/>
      <w:szCs w:val="28"/>
      <w:lang w:val="en-US" w:eastAsia="en-US"/>
    </w:rPr>
  </w:style>
  <w:style w:type="character" w:customStyle="1" w:styleId="Estilo2Car">
    <w:name w:val="Estilo2 Car"/>
    <w:link w:val="Estilo2"/>
    <w:rsid w:val="00DC1FEB"/>
    <w:rPr>
      <w:sz w:val="24"/>
      <w:szCs w:val="24"/>
    </w:rPr>
  </w:style>
  <w:style w:type="character" w:customStyle="1" w:styleId="ListParagraphChar2">
    <w:name w:val="List Paragraph Char2"/>
    <w:locked/>
    <w:rsid w:val="00463A67"/>
    <w:rPr>
      <w:rFonts w:ascii="Verdana" w:eastAsia="Times New Roman" w:hAnsi="Verdana"/>
      <w:szCs w:val="24"/>
      <w:lang w:val="es-ES_tradnl" w:eastAsia="en-US"/>
    </w:rPr>
  </w:style>
  <w:style w:type="paragraph" w:customStyle="1" w:styleId="MediumGrid1-Accent21">
    <w:name w:val="Medium Grid 1 - Accent 21"/>
    <w:basedOn w:val="Normal"/>
    <w:uiPriority w:val="34"/>
    <w:qFormat/>
    <w:rsid w:val="00DB6650"/>
    <w:pPr>
      <w:ind w:left="708"/>
    </w:pPr>
  </w:style>
  <w:style w:type="paragraph" w:customStyle="1" w:styleId="Estilo3">
    <w:name w:val="Estilo3"/>
    <w:basedOn w:val="MediumGrid1-Accent21"/>
    <w:qFormat/>
    <w:rsid w:val="007C030A"/>
    <w:pPr>
      <w:spacing w:after="120"/>
      <w:ind w:left="0" w:firstLine="1559"/>
    </w:pPr>
    <w:rPr>
      <w:lang w:val="es-PR"/>
    </w:rPr>
  </w:style>
  <w:style w:type="character" w:customStyle="1" w:styleId="Heading3Char1">
    <w:name w:val="Heading 3 Char1"/>
    <w:uiPriority w:val="9"/>
    <w:rsid w:val="007C030A"/>
    <w:rPr>
      <w:rFonts w:ascii="Verdana" w:eastAsia="Calibri" w:hAnsi="Verdana" w:cs="Times New Roman"/>
      <w:b/>
      <w:spacing w:val="-2"/>
      <w:sz w:val="20"/>
      <w:szCs w:val="20"/>
      <w:lang w:val="es-ES" w:eastAsia="x-none"/>
    </w:rPr>
  </w:style>
  <w:style w:type="character" w:customStyle="1" w:styleId="Heading4Char1">
    <w:name w:val="Heading 4 Char1"/>
    <w:uiPriority w:val="9"/>
    <w:rsid w:val="007C030A"/>
    <w:rPr>
      <w:rFonts w:ascii="Verdana" w:eastAsia="Times New Roman" w:hAnsi="Verdana" w:cs="Times New Roman"/>
      <w:i/>
      <w:spacing w:val="-2"/>
      <w:sz w:val="20"/>
      <w:szCs w:val="20"/>
      <w:lang w:val="es-VE" w:eastAsia="es-CR"/>
    </w:rPr>
  </w:style>
  <w:style w:type="character" w:customStyle="1" w:styleId="Heading6Char1">
    <w:name w:val="Heading 6 Char1"/>
    <w:uiPriority w:val="9"/>
    <w:rsid w:val="007C030A"/>
    <w:rPr>
      <w:rFonts w:ascii="Verdana" w:eastAsia="Times New Roman" w:hAnsi="Verdana" w:cs="Times New Roman"/>
      <w:spacing w:val="-2"/>
      <w:sz w:val="20"/>
      <w:szCs w:val="20"/>
      <w:lang w:val="es-ES_tradnl" w:eastAsia="x-none"/>
    </w:rPr>
  </w:style>
  <w:style w:type="character" w:customStyle="1" w:styleId="HeaderChar1">
    <w:name w:val="Header Char1"/>
    <w:uiPriority w:val="99"/>
    <w:rsid w:val="007C030A"/>
  </w:style>
  <w:style w:type="character" w:customStyle="1" w:styleId="FooterChar1">
    <w:name w:val="Footer Char1"/>
    <w:uiPriority w:val="99"/>
    <w:rsid w:val="007C030A"/>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rsid w:val="007C030A"/>
    <w:rPr>
      <w:sz w:val="20"/>
      <w:szCs w:val="20"/>
    </w:rPr>
  </w:style>
  <w:style w:type="paragraph" w:customStyle="1" w:styleId="s269b7f08">
    <w:name w:val="s269b7f08"/>
    <w:basedOn w:val="Normal"/>
    <w:rsid w:val="007C030A"/>
    <w:pPr>
      <w:widowControl/>
      <w:adjustRightInd/>
      <w:spacing w:before="100" w:beforeAutospacing="1" w:after="100" w:afterAutospacing="1" w:line="240" w:lineRule="auto"/>
      <w:jc w:val="left"/>
      <w:textAlignment w:val="auto"/>
    </w:pPr>
    <w:rPr>
      <w:rFonts w:ascii="Times New Roman" w:hAnsi="Times New Roman"/>
      <w:lang w:val="es-MX" w:eastAsia="es-MX"/>
    </w:rPr>
  </w:style>
  <w:style w:type="character" w:customStyle="1" w:styleId="sf6541cea">
    <w:name w:val="sf6541cea"/>
    <w:rsid w:val="007C030A"/>
  </w:style>
  <w:style w:type="character" w:customStyle="1" w:styleId="wordhighlighted">
    <w:name w:val="wordhighlighted"/>
    <w:rsid w:val="007C030A"/>
  </w:style>
  <w:style w:type="paragraph" w:customStyle="1" w:styleId="s8b146764">
    <w:name w:val="s8b146764"/>
    <w:basedOn w:val="Normal"/>
    <w:rsid w:val="007C030A"/>
    <w:pPr>
      <w:widowControl/>
      <w:adjustRightInd/>
      <w:spacing w:before="100" w:beforeAutospacing="1" w:after="100" w:afterAutospacing="1" w:line="240" w:lineRule="auto"/>
      <w:jc w:val="left"/>
      <w:textAlignment w:val="auto"/>
    </w:pPr>
    <w:rPr>
      <w:rFonts w:ascii="Times New Roman" w:hAnsi="Times New Roman"/>
      <w:lang w:val="es-MX" w:eastAsia="es-MX"/>
    </w:rPr>
  </w:style>
  <w:style w:type="paragraph" w:customStyle="1" w:styleId="MediumList2-Accent21">
    <w:name w:val="Medium List 2 - Accent 21"/>
    <w:hidden/>
    <w:uiPriority w:val="99"/>
    <w:semiHidden/>
    <w:rsid w:val="007C030A"/>
    <w:rPr>
      <w:rFonts w:ascii="Calibri" w:hAnsi="Calibri"/>
      <w:sz w:val="22"/>
      <w:szCs w:val="22"/>
      <w:lang w:val="es-MX"/>
    </w:rPr>
  </w:style>
  <w:style w:type="paragraph" w:customStyle="1" w:styleId="s32b251d">
    <w:name w:val="s32b251d"/>
    <w:basedOn w:val="Normal"/>
    <w:rsid w:val="007C030A"/>
    <w:pPr>
      <w:widowControl/>
      <w:adjustRightInd/>
      <w:spacing w:before="100" w:beforeAutospacing="1" w:after="100" w:afterAutospacing="1" w:line="240" w:lineRule="auto"/>
      <w:jc w:val="left"/>
      <w:textAlignment w:val="auto"/>
    </w:pPr>
    <w:rPr>
      <w:rFonts w:ascii="Times" w:eastAsia="Calibri" w:hAnsi="Times"/>
      <w:sz w:val="20"/>
      <w:szCs w:val="20"/>
      <w:lang w:val="es-ES_tradnl" w:eastAsia="es-ES"/>
    </w:rPr>
  </w:style>
  <w:style w:type="character" w:customStyle="1" w:styleId="sae070d1d">
    <w:name w:val="sae070d1d"/>
    <w:rsid w:val="007C030A"/>
  </w:style>
  <w:style w:type="character" w:customStyle="1" w:styleId="EndnoteTextChar1">
    <w:name w:val="Endnote Text Char1"/>
    <w:uiPriority w:val="99"/>
    <w:rsid w:val="007C030A"/>
    <w:rPr>
      <w:sz w:val="24"/>
      <w:szCs w:val="24"/>
    </w:rPr>
  </w:style>
  <w:style w:type="character" w:customStyle="1" w:styleId="Cuadrculamediana1-nfasis2Car">
    <w:name w:val="Cuadrícula mediana 1 - Énfasis 2 Car"/>
    <w:uiPriority w:val="99"/>
    <w:rsid w:val="007C030A"/>
    <w:rPr>
      <w:rFonts w:eastAsia="Times New Roman"/>
      <w:spacing w:val="0"/>
      <w:lang w:eastAsia="es-CR"/>
    </w:rPr>
  </w:style>
  <w:style w:type="paragraph" w:customStyle="1" w:styleId="AutoCorrect">
    <w:name w:val="AutoCorrect"/>
    <w:rsid w:val="007C030A"/>
    <w:pPr>
      <w:spacing w:after="200" w:line="276" w:lineRule="auto"/>
    </w:pPr>
    <w:rPr>
      <w:rFonts w:ascii="Calibri" w:eastAsia="MS Mincho" w:hAnsi="Calibri"/>
      <w:sz w:val="22"/>
      <w:szCs w:val="22"/>
      <w:lang w:val="es-CR" w:eastAsia="es-CR"/>
    </w:rPr>
  </w:style>
  <w:style w:type="paragraph" w:customStyle="1" w:styleId="Numbered">
    <w:name w:val="Numbered"/>
    <w:basedOn w:val="MediumGrid1-Accent21"/>
    <w:link w:val="NumberedChar"/>
    <w:qFormat/>
    <w:rsid w:val="004B4C43"/>
    <w:pPr>
      <w:widowControl/>
      <w:numPr>
        <w:numId w:val="4"/>
      </w:numPr>
      <w:adjustRightInd/>
      <w:spacing w:after="160" w:line="240" w:lineRule="auto"/>
      <w:ind w:left="0" w:firstLine="0"/>
      <w:contextualSpacing/>
      <w:textAlignment w:val="auto"/>
    </w:pPr>
    <w:rPr>
      <w:rFonts w:eastAsia="Verdana"/>
      <w:sz w:val="20"/>
      <w:szCs w:val="20"/>
      <w:lang w:val="pt-BR" w:eastAsia="en-US"/>
    </w:rPr>
  </w:style>
  <w:style w:type="character" w:customStyle="1" w:styleId="NumberedChar">
    <w:name w:val="Numbered Char"/>
    <w:link w:val="Numbered"/>
    <w:rsid w:val="004B4C43"/>
    <w:rPr>
      <w:rFonts w:eastAsia="Verdana"/>
      <w:lang w:val="pt-BR"/>
    </w:rPr>
  </w:style>
  <w:style w:type="paragraph" w:customStyle="1" w:styleId="ColorfulList-Accent12">
    <w:name w:val="Colorful List - Accent 12"/>
    <w:basedOn w:val="Normal"/>
    <w:uiPriority w:val="34"/>
    <w:qFormat/>
    <w:rsid w:val="00EC148C"/>
    <w:pPr>
      <w:ind w:left="708"/>
    </w:pPr>
  </w:style>
  <w:style w:type="character" w:customStyle="1" w:styleId="apple-style-span">
    <w:name w:val="apple-style-span"/>
    <w:rsid w:val="006C60A7"/>
    <w:rPr>
      <w:rFonts w:cs="Times New Roman"/>
    </w:rPr>
  </w:style>
  <w:style w:type="paragraph" w:styleId="ListParagraph">
    <w:name w:val="List Paragraph"/>
    <w:aliases w:val="List Paragraph2,Lista vistosa - Énfasis 11"/>
    <w:basedOn w:val="Normal"/>
    <w:uiPriority w:val="34"/>
    <w:qFormat/>
    <w:rsid w:val="00B07851"/>
    <w:pPr>
      <w:widowControl/>
      <w:adjustRightInd/>
      <w:spacing w:after="200" w:line="276" w:lineRule="auto"/>
      <w:ind w:left="720"/>
      <w:contextualSpacing/>
      <w:jc w:val="left"/>
      <w:textAlignment w:val="auto"/>
    </w:pPr>
    <w:rPr>
      <w:rFonts w:ascii="Calibri" w:hAnsi="Calibri"/>
      <w:sz w:val="22"/>
      <w:szCs w:val="22"/>
      <w:lang w:val="es-MX" w:eastAsia="es-MX"/>
    </w:rPr>
  </w:style>
  <w:style w:type="paragraph" w:styleId="Revision">
    <w:name w:val="Revision"/>
    <w:hidden/>
    <w:uiPriority w:val="99"/>
    <w:semiHidden/>
    <w:rsid w:val="00621AE2"/>
    <w:rPr>
      <w:rFonts w:eastAsia="Times New Roman"/>
      <w:sz w:val="24"/>
      <w:szCs w:val="24"/>
      <w:lang w:val="es-CR" w:eastAsia="es-CR"/>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B74499"/>
    <w:pPr>
      <w:widowControl/>
      <w:adjustRightInd/>
      <w:spacing w:line="240" w:lineRule="auto"/>
      <w:textAlignment w:val="auto"/>
    </w:pPr>
    <w:rPr>
      <w:rFonts w:eastAsia="Calibri"/>
      <w:sz w:val="20"/>
      <w:szCs w:val="20"/>
      <w:vertAlign w:val="superscript"/>
      <w:lang w:val="en-US" w:eastAsia="en-US"/>
    </w:rPr>
  </w:style>
  <w:style w:type="paragraph" w:customStyle="1" w:styleId="Estilo5">
    <w:name w:val="Estilo5"/>
    <w:basedOn w:val="ListParagraph"/>
    <w:rsid w:val="00EB161A"/>
    <w:pPr>
      <w:tabs>
        <w:tab w:val="num" w:pos="360"/>
      </w:tabs>
      <w:spacing w:after="120" w:line="216" w:lineRule="auto"/>
      <w:ind w:right="18"/>
      <w:contextualSpacing w:val="0"/>
      <w:jc w:val="both"/>
    </w:pPr>
    <w:rPr>
      <w:rFonts w:ascii="Verdana" w:hAnsi="Verdana"/>
      <w:spacing w:val="-2"/>
      <w:sz w:val="20"/>
      <w:szCs w:val="20"/>
      <w:lang w:eastAsia="x-none"/>
    </w:rPr>
  </w:style>
  <w:style w:type="paragraph" w:customStyle="1" w:styleId="Estilo8">
    <w:name w:val="Estilo8"/>
    <w:basedOn w:val="Estilo3"/>
    <w:qFormat/>
    <w:rsid w:val="00EB161A"/>
    <w:pPr>
      <w:widowControl/>
      <w:tabs>
        <w:tab w:val="num" w:pos="360"/>
      </w:tabs>
      <w:adjustRightInd/>
      <w:spacing w:line="216" w:lineRule="auto"/>
      <w:ind w:left="1080" w:right="17" w:hanging="358"/>
      <w:textAlignment w:val="auto"/>
    </w:pPr>
    <w:rPr>
      <w:rFonts w:eastAsia="Calibri"/>
      <w:spacing w:val="-2"/>
      <w:sz w:val="20"/>
      <w:szCs w:val="20"/>
      <w:lang w:val="es-CR" w:eastAsia="en-US"/>
    </w:rPr>
  </w:style>
  <w:style w:type="paragraph" w:customStyle="1" w:styleId="Sentencia1">
    <w:name w:val="Sentencia 1"/>
    <w:basedOn w:val="Heading1"/>
    <w:qFormat/>
    <w:rsid w:val="00EB161A"/>
    <w:pPr>
      <w:widowControl/>
      <w:tabs>
        <w:tab w:val="clear" w:pos="720"/>
      </w:tabs>
      <w:adjustRightInd/>
      <w:textAlignment w:val="auto"/>
    </w:pPr>
    <w:rPr>
      <w:rFonts w:eastAsia="Times New Roman"/>
      <w:caps w:val="0"/>
      <w:snapToGrid/>
      <w:spacing w:val="0"/>
      <w:lang w:eastAsia="x-none"/>
    </w:rPr>
  </w:style>
  <w:style w:type="paragraph" w:customStyle="1" w:styleId="Sentencia2">
    <w:name w:val="Sentencia 2"/>
    <w:basedOn w:val="Heading2"/>
    <w:qFormat/>
    <w:rsid w:val="00EB161A"/>
    <w:pPr>
      <w:keepNext/>
      <w:keepLines/>
      <w:widowControl/>
      <w:tabs>
        <w:tab w:val="clear" w:pos="720"/>
      </w:tabs>
      <w:adjustRightInd/>
      <w:spacing w:line="276" w:lineRule="auto"/>
      <w:contextualSpacing w:val="0"/>
      <w:jc w:val="left"/>
      <w:textAlignment w:val="auto"/>
    </w:pPr>
    <w:rPr>
      <w:bCs/>
      <w:i w:val="0"/>
      <w:spacing w:val="0"/>
      <w:szCs w:val="26"/>
      <w:lang w:val="es-CR" w:eastAsia="x-none"/>
    </w:rPr>
  </w:style>
  <w:style w:type="paragraph" w:customStyle="1" w:styleId="Sentencia3">
    <w:name w:val="Sentencia 3"/>
    <w:basedOn w:val="Heading3"/>
    <w:qFormat/>
    <w:rsid w:val="00EB161A"/>
    <w:pPr>
      <w:keepNext/>
      <w:keepLines/>
      <w:tabs>
        <w:tab w:val="clear" w:pos="567"/>
      </w:tabs>
      <w:autoSpaceDE/>
      <w:autoSpaceDN/>
      <w:spacing w:line="276" w:lineRule="auto"/>
      <w:ind w:left="720"/>
      <w:contextualSpacing w:val="0"/>
      <w:jc w:val="left"/>
    </w:pPr>
    <w:rPr>
      <w:rFonts w:eastAsia="Times New Roman"/>
      <w:b w:val="0"/>
      <w:bCs/>
      <w:i/>
      <w:color w:val="000000"/>
      <w:spacing w:val="0"/>
      <w:lang w:val="x-none"/>
    </w:rPr>
  </w:style>
  <w:style w:type="paragraph" w:customStyle="1" w:styleId="PiedepginasCorteIDH">
    <w:name w:val="Pie de páginas Corte IDH"/>
    <w:basedOn w:val="Footer"/>
    <w:link w:val="PiedepginasCorteIDHCar"/>
    <w:autoRedefine/>
    <w:qFormat/>
    <w:rsid w:val="000B20B0"/>
    <w:pPr>
      <w:widowControl/>
      <w:tabs>
        <w:tab w:val="clear" w:pos="4320"/>
        <w:tab w:val="clear" w:pos="8640"/>
      </w:tabs>
      <w:adjustRightInd/>
      <w:spacing w:after="60"/>
      <w:ind w:hanging="11"/>
      <w:textAlignment w:val="auto"/>
    </w:pPr>
    <w:rPr>
      <w:rFonts w:cs="Verdana"/>
      <w:sz w:val="16"/>
      <w:szCs w:val="16"/>
      <w:lang w:val="es-ES" w:eastAsia="en-US" w:bidi="en-US"/>
    </w:rPr>
  </w:style>
  <w:style w:type="character" w:customStyle="1" w:styleId="PiedepginasCorteIDHCar">
    <w:name w:val="Pie de páginas Corte IDH Car"/>
    <w:link w:val="PiedepginasCorteIDH"/>
    <w:rsid w:val="000B20B0"/>
    <w:rPr>
      <w:rFonts w:eastAsia="Times New Roman" w:cs="Verdana"/>
      <w:sz w:val="16"/>
      <w:szCs w:val="16"/>
      <w:lang w:val="es-ES" w:bidi="en-US"/>
    </w:rPr>
  </w:style>
  <w:style w:type="paragraph" w:customStyle="1" w:styleId="Prrafodelista3">
    <w:name w:val="Párrafo de lista3"/>
    <w:basedOn w:val="Normal"/>
    <w:qFormat/>
    <w:rsid w:val="000B20B0"/>
    <w:pPr>
      <w:widowControl/>
      <w:adjustRightInd/>
      <w:spacing w:after="200" w:line="240" w:lineRule="auto"/>
      <w:ind w:left="720"/>
      <w:contextualSpacing/>
      <w:textAlignment w:val="auto"/>
    </w:pPr>
    <w:rPr>
      <w:rFonts w:ascii="Calibri" w:eastAsia="Calibri" w:hAnsi="Calibri"/>
      <w:sz w:val="22"/>
      <w:szCs w:val="22"/>
      <w:lang w:eastAsia="en-US"/>
    </w:rPr>
  </w:style>
  <w:style w:type="paragraph" w:styleId="NoSpacing">
    <w:name w:val="No Spacing"/>
    <w:uiPriority w:val="1"/>
    <w:qFormat/>
    <w:rsid w:val="00CB535D"/>
    <w:pPr>
      <w:jc w:val="both"/>
    </w:pPr>
    <w:rPr>
      <w:rFonts w:cs="Calibri"/>
      <w:szCs w:val="22"/>
      <w:lang w:val="es-MX"/>
    </w:rPr>
  </w:style>
  <w:style w:type="numbering" w:customStyle="1" w:styleId="NoList2">
    <w:name w:val="No List2"/>
    <w:next w:val="NoList"/>
    <w:uiPriority w:val="99"/>
    <w:semiHidden/>
    <w:unhideWhenUsed/>
    <w:rsid w:val="000C193E"/>
  </w:style>
  <w:style w:type="character" w:customStyle="1" w:styleId="TextonotapieCar">
    <w:name w:val="Texto nota pie Car"/>
    <w:uiPriority w:val="99"/>
    <w:semiHidden/>
    <w:rsid w:val="000C193E"/>
    <w:rPr>
      <w:rFonts w:ascii="Verdana" w:eastAsia="Batang" w:hAnsi="Verdana" w:cs="Times"/>
      <w:sz w:val="20"/>
      <w:szCs w:val="20"/>
      <w:lang w:val="es-ES_tradnl"/>
    </w:rPr>
  </w:style>
  <w:style w:type="character" w:customStyle="1" w:styleId="TextonotaalfinalCar">
    <w:name w:val="Texto nota al final Car"/>
    <w:semiHidden/>
    <w:rsid w:val="000C193E"/>
    <w:rPr>
      <w:rFonts w:ascii="Verdana" w:eastAsia="Batang" w:hAnsi="Verdana" w:cs="Times"/>
      <w:sz w:val="20"/>
      <w:szCs w:val="20"/>
      <w:lang w:val="es-ES_tradnl"/>
    </w:rPr>
  </w:style>
  <w:style w:type="character" w:customStyle="1" w:styleId="st">
    <w:name w:val="st"/>
    <w:rsid w:val="000C193E"/>
    <w:rPr>
      <w:rFonts w:cs="Times New Roman"/>
    </w:rPr>
  </w:style>
  <w:style w:type="numbering" w:customStyle="1" w:styleId="NoList3">
    <w:name w:val="No List3"/>
    <w:next w:val="NoList"/>
    <w:uiPriority w:val="99"/>
    <w:semiHidden/>
    <w:unhideWhenUsed/>
    <w:rsid w:val="00046981"/>
  </w:style>
  <w:style w:type="paragraph" w:styleId="TOCHeading">
    <w:name w:val="TOC Heading"/>
    <w:basedOn w:val="Heading1"/>
    <w:next w:val="Normal"/>
    <w:uiPriority w:val="39"/>
    <w:semiHidden/>
    <w:unhideWhenUsed/>
    <w:qFormat/>
    <w:rsid w:val="00373E94"/>
    <w:pPr>
      <w:widowControl/>
      <w:tabs>
        <w:tab w:val="clear" w:pos="720"/>
      </w:tabs>
      <w:adjustRightInd/>
      <w:spacing w:before="480" w:line="276" w:lineRule="auto"/>
      <w:jc w:val="left"/>
      <w:textAlignment w:val="auto"/>
      <w:outlineLvl w:val="9"/>
    </w:pPr>
    <w:rPr>
      <w:rFonts w:ascii="Cambria" w:eastAsia="MS Gothic" w:hAnsi="Cambria"/>
      <w:caps w:val="0"/>
      <w:snapToGrid/>
      <w:color w:val="365F91"/>
      <w:spacing w:val="0"/>
      <w:sz w:val="28"/>
      <w:szCs w:val="28"/>
      <w:lang w:val="en-US" w:eastAsia="ja-JP"/>
    </w:rPr>
  </w:style>
  <w:style w:type="paragraph" w:styleId="BodyText">
    <w:name w:val="Body Text"/>
    <w:basedOn w:val="Normal"/>
    <w:link w:val="BodyTextChar"/>
    <w:uiPriority w:val="99"/>
    <w:unhideWhenUsed/>
    <w:rsid w:val="00586941"/>
    <w:pPr>
      <w:spacing w:after="120"/>
    </w:pPr>
  </w:style>
  <w:style w:type="character" w:customStyle="1" w:styleId="BodyTextChar">
    <w:name w:val="Body Text Char"/>
    <w:link w:val="BodyText"/>
    <w:uiPriority w:val="99"/>
    <w:rsid w:val="00586941"/>
    <w:rPr>
      <w:rFonts w:eastAsia="Times New Roman"/>
      <w:sz w:val="24"/>
      <w:szCs w:val="24"/>
      <w:lang w:val="es-CR" w:eastAsia="es-CR"/>
    </w:rPr>
  </w:style>
  <w:style w:type="numbering" w:customStyle="1" w:styleId="NoList4">
    <w:name w:val="No List4"/>
    <w:next w:val="NoList"/>
    <w:uiPriority w:val="99"/>
    <w:semiHidden/>
    <w:unhideWhenUsed/>
    <w:rsid w:val="0053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2662">
      <w:bodyDiv w:val="1"/>
      <w:marLeft w:val="0"/>
      <w:marRight w:val="0"/>
      <w:marTop w:val="0"/>
      <w:marBottom w:val="0"/>
      <w:divBdr>
        <w:top w:val="none" w:sz="0" w:space="0" w:color="auto"/>
        <w:left w:val="none" w:sz="0" w:space="0" w:color="auto"/>
        <w:bottom w:val="none" w:sz="0" w:space="0" w:color="auto"/>
        <w:right w:val="none" w:sz="0" w:space="0" w:color="auto"/>
      </w:divBdr>
    </w:div>
    <w:div w:id="58140428">
      <w:bodyDiv w:val="1"/>
      <w:marLeft w:val="0"/>
      <w:marRight w:val="0"/>
      <w:marTop w:val="0"/>
      <w:marBottom w:val="0"/>
      <w:divBdr>
        <w:top w:val="none" w:sz="0" w:space="0" w:color="auto"/>
        <w:left w:val="none" w:sz="0" w:space="0" w:color="auto"/>
        <w:bottom w:val="none" w:sz="0" w:space="0" w:color="auto"/>
        <w:right w:val="none" w:sz="0" w:space="0" w:color="auto"/>
      </w:divBdr>
      <w:divsChild>
        <w:div w:id="1038241894">
          <w:marLeft w:val="0"/>
          <w:marRight w:val="0"/>
          <w:marTop w:val="0"/>
          <w:marBottom w:val="0"/>
          <w:divBdr>
            <w:top w:val="none" w:sz="0" w:space="0" w:color="auto"/>
            <w:left w:val="none" w:sz="0" w:space="0" w:color="auto"/>
            <w:bottom w:val="none" w:sz="0" w:space="0" w:color="auto"/>
            <w:right w:val="none" w:sz="0" w:space="0" w:color="auto"/>
          </w:divBdr>
          <w:divsChild>
            <w:div w:id="815923955">
              <w:marLeft w:val="0"/>
              <w:marRight w:val="0"/>
              <w:marTop w:val="0"/>
              <w:marBottom w:val="0"/>
              <w:divBdr>
                <w:top w:val="none" w:sz="0" w:space="0" w:color="auto"/>
                <w:left w:val="none" w:sz="0" w:space="0" w:color="auto"/>
                <w:bottom w:val="none" w:sz="0" w:space="0" w:color="auto"/>
                <w:right w:val="none" w:sz="0" w:space="0" w:color="auto"/>
              </w:divBdr>
              <w:divsChild>
                <w:div w:id="8235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6930">
      <w:bodyDiv w:val="1"/>
      <w:marLeft w:val="0"/>
      <w:marRight w:val="0"/>
      <w:marTop w:val="0"/>
      <w:marBottom w:val="0"/>
      <w:divBdr>
        <w:top w:val="none" w:sz="0" w:space="0" w:color="auto"/>
        <w:left w:val="none" w:sz="0" w:space="0" w:color="auto"/>
        <w:bottom w:val="none" w:sz="0" w:space="0" w:color="auto"/>
        <w:right w:val="none" w:sz="0" w:space="0" w:color="auto"/>
      </w:divBdr>
    </w:div>
    <w:div w:id="128012820">
      <w:bodyDiv w:val="1"/>
      <w:marLeft w:val="0"/>
      <w:marRight w:val="0"/>
      <w:marTop w:val="0"/>
      <w:marBottom w:val="0"/>
      <w:divBdr>
        <w:top w:val="none" w:sz="0" w:space="0" w:color="auto"/>
        <w:left w:val="none" w:sz="0" w:space="0" w:color="auto"/>
        <w:bottom w:val="none" w:sz="0" w:space="0" w:color="auto"/>
        <w:right w:val="none" w:sz="0" w:space="0" w:color="auto"/>
      </w:divBdr>
    </w:div>
    <w:div w:id="184171687">
      <w:bodyDiv w:val="1"/>
      <w:marLeft w:val="0"/>
      <w:marRight w:val="0"/>
      <w:marTop w:val="0"/>
      <w:marBottom w:val="0"/>
      <w:divBdr>
        <w:top w:val="none" w:sz="0" w:space="0" w:color="auto"/>
        <w:left w:val="none" w:sz="0" w:space="0" w:color="auto"/>
        <w:bottom w:val="none" w:sz="0" w:space="0" w:color="auto"/>
        <w:right w:val="none" w:sz="0" w:space="0" w:color="auto"/>
      </w:divBdr>
      <w:divsChild>
        <w:div w:id="1476409862">
          <w:marLeft w:val="0"/>
          <w:marRight w:val="0"/>
          <w:marTop w:val="0"/>
          <w:marBottom w:val="0"/>
          <w:divBdr>
            <w:top w:val="none" w:sz="0" w:space="0" w:color="auto"/>
            <w:left w:val="none" w:sz="0" w:space="0" w:color="auto"/>
            <w:bottom w:val="none" w:sz="0" w:space="0" w:color="auto"/>
            <w:right w:val="none" w:sz="0" w:space="0" w:color="auto"/>
          </w:divBdr>
          <w:divsChild>
            <w:div w:id="1115369628">
              <w:marLeft w:val="0"/>
              <w:marRight w:val="0"/>
              <w:marTop w:val="0"/>
              <w:marBottom w:val="0"/>
              <w:divBdr>
                <w:top w:val="none" w:sz="0" w:space="0" w:color="auto"/>
                <w:left w:val="none" w:sz="0" w:space="0" w:color="auto"/>
                <w:bottom w:val="none" w:sz="0" w:space="0" w:color="auto"/>
                <w:right w:val="none" w:sz="0" w:space="0" w:color="auto"/>
              </w:divBdr>
              <w:divsChild>
                <w:div w:id="3012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4887">
      <w:bodyDiv w:val="1"/>
      <w:marLeft w:val="0"/>
      <w:marRight w:val="0"/>
      <w:marTop w:val="0"/>
      <w:marBottom w:val="0"/>
      <w:divBdr>
        <w:top w:val="none" w:sz="0" w:space="0" w:color="auto"/>
        <w:left w:val="none" w:sz="0" w:space="0" w:color="auto"/>
        <w:bottom w:val="none" w:sz="0" w:space="0" w:color="auto"/>
        <w:right w:val="none" w:sz="0" w:space="0" w:color="auto"/>
      </w:divBdr>
    </w:div>
    <w:div w:id="237710341">
      <w:bodyDiv w:val="1"/>
      <w:marLeft w:val="0"/>
      <w:marRight w:val="0"/>
      <w:marTop w:val="0"/>
      <w:marBottom w:val="0"/>
      <w:divBdr>
        <w:top w:val="none" w:sz="0" w:space="0" w:color="auto"/>
        <w:left w:val="none" w:sz="0" w:space="0" w:color="auto"/>
        <w:bottom w:val="none" w:sz="0" w:space="0" w:color="auto"/>
        <w:right w:val="none" w:sz="0" w:space="0" w:color="auto"/>
      </w:divBdr>
    </w:div>
    <w:div w:id="291401026">
      <w:bodyDiv w:val="1"/>
      <w:marLeft w:val="0"/>
      <w:marRight w:val="0"/>
      <w:marTop w:val="0"/>
      <w:marBottom w:val="0"/>
      <w:divBdr>
        <w:top w:val="none" w:sz="0" w:space="0" w:color="auto"/>
        <w:left w:val="none" w:sz="0" w:space="0" w:color="auto"/>
        <w:bottom w:val="none" w:sz="0" w:space="0" w:color="auto"/>
        <w:right w:val="none" w:sz="0" w:space="0" w:color="auto"/>
      </w:divBdr>
    </w:div>
    <w:div w:id="318731090">
      <w:bodyDiv w:val="1"/>
      <w:marLeft w:val="0"/>
      <w:marRight w:val="0"/>
      <w:marTop w:val="0"/>
      <w:marBottom w:val="0"/>
      <w:divBdr>
        <w:top w:val="none" w:sz="0" w:space="0" w:color="auto"/>
        <w:left w:val="none" w:sz="0" w:space="0" w:color="auto"/>
        <w:bottom w:val="none" w:sz="0" w:space="0" w:color="auto"/>
        <w:right w:val="none" w:sz="0" w:space="0" w:color="auto"/>
      </w:divBdr>
    </w:div>
    <w:div w:id="347563837">
      <w:bodyDiv w:val="1"/>
      <w:marLeft w:val="0"/>
      <w:marRight w:val="0"/>
      <w:marTop w:val="0"/>
      <w:marBottom w:val="0"/>
      <w:divBdr>
        <w:top w:val="none" w:sz="0" w:space="0" w:color="auto"/>
        <w:left w:val="none" w:sz="0" w:space="0" w:color="auto"/>
        <w:bottom w:val="none" w:sz="0" w:space="0" w:color="auto"/>
        <w:right w:val="none" w:sz="0" w:space="0" w:color="auto"/>
      </w:divBdr>
    </w:div>
    <w:div w:id="373307977">
      <w:bodyDiv w:val="1"/>
      <w:marLeft w:val="0"/>
      <w:marRight w:val="0"/>
      <w:marTop w:val="0"/>
      <w:marBottom w:val="0"/>
      <w:divBdr>
        <w:top w:val="none" w:sz="0" w:space="0" w:color="auto"/>
        <w:left w:val="none" w:sz="0" w:space="0" w:color="auto"/>
        <w:bottom w:val="none" w:sz="0" w:space="0" w:color="auto"/>
        <w:right w:val="none" w:sz="0" w:space="0" w:color="auto"/>
      </w:divBdr>
    </w:div>
    <w:div w:id="471680608">
      <w:bodyDiv w:val="1"/>
      <w:marLeft w:val="0"/>
      <w:marRight w:val="0"/>
      <w:marTop w:val="0"/>
      <w:marBottom w:val="0"/>
      <w:divBdr>
        <w:top w:val="none" w:sz="0" w:space="0" w:color="auto"/>
        <w:left w:val="none" w:sz="0" w:space="0" w:color="auto"/>
        <w:bottom w:val="none" w:sz="0" w:space="0" w:color="auto"/>
        <w:right w:val="none" w:sz="0" w:space="0" w:color="auto"/>
      </w:divBdr>
    </w:div>
    <w:div w:id="529608891">
      <w:bodyDiv w:val="1"/>
      <w:marLeft w:val="0"/>
      <w:marRight w:val="0"/>
      <w:marTop w:val="0"/>
      <w:marBottom w:val="0"/>
      <w:divBdr>
        <w:top w:val="none" w:sz="0" w:space="0" w:color="auto"/>
        <w:left w:val="none" w:sz="0" w:space="0" w:color="auto"/>
        <w:bottom w:val="none" w:sz="0" w:space="0" w:color="auto"/>
        <w:right w:val="none" w:sz="0" w:space="0" w:color="auto"/>
      </w:divBdr>
    </w:div>
    <w:div w:id="543248420">
      <w:bodyDiv w:val="1"/>
      <w:marLeft w:val="0"/>
      <w:marRight w:val="0"/>
      <w:marTop w:val="0"/>
      <w:marBottom w:val="0"/>
      <w:divBdr>
        <w:top w:val="none" w:sz="0" w:space="0" w:color="auto"/>
        <w:left w:val="none" w:sz="0" w:space="0" w:color="auto"/>
        <w:bottom w:val="none" w:sz="0" w:space="0" w:color="auto"/>
        <w:right w:val="none" w:sz="0" w:space="0" w:color="auto"/>
      </w:divBdr>
    </w:div>
    <w:div w:id="565452584">
      <w:bodyDiv w:val="1"/>
      <w:marLeft w:val="0"/>
      <w:marRight w:val="0"/>
      <w:marTop w:val="0"/>
      <w:marBottom w:val="0"/>
      <w:divBdr>
        <w:top w:val="none" w:sz="0" w:space="0" w:color="auto"/>
        <w:left w:val="none" w:sz="0" w:space="0" w:color="auto"/>
        <w:bottom w:val="none" w:sz="0" w:space="0" w:color="auto"/>
        <w:right w:val="none" w:sz="0" w:space="0" w:color="auto"/>
      </w:divBdr>
    </w:div>
    <w:div w:id="569770470">
      <w:bodyDiv w:val="1"/>
      <w:marLeft w:val="0"/>
      <w:marRight w:val="0"/>
      <w:marTop w:val="0"/>
      <w:marBottom w:val="0"/>
      <w:divBdr>
        <w:top w:val="none" w:sz="0" w:space="0" w:color="auto"/>
        <w:left w:val="none" w:sz="0" w:space="0" w:color="auto"/>
        <w:bottom w:val="none" w:sz="0" w:space="0" w:color="auto"/>
        <w:right w:val="none" w:sz="0" w:space="0" w:color="auto"/>
      </w:divBdr>
    </w:div>
    <w:div w:id="605504403">
      <w:bodyDiv w:val="1"/>
      <w:marLeft w:val="0"/>
      <w:marRight w:val="0"/>
      <w:marTop w:val="0"/>
      <w:marBottom w:val="0"/>
      <w:divBdr>
        <w:top w:val="none" w:sz="0" w:space="0" w:color="auto"/>
        <w:left w:val="none" w:sz="0" w:space="0" w:color="auto"/>
        <w:bottom w:val="none" w:sz="0" w:space="0" w:color="auto"/>
        <w:right w:val="none" w:sz="0" w:space="0" w:color="auto"/>
      </w:divBdr>
    </w:div>
    <w:div w:id="670723621">
      <w:bodyDiv w:val="1"/>
      <w:marLeft w:val="0"/>
      <w:marRight w:val="0"/>
      <w:marTop w:val="0"/>
      <w:marBottom w:val="0"/>
      <w:divBdr>
        <w:top w:val="none" w:sz="0" w:space="0" w:color="auto"/>
        <w:left w:val="none" w:sz="0" w:space="0" w:color="auto"/>
        <w:bottom w:val="none" w:sz="0" w:space="0" w:color="auto"/>
        <w:right w:val="none" w:sz="0" w:space="0" w:color="auto"/>
      </w:divBdr>
    </w:div>
    <w:div w:id="685598990">
      <w:bodyDiv w:val="1"/>
      <w:marLeft w:val="0"/>
      <w:marRight w:val="0"/>
      <w:marTop w:val="0"/>
      <w:marBottom w:val="0"/>
      <w:divBdr>
        <w:top w:val="none" w:sz="0" w:space="0" w:color="auto"/>
        <w:left w:val="none" w:sz="0" w:space="0" w:color="auto"/>
        <w:bottom w:val="none" w:sz="0" w:space="0" w:color="auto"/>
        <w:right w:val="none" w:sz="0" w:space="0" w:color="auto"/>
      </w:divBdr>
    </w:div>
    <w:div w:id="694044689">
      <w:bodyDiv w:val="1"/>
      <w:marLeft w:val="0"/>
      <w:marRight w:val="0"/>
      <w:marTop w:val="0"/>
      <w:marBottom w:val="0"/>
      <w:divBdr>
        <w:top w:val="none" w:sz="0" w:space="0" w:color="auto"/>
        <w:left w:val="none" w:sz="0" w:space="0" w:color="auto"/>
        <w:bottom w:val="none" w:sz="0" w:space="0" w:color="auto"/>
        <w:right w:val="none" w:sz="0" w:space="0" w:color="auto"/>
      </w:divBdr>
    </w:div>
    <w:div w:id="798914398">
      <w:bodyDiv w:val="1"/>
      <w:marLeft w:val="0"/>
      <w:marRight w:val="0"/>
      <w:marTop w:val="0"/>
      <w:marBottom w:val="0"/>
      <w:divBdr>
        <w:top w:val="none" w:sz="0" w:space="0" w:color="auto"/>
        <w:left w:val="none" w:sz="0" w:space="0" w:color="auto"/>
        <w:bottom w:val="none" w:sz="0" w:space="0" w:color="auto"/>
        <w:right w:val="none" w:sz="0" w:space="0" w:color="auto"/>
      </w:divBdr>
    </w:div>
    <w:div w:id="851185808">
      <w:bodyDiv w:val="1"/>
      <w:marLeft w:val="0"/>
      <w:marRight w:val="0"/>
      <w:marTop w:val="0"/>
      <w:marBottom w:val="0"/>
      <w:divBdr>
        <w:top w:val="none" w:sz="0" w:space="0" w:color="auto"/>
        <w:left w:val="none" w:sz="0" w:space="0" w:color="auto"/>
        <w:bottom w:val="none" w:sz="0" w:space="0" w:color="auto"/>
        <w:right w:val="none" w:sz="0" w:space="0" w:color="auto"/>
      </w:divBdr>
    </w:div>
    <w:div w:id="854465209">
      <w:bodyDiv w:val="1"/>
      <w:marLeft w:val="0"/>
      <w:marRight w:val="0"/>
      <w:marTop w:val="0"/>
      <w:marBottom w:val="0"/>
      <w:divBdr>
        <w:top w:val="none" w:sz="0" w:space="0" w:color="auto"/>
        <w:left w:val="none" w:sz="0" w:space="0" w:color="auto"/>
        <w:bottom w:val="none" w:sz="0" w:space="0" w:color="auto"/>
        <w:right w:val="none" w:sz="0" w:space="0" w:color="auto"/>
      </w:divBdr>
    </w:div>
    <w:div w:id="859052679">
      <w:bodyDiv w:val="1"/>
      <w:marLeft w:val="0"/>
      <w:marRight w:val="0"/>
      <w:marTop w:val="0"/>
      <w:marBottom w:val="0"/>
      <w:divBdr>
        <w:top w:val="none" w:sz="0" w:space="0" w:color="auto"/>
        <w:left w:val="none" w:sz="0" w:space="0" w:color="auto"/>
        <w:bottom w:val="none" w:sz="0" w:space="0" w:color="auto"/>
        <w:right w:val="none" w:sz="0" w:space="0" w:color="auto"/>
      </w:divBdr>
    </w:div>
    <w:div w:id="932860996">
      <w:bodyDiv w:val="1"/>
      <w:marLeft w:val="0"/>
      <w:marRight w:val="0"/>
      <w:marTop w:val="0"/>
      <w:marBottom w:val="0"/>
      <w:divBdr>
        <w:top w:val="none" w:sz="0" w:space="0" w:color="auto"/>
        <w:left w:val="none" w:sz="0" w:space="0" w:color="auto"/>
        <w:bottom w:val="none" w:sz="0" w:space="0" w:color="auto"/>
        <w:right w:val="none" w:sz="0" w:space="0" w:color="auto"/>
      </w:divBdr>
    </w:div>
    <w:div w:id="1010107963">
      <w:bodyDiv w:val="1"/>
      <w:marLeft w:val="0"/>
      <w:marRight w:val="0"/>
      <w:marTop w:val="0"/>
      <w:marBottom w:val="0"/>
      <w:divBdr>
        <w:top w:val="none" w:sz="0" w:space="0" w:color="auto"/>
        <w:left w:val="none" w:sz="0" w:space="0" w:color="auto"/>
        <w:bottom w:val="none" w:sz="0" w:space="0" w:color="auto"/>
        <w:right w:val="none" w:sz="0" w:space="0" w:color="auto"/>
      </w:divBdr>
    </w:div>
    <w:div w:id="1167987394">
      <w:bodyDiv w:val="1"/>
      <w:marLeft w:val="0"/>
      <w:marRight w:val="0"/>
      <w:marTop w:val="0"/>
      <w:marBottom w:val="0"/>
      <w:divBdr>
        <w:top w:val="none" w:sz="0" w:space="0" w:color="auto"/>
        <w:left w:val="none" w:sz="0" w:space="0" w:color="auto"/>
        <w:bottom w:val="none" w:sz="0" w:space="0" w:color="auto"/>
        <w:right w:val="none" w:sz="0" w:space="0" w:color="auto"/>
      </w:divBdr>
    </w:div>
    <w:div w:id="1229076929">
      <w:bodyDiv w:val="1"/>
      <w:marLeft w:val="0"/>
      <w:marRight w:val="0"/>
      <w:marTop w:val="0"/>
      <w:marBottom w:val="0"/>
      <w:divBdr>
        <w:top w:val="none" w:sz="0" w:space="0" w:color="auto"/>
        <w:left w:val="none" w:sz="0" w:space="0" w:color="auto"/>
        <w:bottom w:val="none" w:sz="0" w:space="0" w:color="auto"/>
        <w:right w:val="none" w:sz="0" w:space="0" w:color="auto"/>
      </w:divBdr>
      <w:divsChild>
        <w:div w:id="483082343">
          <w:marLeft w:val="0"/>
          <w:marRight w:val="0"/>
          <w:marTop w:val="0"/>
          <w:marBottom w:val="0"/>
          <w:divBdr>
            <w:top w:val="none" w:sz="0" w:space="0" w:color="auto"/>
            <w:left w:val="none" w:sz="0" w:space="0" w:color="auto"/>
            <w:bottom w:val="none" w:sz="0" w:space="0" w:color="auto"/>
            <w:right w:val="none" w:sz="0" w:space="0" w:color="auto"/>
          </w:divBdr>
          <w:divsChild>
            <w:div w:id="1704016837">
              <w:marLeft w:val="0"/>
              <w:marRight w:val="0"/>
              <w:marTop w:val="0"/>
              <w:marBottom w:val="0"/>
              <w:divBdr>
                <w:top w:val="none" w:sz="0" w:space="0" w:color="auto"/>
                <w:left w:val="none" w:sz="0" w:space="0" w:color="auto"/>
                <w:bottom w:val="none" w:sz="0" w:space="0" w:color="auto"/>
                <w:right w:val="none" w:sz="0" w:space="0" w:color="auto"/>
              </w:divBdr>
              <w:divsChild>
                <w:div w:id="20625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67710">
      <w:bodyDiv w:val="1"/>
      <w:marLeft w:val="0"/>
      <w:marRight w:val="0"/>
      <w:marTop w:val="0"/>
      <w:marBottom w:val="0"/>
      <w:divBdr>
        <w:top w:val="none" w:sz="0" w:space="0" w:color="auto"/>
        <w:left w:val="none" w:sz="0" w:space="0" w:color="auto"/>
        <w:bottom w:val="none" w:sz="0" w:space="0" w:color="auto"/>
        <w:right w:val="none" w:sz="0" w:space="0" w:color="auto"/>
      </w:divBdr>
    </w:div>
    <w:div w:id="1293752727">
      <w:bodyDiv w:val="1"/>
      <w:marLeft w:val="0"/>
      <w:marRight w:val="0"/>
      <w:marTop w:val="0"/>
      <w:marBottom w:val="0"/>
      <w:divBdr>
        <w:top w:val="none" w:sz="0" w:space="0" w:color="auto"/>
        <w:left w:val="none" w:sz="0" w:space="0" w:color="auto"/>
        <w:bottom w:val="none" w:sz="0" w:space="0" w:color="auto"/>
        <w:right w:val="none" w:sz="0" w:space="0" w:color="auto"/>
      </w:divBdr>
    </w:div>
    <w:div w:id="1355573152">
      <w:bodyDiv w:val="1"/>
      <w:marLeft w:val="0"/>
      <w:marRight w:val="0"/>
      <w:marTop w:val="0"/>
      <w:marBottom w:val="0"/>
      <w:divBdr>
        <w:top w:val="none" w:sz="0" w:space="0" w:color="auto"/>
        <w:left w:val="none" w:sz="0" w:space="0" w:color="auto"/>
        <w:bottom w:val="none" w:sz="0" w:space="0" w:color="auto"/>
        <w:right w:val="none" w:sz="0" w:space="0" w:color="auto"/>
      </w:divBdr>
    </w:div>
    <w:div w:id="1548837122">
      <w:bodyDiv w:val="1"/>
      <w:marLeft w:val="0"/>
      <w:marRight w:val="0"/>
      <w:marTop w:val="0"/>
      <w:marBottom w:val="0"/>
      <w:divBdr>
        <w:top w:val="none" w:sz="0" w:space="0" w:color="auto"/>
        <w:left w:val="none" w:sz="0" w:space="0" w:color="auto"/>
        <w:bottom w:val="none" w:sz="0" w:space="0" w:color="auto"/>
        <w:right w:val="none" w:sz="0" w:space="0" w:color="auto"/>
      </w:divBdr>
    </w:div>
    <w:div w:id="1554930347">
      <w:bodyDiv w:val="1"/>
      <w:marLeft w:val="0"/>
      <w:marRight w:val="0"/>
      <w:marTop w:val="0"/>
      <w:marBottom w:val="0"/>
      <w:divBdr>
        <w:top w:val="none" w:sz="0" w:space="0" w:color="auto"/>
        <w:left w:val="none" w:sz="0" w:space="0" w:color="auto"/>
        <w:bottom w:val="none" w:sz="0" w:space="0" w:color="auto"/>
        <w:right w:val="none" w:sz="0" w:space="0" w:color="auto"/>
      </w:divBdr>
      <w:divsChild>
        <w:div w:id="293603497">
          <w:marLeft w:val="0"/>
          <w:marRight w:val="0"/>
          <w:marTop w:val="0"/>
          <w:marBottom w:val="0"/>
          <w:divBdr>
            <w:top w:val="none" w:sz="0" w:space="0" w:color="auto"/>
            <w:left w:val="none" w:sz="0" w:space="0" w:color="auto"/>
            <w:bottom w:val="none" w:sz="0" w:space="0" w:color="auto"/>
            <w:right w:val="none" w:sz="0" w:space="0" w:color="auto"/>
          </w:divBdr>
        </w:div>
        <w:div w:id="345718998">
          <w:marLeft w:val="0"/>
          <w:marRight w:val="0"/>
          <w:marTop w:val="0"/>
          <w:marBottom w:val="0"/>
          <w:divBdr>
            <w:top w:val="none" w:sz="0" w:space="0" w:color="auto"/>
            <w:left w:val="none" w:sz="0" w:space="0" w:color="auto"/>
            <w:bottom w:val="none" w:sz="0" w:space="0" w:color="auto"/>
            <w:right w:val="none" w:sz="0" w:space="0" w:color="auto"/>
          </w:divBdr>
        </w:div>
        <w:div w:id="1324314958">
          <w:marLeft w:val="0"/>
          <w:marRight w:val="0"/>
          <w:marTop w:val="0"/>
          <w:marBottom w:val="0"/>
          <w:divBdr>
            <w:top w:val="none" w:sz="0" w:space="0" w:color="auto"/>
            <w:left w:val="none" w:sz="0" w:space="0" w:color="auto"/>
            <w:bottom w:val="none" w:sz="0" w:space="0" w:color="auto"/>
            <w:right w:val="none" w:sz="0" w:space="0" w:color="auto"/>
          </w:divBdr>
        </w:div>
        <w:div w:id="1607033659">
          <w:marLeft w:val="0"/>
          <w:marRight w:val="0"/>
          <w:marTop w:val="0"/>
          <w:marBottom w:val="0"/>
          <w:divBdr>
            <w:top w:val="none" w:sz="0" w:space="0" w:color="auto"/>
            <w:left w:val="none" w:sz="0" w:space="0" w:color="auto"/>
            <w:bottom w:val="none" w:sz="0" w:space="0" w:color="auto"/>
            <w:right w:val="none" w:sz="0" w:space="0" w:color="auto"/>
          </w:divBdr>
        </w:div>
        <w:div w:id="1921480706">
          <w:marLeft w:val="0"/>
          <w:marRight w:val="0"/>
          <w:marTop w:val="0"/>
          <w:marBottom w:val="0"/>
          <w:divBdr>
            <w:top w:val="none" w:sz="0" w:space="0" w:color="auto"/>
            <w:left w:val="none" w:sz="0" w:space="0" w:color="auto"/>
            <w:bottom w:val="none" w:sz="0" w:space="0" w:color="auto"/>
            <w:right w:val="none" w:sz="0" w:space="0" w:color="auto"/>
          </w:divBdr>
        </w:div>
      </w:divsChild>
    </w:div>
    <w:div w:id="1560752061">
      <w:bodyDiv w:val="1"/>
      <w:marLeft w:val="0"/>
      <w:marRight w:val="0"/>
      <w:marTop w:val="0"/>
      <w:marBottom w:val="0"/>
      <w:divBdr>
        <w:top w:val="none" w:sz="0" w:space="0" w:color="auto"/>
        <w:left w:val="none" w:sz="0" w:space="0" w:color="auto"/>
        <w:bottom w:val="none" w:sz="0" w:space="0" w:color="auto"/>
        <w:right w:val="none" w:sz="0" w:space="0" w:color="auto"/>
      </w:divBdr>
    </w:div>
    <w:div w:id="1567371784">
      <w:bodyDiv w:val="1"/>
      <w:marLeft w:val="0"/>
      <w:marRight w:val="0"/>
      <w:marTop w:val="0"/>
      <w:marBottom w:val="0"/>
      <w:divBdr>
        <w:top w:val="none" w:sz="0" w:space="0" w:color="auto"/>
        <w:left w:val="none" w:sz="0" w:space="0" w:color="auto"/>
        <w:bottom w:val="none" w:sz="0" w:space="0" w:color="auto"/>
        <w:right w:val="none" w:sz="0" w:space="0" w:color="auto"/>
      </w:divBdr>
    </w:div>
    <w:div w:id="1571961969">
      <w:bodyDiv w:val="1"/>
      <w:marLeft w:val="0"/>
      <w:marRight w:val="0"/>
      <w:marTop w:val="0"/>
      <w:marBottom w:val="0"/>
      <w:divBdr>
        <w:top w:val="none" w:sz="0" w:space="0" w:color="auto"/>
        <w:left w:val="none" w:sz="0" w:space="0" w:color="auto"/>
        <w:bottom w:val="none" w:sz="0" w:space="0" w:color="auto"/>
        <w:right w:val="none" w:sz="0" w:space="0" w:color="auto"/>
      </w:divBdr>
    </w:div>
    <w:div w:id="1577352639">
      <w:bodyDiv w:val="1"/>
      <w:marLeft w:val="0"/>
      <w:marRight w:val="0"/>
      <w:marTop w:val="0"/>
      <w:marBottom w:val="0"/>
      <w:divBdr>
        <w:top w:val="none" w:sz="0" w:space="0" w:color="auto"/>
        <w:left w:val="none" w:sz="0" w:space="0" w:color="auto"/>
        <w:bottom w:val="none" w:sz="0" w:space="0" w:color="auto"/>
        <w:right w:val="none" w:sz="0" w:space="0" w:color="auto"/>
      </w:divBdr>
    </w:div>
    <w:div w:id="1644654016">
      <w:bodyDiv w:val="1"/>
      <w:marLeft w:val="0"/>
      <w:marRight w:val="0"/>
      <w:marTop w:val="0"/>
      <w:marBottom w:val="0"/>
      <w:divBdr>
        <w:top w:val="none" w:sz="0" w:space="0" w:color="auto"/>
        <w:left w:val="none" w:sz="0" w:space="0" w:color="auto"/>
        <w:bottom w:val="none" w:sz="0" w:space="0" w:color="auto"/>
        <w:right w:val="none" w:sz="0" w:space="0" w:color="auto"/>
      </w:divBdr>
    </w:div>
    <w:div w:id="1713919802">
      <w:bodyDiv w:val="1"/>
      <w:marLeft w:val="0"/>
      <w:marRight w:val="0"/>
      <w:marTop w:val="0"/>
      <w:marBottom w:val="0"/>
      <w:divBdr>
        <w:top w:val="none" w:sz="0" w:space="0" w:color="auto"/>
        <w:left w:val="none" w:sz="0" w:space="0" w:color="auto"/>
        <w:bottom w:val="none" w:sz="0" w:space="0" w:color="auto"/>
        <w:right w:val="none" w:sz="0" w:space="0" w:color="auto"/>
      </w:divBdr>
      <w:divsChild>
        <w:div w:id="805202851">
          <w:marLeft w:val="0"/>
          <w:marRight w:val="0"/>
          <w:marTop w:val="0"/>
          <w:marBottom w:val="0"/>
          <w:divBdr>
            <w:top w:val="none" w:sz="0" w:space="0" w:color="auto"/>
            <w:left w:val="none" w:sz="0" w:space="0" w:color="auto"/>
            <w:bottom w:val="none" w:sz="0" w:space="0" w:color="auto"/>
            <w:right w:val="none" w:sz="0" w:space="0" w:color="auto"/>
          </w:divBdr>
          <w:divsChild>
            <w:div w:id="2044479771">
              <w:marLeft w:val="0"/>
              <w:marRight w:val="0"/>
              <w:marTop w:val="0"/>
              <w:marBottom w:val="0"/>
              <w:divBdr>
                <w:top w:val="none" w:sz="0" w:space="0" w:color="auto"/>
                <w:left w:val="none" w:sz="0" w:space="0" w:color="auto"/>
                <w:bottom w:val="none" w:sz="0" w:space="0" w:color="auto"/>
                <w:right w:val="none" w:sz="0" w:space="0" w:color="auto"/>
              </w:divBdr>
              <w:divsChild>
                <w:div w:id="1125660222">
                  <w:marLeft w:val="0"/>
                  <w:marRight w:val="0"/>
                  <w:marTop w:val="0"/>
                  <w:marBottom w:val="0"/>
                  <w:divBdr>
                    <w:top w:val="none" w:sz="0" w:space="0" w:color="auto"/>
                    <w:left w:val="none" w:sz="0" w:space="0" w:color="auto"/>
                    <w:bottom w:val="none" w:sz="0" w:space="0" w:color="auto"/>
                    <w:right w:val="none" w:sz="0" w:space="0" w:color="auto"/>
                  </w:divBdr>
                  <w:divsChild>
                    <w:div w:id="1572276213">
                      <w:marLeft w:val="0"/>
                      <w:marRight w:val="0"/>
                      <w:marTop w:val="0"/>
                      <w:marBottom w:val="0"/>
                      <w:divBdr>
                        <w:top w:val="none" w:sz="0" w:space="0" w:color="auto"/>
                        <w:left w:val="none" w:sz="0" w:space="0" w:color="auto"/>
                        <w:bottom w:val="none" w:sz="0" w:space="0" w:color="auto"/>
                        <w:right w:val="none" w:sz="0" w:space="0" w:color="auto"/>
                      </w:divBdr>
                      <w:divsChild>
                        <w:div w:id="752774017">
                          <w:marLeft w:val="0"/>
                          <w:marRight w:val="0"/>
                          <w:marTop w:val="0"/>
                          <w:marBottom w:val="0"/>
                          <w:divBdr>
                            <w:top w:val="none" w:sz="0" w:space="0" w:color="auto"/>
                            <w:left w:val="none" w:sz="0" w:space="0" w:color="auto"/>
                            <w:bottom w:val="none" w:sz="0" w:space="0" w:color="auto"/>
                            <w:right w:val="none" w:sz="0" w:space="0" w:color="auto"/>
                          </w:divBdr>
                          <w:divsChild>
                            <w:div w:id="1148204577">
                              <w:marLeft w:val="0"/>
                              <w:marRight w:val="0"/>
                              <w:marTop w:val="0"/>
                              <w:marBottom w:val="0"/>
                              <w:divBdr>
                                <w:top w:val="none" w:sz="0" w:space="0" w:color="auto"/>
                                <w:left w:val="none" w:sz="0" w:space="0" w:color="auto"/>
                                <w:bottom w:val="none" w:sz="0" w:space="0" w:color="auto"/>
                                <w:right w:val="none" w:sz="0" w:space="0" w:color="auto"/>
                              </w:divBdr>
                              <w:divsChild>
                                <w:div w:id="2119448575">
                                  <w:marLeft w:val="0"/>
                                  <w:marRight w:val="0"/>
                                  <w:marTop w:val="0"/>
                                  <w:marBottom w:val="0"/>
                                  <w:divBdr>
                                    <w:top w:val="none" w:sz="0" w:space="0" w:color="auto"/>
                                    <w:left w:val="none" w:sz="0" w:space="0" w:color="auto"/>
                                    <w:bottom w:val="none" w:sz="0" w:space="0" w:color="auto"/>
                                    <w:right w:val="none" w:sz="0" w:space="0" w:color="auto"/>
                                  </w:divBdr>
                                  <w:divsChild>
                                    <w:div w:id="1960451147">
                                      <w:marLeft w:val="0"/>
                                      <w:marRight w:val="0"/>
                                      <w:marTop w:val="0"/>
                                      <w:marBottom w:val="0"/>
                                      <w:divBdr>
                                        <w:top w:val="none" w:sz="0" w:space="0" w:color="auto"/>
                                        <w:left w:val="none" w:sz="0" w:space="0" w:color="auto"/>
                                        <w:bottom w:val="none" w:sz="0" w:space="0" w:color="auto"/>
                                        <w:right w:val="none" w:sz="0" w:space="0" w:color="auto"/>
                                      </w:divBdr>
                                      <w:divsChild>
                                        <w:div w:id="1046223723">
                                          <w:marLeft w:val="0"/>
                                          <w:marRight w:val="0"/>
                                          <w:marTop w:val="0"/>
                                          <w:marBottom w:val="0"/>
                                          <w:divBdr>
                                            <w:top w:val="none" w:sz="0" w:space="0" w:color="auto"/>
                                            <w:left w:val="none" w:sz="0" w:space="0" w:color="auto"/>
                                            <w:bottom w:val="none" w:sz="0" w:space="0" w:color="auto"/>
                                            <w:right w:val="none" w:sz="0" w:space="0" w:color="auto"/>
                                          </w:divBdr>
                                          <w:divsChild>
                                            <w:div w:id="831026196">
                                              <w:marLeft w:val="0"/>
                                              <w:marRight w:val="0"/>
                                              <w:marTop w:val="0"/>
                                              <w:marBottom w:val="0"/>
                                              <w:divBdr>
                                                <w:top w:val="none" w:sz="0" w:space="0" w:color="auto"/>
                                                <w:left w:val="none" w:sz="0" w:space="0" w:color="auto"/>
                                                <w:bottom w:val="none" w:sz="0" w:space="0" w:color="auto"/>
                                                <w:right w:val="none" w:sz="0" w:space="0" w:color="auto"/>
                                              </w:divBdr>
                                              <w:divsChild>
                                                <w:div w:id="1734697952">
                                                  <w:marLeft w:val="0"/>
                                                  <w:marRight w:val="0"/>
                                                  <w:marTop w:val="0"/>
                                                  <w:marBottom w:val="0"/>
                                                  <w:divBdr>
                                                    <w:top w:val="none" w:sz="0" w:space="0" w:color="auto"/>
                                                    <w:left w:val="none" w:sz="0" w:space="0" w:color="auto"/>
                                                    <w:bottom w:val="none" w:sz="0" w:space="0" w:color="auto"/>
                                                    <w:right w:val="none" w:sz="0" w:space="0" w:color="auto"/>
                                                  </w:divBdr>
                                                  <w:divsChild>
                                                    <w:div w:id="701905420">
                                                      <w:marLeft w:val="0"/>
                                                      <w:marRight w:val="0"/>
                                                      <w:marTop w:val="0"/>
                                                      <w:marBottom w:val="0"/>
                                                      <w:divBdr>
                                                        <w:top w:val="none" w:sz="0" w:space="0" w:color="auto"/>
                                                        <w:left w:val="none" w:sz="0" w:space="0" w:color="auto"/>
                                                        <w:bottom w:val="none" w:sz="0" w:space="0" w:color="auto"/>
                                                        <w:right w:val="none" w:sz="0" w:space="0" w:color="auto"/>
                                                      </w:divBdr>
                                                      <w:divsChild>
                                                        <w:div w:id="940916795">
                                                          <w:marLeft w:val="0"/>
                                                          <w:marRight w:val="0"/>
                                                          <w:marTop w:val="0"/>
                                                          <w:marBottom w:val="45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588420">
      <w:bodyDiv w:val="1"/>
      <w:marLeft w:val="0"/>
      <w:marRight w:val="0"/>
      <w:marTop w:val="0"/>
      <w:marBottom w:val="0"/>
      <w:divBdr>
        <w:top w:val="none" w:sz="0" w:space="0" w:color="auto"/>
        <w:left w:val="none" w:sz="0" w:space="0" w:color="auto"/>
        <w:bottom w:val="none" w:sz="0" w:space="0" w:color="auto"/>
        <w:right w:val="none" w:sz="0" w:space="0" w:color="auto"/>
      </w:divBdr>
    </w:div>
    <w:div w:id="1775595443">
      <w:bodyDiv w:val="1"/>
      <w:marLeft w:val="0"/>
      <w:marRight w:val="0"/>
      <w:marTop w:val="0"/>
      <w:marBottom w:val="0"/>
      <w:divBdr>
        <w:top w:val="none" w:sz="0" w:space="0" w:color="auto"/>
        <w:left w:val="none" w:sz="0" w:space="0" w:color="auto"/>
        <w:bottom w:val="none" w:sz="0" w:space="0" w:color="auto"/>
        <w:right w:val="none" w:sz="0" w:space="0" w:color="auto"/>
      </w:divBdr>
    </w:div>
    <w:div w:id="1775633366">
      <w:bodyDiv w:val="1"/>
      <w:marLeft w:val="0"/>
      <w:marRight w:val="0"/>
      <w:marTop w:val="0"/>
      <w:marBottom w:val="0"/>
      <w:divBdr>
        <w:top w:val="none" w:sz="0" w:space="0" w:color="auto"/>
        <w:left w:val="none" w:sz="0" w:space="0" w:color="auto"/>
        <w:bottom w:val="none" w:sz="0" w:space="0" w:color="auto"/>
        <w:right w:val="none" w:sz="0" w:space="0" w:color="auto"/>
      </w:divBdr>
    </w:div>
    <w:div w:id="1848253407">
      <w:bodyDiv w:val="1"/>
      <w:marLeft w:val="0"/>
      <w:marRight w:val="0"/>
      <w:marTop w:val="0"/>
      <w:marBottom w:val="0"/>
      <w:divBdr>
        <w:top w:val="none" w:sz="0" w:space="0" w:color="auto"/>
        <w:left w:val="none" w:sz="0" w:space="0" w:color="auto"/>
        <w:bottom w:val="none" w:sz="0" w:space="0" w:color="auto"/>
        <w:right w:val="none" w:sz="0" w:space="0" w:color="auto"/>
      </w:divBdr>
      <w:divsChild>
        <w:div w:id="1741369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7227">
      <w:bodyDiv w:val="1"/>
      <w:marLeft w:val="0"/>
      <w:marRight w:val="0"/>
      <w:marTop w:val="0"/>
      <w:marBottom w:val="0"/>
      <w:divBdr>
        <w:top w:val="none" w:sz="0" w:space="0" w:color="auto"/>
        <w:left w:val="none" w:sz="0" w:space="0" w:color="auto"/>
        <w:bottom w:val="none" w:sz="0" w:space="0" w:color="auto"/>
        <w:right w:val="none" w:sz="0" w:space="0" w:color="auto"/>
      </w:divBdr>
    </w:div>
    <w:div w:id="1962296089">
      <w:bodyDiv w:val="1"/>
      <w:marLeft w:val="0"/>
      <w:marRight w:val="0"/>
      <w:marTop w:val="0"/>
      <w:marBottom w:val="0"/>
      <w:divBdr>
        <w:top w:val="none" w:sz="0" w:space="0" w:color="auto"/>
        <w:left w:val="none" w:sz="0" w:space="0" w:color="auto"/>
        <w:bottom w:val="none" w:sz="0" w:space="0" w:color="auto"/>
        <w:right w:val="none" w:sz="0" w:space="0" w:color="auto"/>
      </w:divBdr>
    </w:div>
    <w:div w:id="2028169738">
      <w:bodyDiv w:val="1"/>
      <w:marLeft w:val="0"/>
      <w:marRight w:val="0"/>
      <w:marTop w:val="0"/>
      <w:marBottom w:val="0"/>
      <w:divBdr>
        <w:top w:val="none" w:sz="0" w:space="0" w:color="auto"/>
        <w:left w:val="none" w:sz="0" w:space="0" w:color="auto"/>
        <w:bottom w:val="none" w:sz="0" w:space="0" w:color="auto"/>
        <w:right w:val="none" w:sz="0" w:space="0" w:color="auto"/>
      </w:divBdr>
    </w:div>
    <w:div w:id="2033873842">
      <w:bodyDiv w:val="1"/>
      <w:marLeft w:val="0"/>
      <w:marRight w:val="0"/>
      <w:marTop w:val="0"/>
      <w:marBottom w:val="0"/>
      <w:divBdr>
        <w:top w:val="none" w:sz="0" w:space="0" w:color="auto"/>
        <w:left w:val="none" w:sz="0" w:space="0" w:color="auto"/>
        <w:bottom w:val="none" w:sz="0" w:space="0" w:color="auto"/>
        <w:right w:val="none" w:sz="0" w:space="0" w:color="auto"/>
      </w:divBdr>
    </w:div>
    <w:div w:id="2081556058">
      <w:bodyDiv w:val="1"/>
      <w:marLeft w:val="0"/>
      <w:marRight w:val="0"/>
      <w:marTop w:val="0"/>
      <w:marBottom w:val="0"/>
      <w:divBdr>
        <w:top w:val="none" w:sz="0" w:space="0" w:color="auto"/>
        <w:left w:val="none" w:sz="0" w:space="0" w:color="auto"/>
        <w:bottom w:val="none" w:sz="0" w:space="0" w:color="auto"/>
        <w:right w:val="none" w:sz="0" w:space="0" w:color="auto"/>
      </w:divBdr>
    </w:div>
    <w:div w:id="2112895552">
      <w:bodyDiv w:val="1"/>
      <w:marLeft w:val="0"/>
      <w:marRight w:val="0"/>
      <w:marTop w:val="0"/>
      <w:marBottom w:val="0"/>
      <w:divBdr>
        <w:top w:val="none" w:sz="0" w:space="0" w:color="auto"/>
        <w:left w:val="none" w:sz="0" w:space="0" w:color="auto"/>
        <w:bottom w:val="none" w:sz="0" w:space="0" w:color="auto"/>
        <w:right w:val="none" w:sz="0" w:space="0" w:color="auto"/>
      </w:divBdr>
    </w:div>
    <w:div w:id="213510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derechoshumanos.net/lesahumanidad/informes/guatemala/informeREMHI-Tomo1.htm" TargetMode="External"/><Relationship Id="rId3" Type="http://schemas.openxmlformats.org/officeDocument/2006/relationships/hyperlink" Target="http://www.unhcr.org/4ae9bede9.html" TargetMode="External"/><Relationship Id="rId7" Type="http://schemas.openxmlformats.org/officeDocument/2006/relationships/hyperlink" Target="http://www.derechoshumanos.net/lesahumanidad/informes/guatemala/informeREMHI-Tomo1.htm" TargetMode="External"/><Relationship Id="rId2" Type="http://schemas.openxmlformats.org/officeDocument/2006/relationships/hyperlink" Target="http://www.hchr.org.co/documentoseinformes/documentos/html/informes/onu/resdi/E-CN-4-1998-53-ADD-2.html" TargetMode="External"/><Relationship Id="rId1" Type="http://schemas.openxmlformats.org/officeDocument/2006/relationships/hyperlink" Target="http://www.fundacionpdh.org/lesahumanidad/informes/guatemala/informeREMHI-Tomo1.htm%22http://www.fundacionpdh.org/lesahumanidad/informes/guatemala/informeREMHI-Tomo1.ht%22http://www.fundacionpdh.org/lesahumanidad/informes/guatemala/informeREMHI-Tomo1.ht" TargetMode="External"/><Relationship Id="rId6" Type="http://schemas.openxmlformats.org/officeDocument/2006/relationships/hyperlink" Target="https://www.icrc.org/spa/resources/documents/faq/sexual-violence-questions-and-answers.htm" TargetMode="External"/><Relationship Id="rId11" Type="http://schemas.openxmlformats.org/officeDocument/2006/relationships/hyperlink" Target="http://w.unictr.org/sites/unictr.org/files/legal-library/140130_prosecution_of_sexual_violence.pdf" TargetMode="External"/><Relationship Id="rId5" Type="http://schemas.openxmlformats.org/officeDocument/2006/relationships/hyperlink" Target="http://www.derechoshumanos.net/lesahumanidad/informes/guatemala/informeREMHI-Tomo1.htm" TargetMode="External"/><Relationship Id="rId10" Type="http://schemas.openxmlformats.org/officeDocument/2006/relationships/hyperlink" Target="https://www.icc-cpi.int/iccdocs/otp/OTP-Policy-Paper-on-Sexual-and-Gender-Based-Crimes--June-2014.pdf" TargetMode="External"/><Relationship Id="rId4" Type="http://schemas.openxmlformats.org/officeDocument/2006/relationships/hyperlink" Target="http://www.oas.org/dil/esp/AG-RES_2508-2009.doc" TargetMode="External"/><Relationship Id="rId9" Type="http://schemas.openxmlformats.org/officeDocument/2006/relationships/hyperlink" Target="https://www.icc-cpi.int/CourtRecords/CR2016_0223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65DE0E31EAF2439D287EEF21B08142" ma:contentTypeVersion="0" ma:contentTypeDescription="Create a new document." ma:contentTypeScope="" ma:versionID="01638f88f95378e84390226ee62acf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B6067-4B00-4188-A690-8478B7865D91}">
  <ds:schemaRefs>
    <ds:schemaRef ds:uri="http://schemas.microsoft.com/office/2006/metadata/longProperties"/>
  </ds:schemaRefs>
</ds:datastoreItem>
</file>

<file path=customXml/itemProps2.xml><?xml version="1.0" encoding="utf-8"?>
<ds:datastoreItem xmlns:ds="http://schemas.openxmlformats.org/officeDocument/2006/customXml" ds:itemID="{AF128601-5F02-4545-B0A6-B53674DB3D94}">
  <ds:schemaRefs>
    <ds:schemaRef ds:uri="http://schemas.microsoft.com/sharepoint/v3/contenttype/forms"/>
  </ds:schemaRefs>
</ds:datastoreItem>
</file>

<file path=customXml/itemProps3.xml><?xml version="1.0" encoding="utf-8"?>
<ds:datastoreItem xmlns:ds="http://schemas.openxmlformats.org/officeDocument/2006/customXml" ds:itemID="{02A79169-DB9C-459A-A197-9595DB51F6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BA8FFF-66CD-430B-A374-0B2EB147A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D17CD66-C270-48DD-AE3C-C3B924D6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139</Pages>
  <Words>59935</Words>
  <Characters>329648</Characters>
  <Application>Microsoft Office Word</Application>
  <DocSecurity>0</DocSecurity>
  <Lines>2747</Lines>
  <Paragraphs>777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388806</CharactersWithSpaces>
  <SharedDoc>false</SharedDoc>
  <HLinks>
    <vt:vector size="150" baseType="variant">
      <vt:variant>
        <vt:i4>1114160</vt:i4>
      </vt:variant>
      <vt:variant>
        <vt:i4>80</vt:i4>
      </vt:variant>
      <vt:variant>
        <vt:i4>0</vt:i4>
      </vt:variant>
      <vt:variant>
        <vt:i4>5</vt:i4>
      </vt:variant>
      <vt:variant>
        <vt:lpwstr/>
      </vt:variant>
      <vt:variant>
        <vt:lpwstr>_Toc455631243</vt:lpwstr>
      </vt:variant>
      <vt:variant>
        <vt:i4>1441840</vt:i4>
      </vt:variant>
      <vt:variant>
        <vt:i4>74</vt:i4>
      </vt:variant>
      <vt:variant>
        <vt:i4>0</vt:i4>
      </vt:variant>
      <vt:variant>
        <vt:i4>5</vt:i4>
      </vt:variant>
      <vt:variant>
        <vt:lpwstr/>
      </vt:variant>
      <vt:variant>
        <vt:lpwstr>_Toc455631234</vt:lpwstr>
      </vt:variant>
      <vt:variant>
        <vt:i4>1441840</vt:i4>
      </vt:variant>
      <vt:variant>
        <vt:i4>68</vt:i4>
      </vt:variant>
      <vt:variant>
        <vt:i4>0</vt:i4>
      </vt:variant>
      <vt:variant>
        <vt:i4>5</vt:i4>
      </vt:variant>
      <vt:variant>
        <vt:lpwstr/>
      </vt:variant>
      <vt:variant>
        <vt:lpwstr>_Toc455631233</vt:lpwstr>
      </vt:variant>
      <vt:variant>
        <vt:i4>1441840</vt:i4>
      </vt:variant>
      <vt:variant>
        <vt:i4>62</vt:i4>
      </vt:variant>
      <vt:variant>
        <vt:i4>0</vt:i4>
      </vt:variant>
      <vt:variant>
        <vt:i4>5</vt:i4>
      </vt:variant>
      <vt:variant>
        <vt:lpwstr/>
      </vt:variant>
      <vt:variant>
        <vt:lpwstr>_Toc455631231</vt:lpwstr>
      </vt:variant>
      <vt:variant>
        <vt:i4>1507376</vt:i4>
      </vt:variant>
      <vt:variant>
        <vt:i4>56</vt:i4>
      </vt:variant>
      <vt:variant>
        <vt:i4>0</vt:i4>
      </vt:variant>
      <vt:variant>
        <vt:i4>5</vt:i4>
      </vt:variant>
      <vt:variant>
        <vt:lpwstr/>
      </vt:variant>
      <vt:variant>
        <vt:lpwstr>_Toc455631227</vt:lpwstr>
      </vt:variant>
      <vt:variant>
        <vt:i4>1507376</vt:i4>
      </vt:variant>
      <vt:variant>
        <vt:i4>50</vt:i4>
      </vt:variant>
      <vt:variant>
        <vt:i4>0</vt:i4>
      </vt:variant>
      <vt:variant>
        <vt:i4>5</vt:i4>
      </vt:variant>
      <vt:variant>
        <vt:lpwstr/>
      </vt:variant>
      <vt:variant>
        <vt:lpwstr>_Toc455631225</vt:lpwstr>
      </vt:variant>
      <vt:variant>
        <vt:i4>1507376</vt:i4>
      </vt:variant>
      <vt:variant>
        <vt:i4>44</vt:i4>
      </vt:variant>
      <vt:variant>
        <vt:i4>0</vt:i4>
      </vt:variant>
      <vt:variant>
        <vt:i4>5</vt:i4>
      </vt:variant>
      <vt:variant>
        <vt:lpwstr/>
      </vt:variant>
      <vt:variant>
        <vt:lpwstr>_Toc455631221</vt:lpwstr>
      </vt:variant>
      <vt:variant>
        <vt:i4>1310768</vt:i4>
      </vt:variant>
      <vt:variant>
        <vt:i4>38</vt:i4>
      </vt:variant>
      <vt:variant>
        <vt:i4>0</vt:i4>
      </vt:variant>
      <vt:variant>
        <vt:i4>5</vt:i4>
      </vt:variant>
      <vt:variant>
        <vt:lpwstr/>
      </vt:variant>
      <vt:variant>
        <vt:lpwstr>_Toc455631215</vt:lpwstr>
      </vt:variant>
      <vt:variant>
        <vt:i4>1310768</vt:i4>
      </vt:variant>
      <vt:variant>
        <vt:i4>32</vt:i4>
      </vt:variant>
      <vt:variant>
        <vt:i4>0</vt:i4>
      </vt:variant>
      <vt:variant>
        <vt:i4>5</vt:i4>
      </vt:variant>
      <vt:variant>
        <vt:lpwstr/>
      </vt:variant>
      <vt:variant>
        <vt:lpwstr>_Toc455631214</vt:lpwstr>
      </vt:variant>
      <vt:variant>
        <vt:i4>1376304</vt:i4>
      </vt:variant>
      <vt:variant>
        <vt:i4>26</vt:i4>
      </vt:variant>
      <vt:variant>
        <vt:i4>0</vt:i4>
      </vt:variant>
      <vt:variant>
        <vt:i4>5</vt:i4>
      </vt:variant>
      <vt:variant>
        <vt:lpwstr/>
      </vt:variant>
      <vt:variant>
        <vt:lpwstr>_Toc455631202</vt:lpwstr>
      </vt:variant>
      <vt:variant>
        <vt:i4>1376304</vt:i4>
      </vt:variant>
      <vt:variant>
        <vt:i4>20</vt:i4>
      </vt:variant>
      <vt:variant>
        <vt:i4>0</vt:i4>
      </vt:variant>
      <vt:variant>
        <vt:i4>5</vt:i4>
      </vt:variant>
      <vt:variant>
        <vt:lpwstr/>
      </vt:variant>
      <vt:variant>
        <vt:lpwstr>_Toc455631201</vt:lpwstr>
      </vt:variant>
      <vt:variant>
        <vt:i4>1376304</vt:i4>
      </vt:variant>
      <vt:variant>
        <vt:i4>14</vt:i4>
      </vt:variant>
      <vt:variant>
        <vt:i4>0</vt:i4>
      </vt:variant>
      <vt:variant>
        <vt:i4>5</vt:i4>
      </vt:variant>
      <vt:variant>
        <vt:lpwstr/>
      </vt:variant>
      <vt:variant>
        <vt:lpwstr>_Toc455631200</vt:lpwstr>
      </vt:variant>
      <vt:variant>
        <vt:i4>1835059</vt:i4>
      </vt:variant>
      <vt:variant>
        <vt:i4>8</vt:i4>
      </vt:variant>
      <vt:variant>
        <vt:i4>0</vt:i4>
      </vt:variant>
      <vt:variant>
        <vt:i4>5</vt:i4>
      </vt:variant>
      <vt:variant>
        <vt:lpwstr/>
      </vt:variant>
      <vt:variant>
        <vt:lpwstr>_Toc455631199</vt:lpwstr>
      </vt:variant>
      <vt:variant>
        <vt:i4>1835059</vt:i4>
      </vt:variant>
      <vt:variant>
        <vt:i4>2</vt:i4>
      </vt:variant>
      <vt:variant>
        <vt:i4>0</vt:i4>
      </vt:variant>
      <vt:variant>
        <vt:i4>5</vt:i4>
      </vt:variant>
      <vt:variant>
        <vt:lpwstr/>
      </vt:variant>
      <vt:variant>
        <vt:lpwstr>_Toc455631198</vt:lpwstr>
      </vt:variant>
      <vt:variant>
        <vt:i4>1769559</vt:i4>
      </vt:variant>
      <vt:variant>
        <vt:i4>30</vt:i4>
      </vt:variant>
      <vt:variant>
        <vt:i4>0</vt:i4>
      </vt:variant>
      <vt:variant>
        <vt:i4>5</vt:i4>
      </vt:variant>
      <vt:variant>
        <vt:lpwstr>http://w.unictr.org/sites/unictr.org/files/legal-library/140130_prosecution_of_sexual_violence.pdf</vt:lpwstr>
      </vt:variant>
      <vt:variant>
        <vt:lpwstr/>
      </vt:variant>
      <vt:variant>
        <vt:i4>5898249</vt:i4>
      </vt:variant>
      <vt:variant>
        <vt:i4>27</vt:i4>
      </vt:variant>
      <vt:variant>
        <vt:i4>0</vt:i4>
      </vt:variant>
      <vt:variant>
        <vt:i4>5</vt:i4>
      </vt:variant>
      <vt:variant>
        <vt:lpwstr>http://www.acnur.org/biblioteca/pdf/6981.pdf</vt:lpwstr>
      </vt:variant>
      <vt:variant>
        <vt:lpwstr/>
      </vt:variant>
      <vt:variant>
        <vt:i4>1704060</vt:i4>
      </vt:variant>
      <vt:variant>
        <vt:i4>24</vt:i4>
      </vt:variant>
      <vt:variant>
        <vt:i4>0</vt:i4>
      </vt:variant>
      <vt:variant>
        <vt:i4>5</vt:i4>
      </vt:variant>
      <vt:variant>
        <vt:lpwstr>http://www.oas.org/dil/esp/AG-RES_2508-2009.doc</vt:lpwstr>
      </vt:variant>
      <vt:variant>
        <vt:lpwstr/>
      </vt:variant>
      <vt:variant>
        <vt:i4>4128875</vt:i4>
      </vt:variant>
      <vt:variant>
        <vt:i4>21</vt:i4>
      </vt:variant>
      <vt:variant>
        <vt:i4>0</vt:i4>
      </vt:variant>
      <vt:variant>
        <vt:i4>5</vt:i4>
      </vt:variant>
      <vt:variant>
        <vt:lpwstr>http://www2.ohchr.org/english/bodies/hrcouncil/docs/13session/A-HRC-13-21-Add.3.pdf</vt:lpwstr>
      </vt:variant>
      <vt:variant>
        <vt:lpwstr/>
      </vt:variant>
      <vt:variant>
        <vt:i4>2555948</vt:i4>
      </vt:variant>
      <vt:variant>
        <vt:i4>18</vt:i4>
      </vt:variant>
      <vt:variant>
        <vt:i4>0</vt:i4>
      </vt:variant>
      <vt:variant>
        <vt:i4>5</vt:i4>
      </vt:variant>
      <vt:variant>
        <vt:lpwstr>http://www.unhcr.org/4ae9bede9.html</vt:lpwstr>
      </vt:variant>
      <vt:variant>
        <vt:lpwstr/>
      </vt:variant>
      <vt:variant>
        <vt:i4>7602239</vt:i4>
      </vt:variant>
      <vt:variant>
        <vt:i4>15</vt:i4>
      </vt:variant>
      <vt:variant>
        <vt:i4>0</vt:i4>
      </vt:variant>
      <vt:variant>
        <vt:i4>5</vt:i4>
      </vt:variant>
      <vt:variant>
        <vt:lpwstr>http://daccess-dds-ny.un.org/doc/UNDOC/GEN/N09/471/58/PDF/N0947158.pdf?OpenElement</vt:lpwstr>
      </vt:variant>
      <vt:variant>
        <vt:lpwstr/>
      </vt:variant>
      <vt:variant>
        <vt:i4>7340153</vt:i4>
      </vt:variant>
      <vt:variant>
        <vt:i4>12</vt:i4>
      </vt:variant>
      <vt:variant>
        <vt:i4>0</vt:i4>
      </vt:variant>
      <vt:variant>
        <vt:i4>5</vt:i4>
      </vt:variant>
      <vt:variant>
        <vt:lpwstr>http://www.hchr.org.co/documentoseinformes/documentos/html/informes/onu/resdi/E-CN-4-1998-53-ADD-2.html</vt:lpwstr>
      </vt:variant>
      <vt:variant>
        <vt:lpwstr/>
      </vt:variant>
      <vt:variant>
        <vt:i4>5111879</vt:i4>
      </vt:variant>
      <vt:variant>
        <vt:i4>9</vt:i4>
      </vt:variant>
      <vt:variant>
        <vt:i4>0</vt:i4>
      </vt:variant>
      <vt:variant>
        <vt:i4>5</vt:i4>
      </vt:variant>
      <vt:variant>
        <vt:lpwstr>http://www.fundacionpdh.org/lesahumanidad/informes/guatemala/informeREMHI-Tomo1.htm%22http://www.fundacionpdh.org/lesahumanidad/informes/guatemala/informeREMHI-Tomo1.ht%22http://www.fundacionpdh.org/lesahumanidad/informes/guatemala/informeREMHI-Tomo1.ht</vt:lpwstr>
      </vt:variant>
      <vt:variant>
        <vt:lpwstr/>
      </vt:variant>
      <vt:variant>
        <vt:i4>458767</vt:i4>
      </vt:variant>
      <vt:variant>
        <vt:i4>6</vt:i4>
      </vt:variant>
      <vt:variant>
        <vt:i4>0</vt:i4>
      </vt:variant>
      <vt:variant>
        <vt:i4>5</vt:i4>
      </vt:variant>
      <vt:variant>
        <vt:lpwstr>https://www.cidh.oas.org/Basicos/Basicos3.htm</vt:lpwstr>
      </vt:variant>
      <vt:variant>
        <vt:lpwstr/>
      </vt:variant>
      <vt:variant>
        <vt:i4>458767</vt:i4>
      </vt:variant>
      <vt:variant>
        <vt:i4>3</vt:i4>
      </vt:variant>
      <vt:variant>
        <vt:i4>0</vt:i4>
      </vt:variant>
      <vt:variant>
        <vt:i4>5</vt:i4>
      </vt:variant>
      <vt:variant>
        <vt:lpwstr>https://www.cidh.oas.org/Basicos/Basicos3.htm</vt:lpwstr>
      </vt:variant>
      <vt:variant>
        <vt:lpwstr/>
      </vt:variant>
      <vt:variant>
        <vt:i4>458767</vt:i4>
      </vt:variant>
      <vt:variant>
        <vt:i4>0</vt:i4>
      </vt:variant>
      <vt:variant>
        <vt:i4>0</vt:i4>
      </vt:variant>
      <vt:variant>
        <vt:i4>5</vt:i4>
      </vt:variant>
      <vt:variant>
        <vt:lpwstr>https://www.cidh.oas.org/Basicos/Basicos3.htm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Corteidh</dc:creator>
  <cp:lastModifiedBy>Jairo Guadamuz</cp:lastModifiedBy>
  <cp:revision>8</cp:revision>
  <cp:lastPrinted>2016-12-21T19:30:00Z</cp:lastPrinted>
  <dcterms:created xsi:type="dcterms:W3CDTF">2016-12-21T19:07:00Z</dcterms:created>
  <dcterms:modified xsi:type="dcterms:W3CDTF">2016-12-21T20:21:00Z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Corteidh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0x0101009C65DE0E31EAF2439D287EEF21B08142</vt:lpwstr>
  </property>
</Properties>
</file>